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6890 フェローテックHD — Deep Research</w:t>
      </w:r>
    </w:p>
    <w:p/>
    <w:p/>
    <w:p>
      <w:pPr>
        <w:jc w:val="center"/>
      </w:pPr>
      <w:r>
        <w:rPr>
          <w:rFonts w:ascii="Meiryo UI" w:hAnsi="Meiryo UI"/>
          <w:sz w:val="24"/>
        </w:rPr>
        <w:t>アナリスト：深井</w:t>
      </w:r>
    </w:p>
    <w:p>
      <w:pPr>
        <w:jc w:val="center"/>
      </w:pPr>
      <w:r>
        <w:rPr>
          <w:rFonts w:ascii="Meiryo UI" w:hAnsi="Meiryo UI"/>
          <w:sz w:val="24"/>
        </w:rPr>
        <w:t>分析日：2026年04月21日</w:t>
      </w:r>
    </w:p>
    <w:p>
      <w:r>
        <w:br w:type="page"/>
      </w:r>
    </w:p>
    <w:p>
      <w:pPr>
        <w:pStyle w:val="Heading1"/>
      </w:pPr>
      <w:r>
        <w:rPr>
          <w:rFonts w:ascii="Meiryo UI" w:hAnsi="Meiryo UI"/>
          <w:color w:val="1F3864"/>
        </w:rPr>
        <w:t>6890 フェローテックHD — Deep Research</w:t>
      </w:r>
    </w:p>
    <w:p>
      <w:r>
        <w:rPr>
          <w:rFonts w:ascii="Meiryo UI" w:hAnsi="Meiryo UI"/>
          <w:sz w:val="20"/>
        </w:rPr>
        <w:t>作成日：2026-04-21　担当：深井</w:t>
      </w:r>
    </w:p>
    <w:p/>
    <w:p>
      <w:r>
        <w:t>──────────────────────────────────────────────────</w:t>
      </w:r>
    </w:p>
    <w:p/>
    <w:p>
      <w:pPr>
        <w:pStyle w:val="Heading2"/>
      </w:pPr>
      <w:r>
        <w:rPr>
          <w:rFonts w:ascii="Meiryo UI" w:hAnsi="Meiryo UI"/>
          <w:color w:val="2E74B5"/>
        </w:rPr>
        <w:t>▼ 冒頭10秒サマリー（結論ファースト）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公正価値（FV）</w:t>
            </w:r>
          </w:p>
        </w:tc>
        <w:tc>
          <w:tcPr>
            <w:tcW w:type="dxa" w:w="4703"/>
            <w:shd w:val="clear" w:color="auto" w:fill="DDEBF7"/>
          </w:tcPr>
          <w:p>
            <w:r>
              <w:rPr>
                <w:rFonts w:ascii="Meiryo UI" w:hAnsi="Meiryo UI"/>
                <w:sz w:val="18"/>
              </w:rPr>
              <w:t>¥8,000（4手法ブレンド）</w:t>
            </w:r>
          </w:p>
        </w:tc>
      </w:tr>
      <w:tr>
        <w:tc>
          <w:tcPr>
            <w:tcW w:type="dxa" w:w="4703"/>
          </w:tcPr>
          <w:p>
            <w:r>
              <w:rPr>
                <w:rFonts w:ascii="Meiryo UI" w:hAnsi="Meiryo UI"/>
                <w:sz w:val="18"/>
              </w:rPr>
              <w:t>現在株価</w:t>
            </w:r>
          </w:p>
        </w:tc>
        <w:tc>
          <w:tcPr>
            <w:tcW w:type="dxa" w:w="4703"/>
          </w:tcPr>
          <w:p>
            <w:r>
              <w:rPr>
                <w:rFonts w:ascii="Meiryo UI" w:hAnsi="Meiryo UI"/>
                <w:sz w:val="18"/>
              </w:rPr>
              <w:t>¥6,850（2026-04-21取得）</w:t>
            </w:r>
          </w:p>
        </w:tc>
      </w:tr>
      <w:tr>
        <w:tc>
          <w:tcPr>
            <w:tcW w:type="dxa" w:w="4703"/>
            <w:shd w:val="clear" w:color="auto" w:fill="DDEBF7"/>
          </w:tcPr>
          <w:p>
            <w:r>
              <w:rPr>
                <w:rFonts w:ascii="Meiryo UI" w:hAnsi="Meiryo UI"/>
                <w:sz w:val="18"/>
              </w:rPr>
              <w:t>安全域（Upside）</w:t>
            </w:r>
          </w:p>
        </w:tc>
        <w:tc>
          <w:tcPr>
            <w:tcW w:type="dxa" w:w="4703"/>
            <w:shd w:val="clear" w:color="auto" w:fill="DDEBF7"/>
          </w:tcPr>
          <w:p>
            <w:r>
              <w:rPr>
                <w:rFonts w:ascii="Meiryo UI" w:hAnsi="Meiryo UI"/>
                <w:sz w:val="18"/>
              </w:rPr>
              <w:t>+16.8%</w:t>
            </w:r>
          </w:p>
        </w:tc>
      </w:tr>
      <w:tr>
        <w:tc>
          <w:tcPr>
            <w:tcW w:type="dxa" w:w="4703"/>
          </w:tcPr>
          <w:p>
            <w:r>
              <w:rPr>
                <w:rFonts w:ascii="Meiryo UI" w:hAnsi="Meiryo UI"/>
                <w:sz w:val="18"/>
              </w:rPr>
              <w:t>推奨アクション</w:t>
            </w:r>
          </w:p>
        </w:tc>
        <w:tc>
          <w:tcPr>
            <w:tcW w:type="dxa" w:w="4703"/>
          </w:tcPr>
          <w:p>
            <w:r>
              <w:rPr>
                <w:rFonts w:ascii="Meiryo UI" w:hAnsi="Meiryo UI"/>
                <w:sz w:val="18"/>
              </w:rPr>
              <w:t>¥6,500〜7,000でのエントリー推奨。WFE回復遅延なら¥5,000水準まで押す可能性あり。分割エントリー有効</w:t>
            </w:r>
          </w:p>
        </w:tc>
      </w:tr>
    </w:tbl>
    <w:p/>
    <w:p>
      <w:pPr>
        <w:pStyle w:val="Heading3"/>
      </w:pPr>
      <w:r>
        <w:rPr>
          <w:rFonts w:ascii="Meiryo UI" w:hAnsi="Meiryo UI"/>
          <w:color w:val="2E74B5"/>
        </w:rPr>
        <w:t>3弾丸（Invest Thesis）</w:t>
      </w:r>
    </w:p>
    <w:p>
      <w:pPr>
        <w:pStyle w:val="ListNumber"/>
      </w:pPr>
      <w:r>
        <w:rPr>
          <w:rFonts w:ascii="Meiryo UI" w:hAnsi="Meiryo UI"/>
          <w:sz w:val="20"/>
        </w:rPr>
        <w:t>AI光トランシーバー×熱電モジュール：データセンターAIインフラ需要で電子デバイス事業OP+45.9%（Q1-Q3 FY26）。世界シェア36%（2023年）の構造的優位</w:t>
      </w:r>
    </w:p>
    <w:p>
      <w:pPr>
        <w:pStyle w:val="ListNumber"/>
      </w:pPr>
      <w:r>
        <w:rPr>
          <w:rFonts w:ascii="Meiryo UI" w:hAnsi="Meiryo UI"/>
          <w:sz w:val="20"/>
        </w:rPr>
        <w:t>WFE回復サイクル開始：Q4 FY26〜Q1 FY27に半導体関連製品の需要回復開始。FY27E EPS ¥450（前年比+89%）はまだコンセンサス未織込み余地あり。真空シール65%世界シェア</w:t>
      </w:r>
    </w:p>
    <w:p>
      <w:pPr>
        <w:pStyle w:val="ListNumber"/>
      </w:pPr>
      <w:r>
        <w:rPr>
          <w:rFonts w:ascii="Meiryo UI" w:hAnsi="Meiryo UI"/>
          <w:sz w:val="20"/>
        </w:rPr>
        <w:t>JPM証券本日+2.26pt大量増加（6.46%→8.72%）：プロップデスクが本日大幅積増し。需給面での最強シグナル</w:t>
      </w:r>
    </w:p>
    <w:p/>
    <w:p>
      <w:pPr>
        <w:pStyle w:val="Heading3"/>
      </w:pPr>
      <w:r>
        <w:rPr>
          <w:rFonts w:ascii="Meiryo UI" w:hAnsi="Meiryo UI"/>
          <w:color w:val="2E74B5"/>
        </w:rPr>
        <w:t>1リスク（Delta最大）</w:t>
      </w:r>
    </w:p>
    <w:p>
      <w:r>
        <w:rPr>
          <w:rFonts w:ascii="Meiryo UI" w:hAnsi="Meiryo UI"/>
          <w:sz w:val="20"/>
        </w:rPr>
        <w:t>WFE回復の時間軸遅延＋中国リスク同時発現：売上の約40%が中国向け。米中輸出規制強化＋WFE回復がFY28にずれた場合、SMBC Nikkoベアケース¥3,300まで下落余地あり（現値から▲52%）。</w:t>
      </w:r>
    </w:p>
    <w:p/>
    <w:p>
      <w:r>
        <w:t>──────────────────────────────────────────────────</w:t>
      </w:r>
    </w:p>
    <w:p/>
    <w:p>
      <w:pPr>
        <w:pStyle w:val="Heading2"/>
      </w:pPr>
      <w:r>
        <w:rPr>
          <w:rFonts w:ascii="Meiryo UI" w:hAnsi="Meiryo UI"/>
          <w:color w:val="2E74B5"/>
        </w:rPr>
        <w:t>IRページ・連絡先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IRページ</w:t>
            </w:r>
          </w:p>
        </w:tc>
        <w:tc>
          <w:tcPr>
            <w:tcW w:type="dxa" w:w="4703"/>
          </w:tcPr>
          <w:p>
            <w:r>
              <w:rPr>
                <w:rFonts w:ascii="Meiryo UI" w:hAnsi="Meiryo UI"/>
                <w:sz w:val="18"/>
              </w:rPr>
              <w:t>https://www.ferrotec.co.jp/ir/</w:t>
            </w:r>
          </w:p>
        </w:tc>
      </w:tr>
      <w:tr>
        <w:tc>
          <w:tcPr>
            <w:tcW w:type="dxa" w:w="4703"/>
            <w:shd w:val="clear" w:color="auto" w:fill="DDEBF7"/>
          </w:tcPr>
          <w:p>
            <w:r>
              <w:rPr>
                <w:rFonts w:ascii="Meiryo UI" w:hAnsi="Meiryo UI"/>
                <w:sz w:val="18"/>
              </w:rPr>
              <w:t>IR担当メール</w:t>
            </w:r>
          </w:p>
        </w:tc>
        <w:tc>
          <w:tcPr>
            <w:tcW w:type="dxa" w:w="4703"/>
            <w:shd w:val="clear" w:color="auto" w:fill="DDEBF7"/>
          </w:tcPr>
          <w:p>
            <w:r>
              <w:rPr>
                <w:rFonts w:ascii="Meiryo UI" w:hAnsi="Meiryo UI"/>
                <w:sz w:val="18"/>
              </w:rPr>
              <w:t>ir@ferrotec.co.jp（要確認）</w:t>
            </w:r>
          </w:p>
        </w:tc>
      </w:tr>
      <w:tr>
        <w:tc>
          <w:tcPr>
            <w:tcW w:type="dxa" w:w="4703"/>
          </w:tcPr>
          <w:p>
            <w:r>
              <w:rPr>
                <w:rFonts w:ascii="Meiryo UI" w:hAnsi="Meiryo UI"/>
                <w:sz w:val="18"/>
              </w:rPr>
              <w:t>決算発表予定</w:t>
            </w:r>
          </w:p>
        </w:tc>
        <w:tc>
          <w:tcPr>
            <w:tcW w:type="dxa" w:w="4703"/>
          </w:tcPr>
          <w:p>
            <w:r>
              <w:rPr>
                <w:rFonts w:ascii="Meiryo UI" w:hAnsi="Meiryo UI"/>
                <w:sz w:val="18"/>
              </w:rPr>
              <w:t>FY3/26 通期：2026年5月予定</w:t>
            </w:r>
          </w:p>
        </w:tc>
      </w:tr>
      <w:tr>
        <w:tc>
          <w:tcPr>
            <w:tcW w:type="dxa" w:w="4703"/>
            <w:shd w:val="clear" w:color="auto" w:fill="DDEBF7"/>
          </w:tcPr>
          <w:p>
            <w:r>
              <w:rPr>
                <w:rFonts w:ascii="Meiryo UI" w:hAnsi="Meiryo UI"/>
                <w:sz w:val="18"/>
              </w:rPr>
              <w:t>主要IRカバレッジ</w:t>
            </w:r>
          </w:p>
        </w:tc>
        <w:tc>
          <w:tcPr>
            <w:tcW w:type="dxa" w:w="4703"/>
            <w:shd w:val="clear" w:color="auto" w:fill="DDEBF7"/>
          </w:tcPr>
          <w:p>
            <w:r>
              <w:rPr>
                <w:rFonts w:ascii="Meiryo UI" w:hAnsi="Meiryo UI"/>
                <w:sz w:val="18"/>
              </w:rPr>
              <w:t>SMBC日興・渡辺宏治氏（BUY/TP¥8,700）、大和・大澤光氏（Q3カバー）</w:t>
            </w:r>
          </w:p>
        </w:tc>
      </w:tr>
    </w:tbl>
    <w:p/>
    <w:p>
      <w:r>
        <w:t>──────────────────────────────────────────────────</w:t>
      </w:r>
    </w:p>
    <w:p/>
    <w:p>
      <w:pPr>
        <w:pStyle w:val="Heading2"/>
      </w:pPr>
      <w:r>
        <w:rPr>
          <w:rFonts w:ascii="Meiryo UI" w:hAnsi="Meiryo UI"/>
          <w:color w:val="2E74B5"/>
        </w:rPr>
        <w:t>ビジネスモデル概要</w:t>
      </w:r>
    </w:p>
    <w:p/>
    <w:p>
      <w:pPr>
        <w:pStyle w:val="Heading3"/>
      </w:pPr>
      <w:r>
        <w:rPr>
          <w:rFonts w:ascii="Meiryo UI" w:hAnsi="Meiryo UI"/>
          <w:color w:val="2E74B5"/>
        </w:rPr>
        <w:t>事業構造（FY3/26 Q1-Q3ベース）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売上比率</w:t>
            </w:r>
          </w:p>
        </w:tc>
        <w:tc>
          <w:tcPr>
            <w:tcW w:type="dxa" w:w="2351"/>
            <w:shd w:val="clear" w:color="auto" w:fill="2E74B5"/>
          </w:tcPr>
          <w:p>
            <w:r>
              <w:rPr>
                <w:rFonts w:ascii="Meiryo UI" w:hAnsi="Meiryo UI"/>
                <w:b/>
                <w:color w:val="FFFFFF"/>
                <w:sz w:val="18"/>
              </w:rPr>
              <w:t>OP比率</w:t>
            </w:r>
          </w:p>
        </w:tc>
        <w:tc>
          <w:tcPr>
            <w:tcW w:type="dxa" w:w="2351"/>
            <w:shd w:val="clear" w:color="auto" w:fill="2E74B5"/>
          </w:tcPr>
          <w:p>
            <w:r>
              <w:rPr>
                <w:rFonts w:ascii="Meiryo UI" w:hAnsi="Meiryo UI"/>
                <w:b/>
                <w:color w:val="FFFFFF"/>
                <w:sz w:val="18"/>
              </w:rPr>
              <w:t>特性</w:t>
            </w:r>
          </w:p>
        </w:tc>
      </w:tr>
      <w:tr>
        <w:tc>
          <w:tcPr>
            <w:tcW w:type="dxa" w:w="2351"/>
          </w:tcPr>
          <w:p>
            <w:r>
              <w:rPr>
                <w:rFonts w:ascii="Meiryo UI" w:hAnsi="Meiryo UI"/>
                <w:sz w:val="18"/>
              </w:rPr>
              <w:t>半導体製造装置部品</w:t>
            </w:r>
          </w:p>
        </w:tc>
        <w:tc>
          <w:tcPr>
            <w:tcW w:type="dxa" w:w="2351"/>
          </w:tcPr>
          <w:p>
            <w:r>
              <w:rPr>
                <w:rFonts w:ascii="Meiryo UI" w:hAnsi="Meiryo UI"/>
                <w:sz w:val="18"/>
              </w:rPr>
              <w:t>&gt;60%</w:t>
            </w:r>
          </w:p>
        </w:tc>
        <w:tc>
          <w:tcPr>
            <w:tcW w:type="dxa" w:w="2351"/>
          </w:tcPr>
          <w:p>
            <w:r>
              <w:rPr>
                <w:rFonts w:ascii="Meiryo UI" w:hAnsi="Meiryo UI"/>
                <w:sz w:val="18"/>
              </w:rPr>
              <w:t>~60%</w:t>
            </w:r>
          </w:p>
        </w:tc>
        <w:tc>
          <w:tcPr>
            <w:tcW w:type="dxa" w:w="2351"/>
          </w:tcPr>
          <w:p>
            <w:r>
              <w:rPr>
                <w:rFonts w:ascii="Meiryo UI" w:hAnsi="Meiryo UI"/>
                <w:sz w:val="18"/>
              </w:rPr>
              <w:t>真空シール（WS65%）・石英・CVD-SiC</w:t>
            </w:r>
          </w:p>
        </w:tc>
      </w:tr>
      <w:tr>
        <w:tc>
          <w:tcPr>
            <w:tcW w:type="dxa" w:w="2351"/>
            <w:shd w:val="clear" w:color="auto" w:fill="DDEBF7"/>
          </w:tcPr>
          <w:p>
            <w:r>
              <w:rPr>
                <w:rFonts w:ascii="Meiryo UI" w:hAnsi="Meiryo UI"/>
                <w:sz w:val="18"/>
              </w:rPr>
              <w:t>電子デバイス</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~40%</w:t>
            </w:r>
          </w:p>
        </w:tc>
        <w:tc>
          <w:tcPr>
            <w:tcW w:type="dxa" w:w="2351"/>
            <w:shd w:val="clear" w:color="auto" w:fill="DDEBF7"/>
          </w:tcPr>
          <w:p>
            <w:r>
              <w:rPr>
                <w:rFonts w:ascii="Meiryo UI" w:hAnsi="Meiryo UI"/>
                <w:sz w:val="18"/>
              </w:rPr>
              <w:t>熱電モジュール（AI光トランシーバー・EV）</w:t>
            </w:r>
          </w:p>
        </w:tc>
      </w:tr>
      <w:tr>
        <w:tc>
          <w:tcPr>
            <w:tcW w:type="dxa" w:w="2351"/>
          </w:tcPr>
          <w:p>
            <w:r>
              <w:rPr>
                <w:rFonts w:ascii="Meiryo UI" w:hAnsi="Meiryo UI"/>
                <w:sz w:val="18"/>
              </w:rPr>
              <w:t>自動車関連</w:t>
            </w:r>
          </w:p>
        </w:tc>
        <w:tc>
          <w:tcPr>
            <w:tcW w:type="dxa" w:w="2351"/>
          </w:tcPr>
          <w:p>
            <w:r>
              <w:rPr>
                <w:rFonts w:ascii="Meiryo UI" w:hAnsi="Meiryo UI"/>
                <w:sz w:val="18"/>
              </w:rPr>
              <w:t>残余</w:t>
            </w:r>
          </w:p>
        </w:tc>
        <w:tc>
          <w:tcPr>
            <w:tcW w:type="dxa" w:w="2351"/>
          </w:tcPr>
          <w:p>
            <w:r>
              <w:rPr>
                <w:rFonts w:ascii="Meiryo UI" w:hAnsi="Meiryo UI"/>
                <w:sz w:val="18"/>
              </w:rPr>
              <w:t>▲29% YoY</w:t>
            </w:r>
          </w:p>
        </w:tc>
        <w:tc>
          <w:tcPr>
            <w:tcW w:type="dxa" w:w="2351"/>
          </w:tcPr>
          <w:p>
            <w:r>
              <w:rPr>
                <w:rFonts w:ascii="Meiryo UI" w:hAnsi="Meiryo UI"/>
                <w:sz w:val="18"/>
              </w:rPr>
              <w:t>EV市場調整で逆風</w:t>
            </w:r>
          </w:p>
        </w:tc>
      </w:tr>
    </w:tbl>
    <w:p/>
    <w:p>
      <w:r>
        <w:rPr>
          <w:rFonts w:ascii="Meiryo UI" w:hAnsi="Meiryo UI"/>
          <w:sz w:val="20"/>
        </w:rPr>
        <w:t>主要顧客：Lam Research、Applied Materials、東京エレクトロン、中国ローカルメーカー</w:t>
      </w:r>
    </w:p>
    <w:p/>
    <w:p>
      <w:r>
        <w:rPr>
          <w:rFonts w:ascii="Meiryo UI" w:hAnsi="Meiryo UI"/>
          <w:sz w:val="20"/>
        </w:rPr>
        <w:t>地理的二元戦略：</w:t>
      </w:r>
    </w:p>
    <w:p>
      <w:pPr>
        <w:pStyle w:val="ListBullet"/>
      </w:pPr>
      <w:r>
        <w:rPr>
          <w:rFonts w:ascii="Meiryo UI" w:hAnsi="Meiryo UI"/>
          <w:sz w:val="20"/>
        </w:rPr>
        <w:t>中国向け：売上約40%。北京新工場（2027年6月稼働予定）で維持</w:t>
      </w:r>
    </w:p>
    <w:p>
      <w:pPr>
        <w:pStyle w:val="ListBullet"/>
      </w:pPr>
      <w:r>
        <w:rPr>
          <w:rFonts w:ascii="Meiryo UI" w:hAnsi="Meiryo UI"/>
          <w:sz w:val="20"/>
        </w:rPr>
        <w:t>Ex-China：マレーシア・日本で生産能力増強（地政学リスクヘッジ）</w:t>
      </w:r>
    </w:p>
    <w:p/>
    <w:p>
      <w:r>
        <w:t>──────────────────────────────────────────────────</w:t>
      </w:r>
    </w:p>
    <w:p/>
    <w:p>
      <w:pPr>
        <w:pStyle w:val="Heading2"/>
      </w:pPr>
      <w:r>
        <w:rPr>
          <w:rFonts w:ascii="Meiryo UI" w:hAnsi="Meiryo UI"/>
          <w:color w:val="2E74B5"/>
        </w:rPr>
        <w:t>Q-1実績・定性変化（Q1-Q3 FY3/26：2025年4月〜12月）</w:t>
      </w:r>
    </w:p>
    <w:p/>
    <w:p>
      <w:r>
        <w:rPr>
          <w:rFonts w:ascii="Meiryo UI" w:hAnsi="Meiryo UI"/>
          <w:sz w:val="20"/>
        </w:rPr>
        <w:t>実績：売上¥211.6B（+5.0% YoY）、OP¥21.8B（+11.0% YoY）</w:t>
      </w:r>
    </w:p>
    <w:p/>
    <w:p>
      <w:pPr>
        <w:pStyle w:val="Heading3"/>
      </w:pPr>
      <w:r>
        <w:rPr>
          <w:rFonts w:ascii="Meiryo UI" w:hAnsi="Meiryo UI"/>
          <w:color w:val="2E74B5"/>
        </w:rPr>
        <w:t>定性変化（重要）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変化点</w:t>
            </w:r>
          </w:p>
        </w:tc>
        <w:tc>
          <w:tcPr>
            <w:tcW w:type="dxa" w:w="3135"/>
            <w:shd w:val="clear" w:color="auto" w:fill="2E74B5"/>
          </w:tcPr>
          <w:p>
            <w:r>
              <w:rPr>
                <w:rFonts w:ascii="Meiryo UI" w:hAnsi="Meiryo UI"/>
                <w:b/>
                <w:color w:val="FFFFFF"/>
                <w:sz w:val="18"/>
              </w:rPr>
              <w:t>詳細</w:t>
            </w:r>
          </w:p>
        </w:tc>
        <w:tc>
          <w:tcPr>
            <w:tcW w:type="dxa" w:w="3135"/>
            <w:shd w:val="clear" w:color="auto" w:fill="2E74B5"/>
          </w:tcPr>
          <w:p>
            <w:r>
              <w:rPr>
                <w:rFonts w:ascii="Meiryo UI" w:hAnsi="Meiryo UI"/>
                <w:b/>
                <w:color w:val="FFFFFF"/>
                <w:sz w:val="18"/>
              </w:rPr>
              <w:t>業績影響</w:t>
            </w:r>
          </w:p>
        </w:tc>
      </w:tr>
      <w:tr>
        <w:tc>
          <w:tcPr>
            <w:tcW w:type="dxa" w:w="3135"/>
          </w:tcPr>
          <w:p>
            <w:r>
              <w:rPr>
                <w:rFonts w:ascii="Meiryo UI" w:hAnsi="Meiryo UI"/>
                <w:sz w:val="18"/>
              </w:rPr>
              <w:t>熱電モジュール急拡大</w:t>
            </w:r>
          </w:p>
        </w:tc>
        <w:tc>
          <w:tcPr>
            <w:tcW w:type="dxa" w:w="3135"/>
          </w:tcPr>
          <w:p>
            <w:r>
              <w:rPr>
                <w:rFonts w:ascii="Meiryo UI" w:hAnsi="Meiryo UI"/>
                <w:sz w:val="18"/>
              </w:rPr>
              <w:t>データセンター向け光トランシーバー用途でOP+45.9%。AIインフラ投資の直接受益</w:t>
            </w:r>
          </w:p>
        </w:tc>
        <w:tc>
          <w:tcPr>
            <w:tcW w:type="dxa" w:w="3135"/>
          </w:tcPr>
          <w:p>
            <w:r>
              <w:rPr>
                <w:rFonts w:ascii="Meiryo UI" w:hAnsi="Meiryo UI"/>
                <w:sz w:val="18"/>
              </w:rPr>
              <w:t>強くポジティブ</w:t>
            </w:r>
          </w:p>
        </w:tc>
      </w:tr>
      <w:tr>
        <w:tc>
          <w:tcPr>
            <w:tcW w:type="dxa" w:w="3135"/>
            <w:shd w:val="clear" w:color="auto" w:fill="DDEBF7"/>
          </w:tcPr>
          <w:p>
            <w:r>
              <w:rPr>
                <w:rFonts w:ascii="Meiryo UI" w:hAnsi="Meiryo UI"/>
                <w:sz w:val="18"/>
              </w:rPr>
              <w:t>WFE需要の底打ち確認</w:t>
            </w:r>
          </w:p>
        </w:tc>
        <w:tc>
          <w:tcPr>
            <w:tcW w:type="dxa" w:w="3135"/>
            <w:shd w:val="clear" w:color="auto" w:fill="DDEBF7"/>
          </w:tcPr>
          <w:p>
            <w:r>
              <w:rPr>
                <w:rFonts w:ascii="Meiryo UI" w:hAnsi="Meiryo UI"/>
                <w:sz w:val="18"/>
              </w:rPr>
              <w:t>Q4 FY26またはQ1 FY27から半導体関連製品の需要回復見込み</w:t>
            </w:r>
          </w:p>
        </w:tc>
        <w:tc>
          <w:tcPr>
            <w:tcW w:type="dxa" w:w="3135"/>
            <w:shd w:val="clear" w:color="auto" w:fill="DDEBF7"/>
          </w:tcPr>
          <w:p>
            <w:r>
              <w:rPr>
                <w:rFonts w:ascii="Meiryo UI" w:hAnsi="Meiryo UI"/>
                <w:sz w:val="18"/>
              </w:rPr>
              <w:t>ポジティブ（時間軸に注意）</w:t>
            </w:r>
          </w:p>
        </w:tc>
      </w:tr>
      <w:tr>
        <w:tc>
          <w:tcPr>
            <w:tcW w:type="dxa" w:w="3135"/>
          </w:tcPr>
          <w:p>
            <w:r>
              <w:rPr>
                <w:rFonts w:ascii="Meiryo UI" w:hAnsi="Meiryo UI"/>
                <w:sz w:val="18"/>
              </w:rPr>
              <w:t>自動車事業の調整</w:t>
            </w:r>
          </w:p>
        </w:tc>
        <w:tc>
          <w:tcPr>
            <w:tcW w:type="dxa" w:w="3135"/>
          </w:tcPr>
          <w:p>
            <w:r>
              <w:rPr>
                <w:rFonts w:ascii="Meiryo UI" w:hAnsi="Meiryo UI"/>
                <w:sz w:val="18"/>
              </w:rPr>
              <w:t>EV市場価格競争でOP▲29% YoY。中国EV向けが主因</w:t>
            </w:r>
          </w:p>
        </w:tc>
        <w:tc>
          <w:tcPr>
            <w:tcW w:type="dxa" w:w="3135"/>
          </w:tcPr>
          <w:p>
            <w:r>
              <w:rPr>
                <w:rFonts w:ascii="Meiryo UI" w:hAnsi="Meiryo UI"/>
                <w:sz w:val="18"/>
              </w:rPr>
              <w:t>ネガティブ（構造的？）</w:t>
            </w:r>
          </w:p>
        </w:tc>
      </w:tr>
      <w:tr>
        <w:tc>
          <w:tcPr>
            <w:tcW w:type="dxa" w:w="3135"/>
            <w:shd w:val="clear" w:color="auto" w:fill="DDEBF7"/>
          </w:tcPr>
          <w:p>
            <w:r>
              <w:rPr>
                <w:rFonts w:ascii="Meiryo UI" w:hAnsi="Meiryo UI"/>
                <w:sz w:val="18"/>
              </w:rPr>
              <w:t>JPM証券 8.72%（本日）</w:t>
            </w:r>
          </w:p>
        </w:tc>
        <w:tc>
          <w:tcPr>
            <w:tcW w:type="dxa" w:w="3135"/>
            <w:shd w:val="clear" w:color="auto" w:fill="DDEBF7"/>
          </w:tcPr>
          <w:p>
            <w:r>
              <w:rPr>
                <w:rFonts w:ascii="Meiryo UI" w:hAnsi="Meiryo UI"/>
                <w:sz w:val="18"/>
              </w:rPr>
              <w:t>6.46%→8.72%、+2.26pt大幅増加。プロップデスクの本格参入</w:t>
            </w:r>
          </w:p>
        </w:tc>
        <w:tc>
          <w:tcPr>
            <w:tcW w:type="dxa" w:w="3135"/>
            <w:shd w:val="clear" w:color="auto" w:fill="DDEBF7"/>
          </w:tcPr>
          <w:p>
            <w:r>
              <w:rPr>
                <w:rFonts w:ascii="Meiryo UI" w:hAnsi="Meiryo UI"/>
                <w:sz w:val="18"/>
              </w:rPr>
              <w:t>強いポジティブ需給シグナル</w:t>
            </w:r>
          </w:p>
        </w:tc>
      </w:tr>
      <w:tr>
        <w:tc>
          <w:tcPr>
            <w:tcW w:type="dxa" w:w="3135"/>
          </w:tcPr>
          <w:p>
            <w:r>
              <w:rPr>
                <w:rFonts w:ascii="Meiryo UI" w:hAnsi="Meiryo UI"/>
                <w:sz w:val="18"/>
              </w:rPr>
              <w:t>子会社資本政策</w:t>
            </w:r>
          </w:p>
        </w:tc>
        <w:tc>
          <w:tcPr>
            <w:tcW w:type="dxa" w:w="3135"/>
          </w:tcPr>
          <w:p>
            <w:r>
              <w:rPr>
                <w:rFonts w:ascii="Meiryo UI" w:hAnsi="Meiryo UI"/>
                <w:sz w:val="18"/>
              </w:rPr>
              <w:t>持分法損益・少数株主持分が連結NI変動を拡大。方向性不透明</w:t>
            </w:r>
          </w:p>
        </w:tc>
        <w:tc>
          <w:tcPr>
            <w:tcW w:type="dxa" w:w="3135"/>
          </w:tcPr>
          <w:p>
            <w:r>
              <w:rPr>
                <w:rFonts w:ascii="Meiryo UI" w:hAnsi="Meiryo UI"/>
                <w:sz w:val="18"/>
              </w:rPr>
              <w:t>ネガティブ（能見性低下）</w:t>
            </w:r>
          </w:p>
        </w:tc>
      </w:tr>
    </w:tbl>
    <w:p/>
    <w:p>
      <w:r>
        <w:t>──────────────────────────────────────────────────</w:t>
      </w:r>
    </w:p>
    <w:p/>
    <w:p>
      <w:pPr>
        <w:pStyle w:val="Heading2"/>
      </w:pPr>
      <w:r>
        <w:rPr>
          <w:rFonts w:ascii="Meiryo UI" w:hAnsi="Meiryo UI"/>
          <w:color w:val="2E74B5"/>
        </w:rPr>
        <w:t>業績予想・ガイダンス考察</w:t>
      </w:r>
    </w:p>
    <w:p/>
    <w:p>
      <w:pPr>
        <w:pStyle w:val="Heading3"/>
      </w:pPr>
      <w:r>
        <w:rPr>
          <w:rFonts w:ascii="Meiryo UI" w:hAnsi="Meiryo UI"/>
          <w:color w:val="2E74B5"/>
        </w:rPr>
        <w:t>業績推移と予想</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期</w:t>
            </w:r>
          </w:p>
        </w:tc>
        <w:tc>
          <w:tcPr>
            <w:tcW w:type="dxa" w:w="1568"/>
            <w:shd w:val="clear" w:color="auto" w:fill="2E74B5"/>
          </w:tcPr>
          <w:p>
            <w:r>
              <w:rPr>
                <w:rFonts w:ascii="Meiryo UI" w:hAnsi="Meiryo UI"/>
                <w:b/>
                <w:color w:val="FFFFFF"/>
                <w:sz w:val="18"/>
              </w:rPr>
              <w:t>売上（¥B）</w:t>
            </w:r>
          </w:p>
        </w:tc>
        <w:tc>
          <w:tcPr>
            <w:tcW w:type="dxa" w:w="1568"/>
            <w:shd w:val="clear" w:color="auto" w:fill="2E74B5"/>
          </w:tcPr>
          <w:p>
            <w:r>
              <w:rPr>
                <w:rFonts w:ascii="Meiryo UI" w:hAnsi="Meiryo UI"/>
                <w:b/>
                <w:color w:val="FFFFFF"/>
                <w:sz w:val="18"/>
              </w:rPr>
              <w:t>OP（¥B）</w:t>
            </w:r>
          </w:p>
        </w:tc>
        <w:tc>
          <w:tcPr>
            <w:tcW w:type="dxa" w:w="1568"/>
            <w:shd w:val="clear" w:color="auto" w:fill="2E74B5"/>
          </w:tcPr>
          <w:p>
            <w:r>
              <w:rPr>
                <w:rFonts w:ascii="Meiryo UI" w:hAnsi="Meiryo UI"/>
                <w:b/>
                <w:color w:val="FFFFFF"/>
                <w:sz w:val="18"/>
              </w:rPr>
              <w:t>NI（¥B）</w:t>
            </w:r>
          </w:p>
        </w:tc>
        <w:tc>
          <w:tcPr>
            <w:tcW w:type="dxa" w:w="1568"/>
            <w:shd w:val="clear" w:color="auto" w:fill="2E74B5"/>
          </w:tcPr>
          <w:p>
            <w:r>
              <w:rPr>
                <w:rFonts w:ascii="Meiryo UI" w:hAnsi="Meiryo UI"/>
                <w:b/>
                <w:color w:val="FFFFFF"/>
                <w:sz w:val="18"/>
              </w:rPr>
              <w:t>EPS（¥）</w:t>
            </w:r>
          </w:p>
        </w:tc>
        <w:tc>
          <w:tcPr>
            <w:tcW w:type="dxa" w:w="1568"/>
            <w:shd w:val="clear" w:color="auto" w:fill="2E74B5"/>
          </w:tcPr>
          <w:p>
            <w:r>
              <w:rPr>
                <w:rFonts w:ascii="Meiryo UI" w:hAnsi="Meiryo UI"/>
                <w:b/>
                <w:color w:val="FFFFFF"/>
                <w:sz w:val="18"/>
              </w:rPr>
              <w:t>備考</w:t>
            </w:r>
          </w:p>
        </w:tc>
      </w:tr>
      <w:tr>
        <w:tc>
          <w:tcPr>
            <w:tcW w:type="dxa" w:w="1568"/>
          </w:tcPr>
          <w:p>
            <w:r>
              <w:rPr>
                <w:rFonts w:ascii="Meiryo UI" w:hAnsi="Meiryo UI"/>
                <w:sz w:val="18"/>
              </w:rPr>
              <w:t>FY3/25（実績）</w:t>
            </w:r>
          </w:p>
        </w:tc>
        <w:tc>
          <w:tcPr>
            <w:tcW w:type="dxa" w:w="1568"/>
          </w:tcPr>
          <w:p>
            <w:r>
              <w:rPr>
                <w:rFonts w:ascii="Meiryo UI" w:hAnsi="Meiryo UI"/>
                <w:sz w:val="18"/>
              </w:rPr>
              <w:t>~272B</w:t>
            </w:r>
          </w:p>
        </w:tc>
        <w:tc>
          <w:tcPr>
            <w:tcW w:type="dxa" w:w="1568"/>
          </w:tcPr>
          <w:p>
            <w:r>
              <w:rPr>
                <w:rFonts w:ascii="Meiryo UI" w:hAnsi="Meiryo UI"/>
                <w:sz w:val="18"/>
              </w:rPr>
              <w:t>~24B</w:t>
            </w:r>
          </w:p>
        </w:tc>
        <w:tc>
          <w:tcPr>
            <w:tcW w:type="dxa" w:w="1568"/>
          </w:tcPr>
          <w:p>
            <w:r>
              <w:rPr>
                <w:rFonts w:ascii="Meiryo UI" w:hAnsi="Meiryo UI"/>
                <w:sz w:val="18"/>
              </w:rPr>
              <w:t>11.2E</w:t>
            </w:r>
          </w:p>
        </w:tc>
        <w:tc>
          <w:tcPr>
            <w:tcW w:type="dxa" w:w="1568"/>
          </w:tcPr>
          <w:p>
            <w:r>
              <w:rPr>
                <w:rFonts w:ascii="Meiryo UI" w:hAnsi="Meiryo UI"/>
                <w:sz w:val="18"/>
              </w:rPr>
              <w:t>238.5</w:t>
            </w:r>
          </w:p>
        </w:tc>
        <w:tc>
          <w:tcPr>
            <w:tcW w:type="dxa" w:w="1568"/>
          </w:tcPr>
          <w:p>
            <w:r>
              <w:rPr>
                <w:rFonts w:ascii="Meiryo UI" w:hAnsi="Meiryo UI"/>
                <w:sz w:val="18"/>
              </w:rPr>
              <w:t>逆算推計</w:t>
            </w:r>
          </w:p>
        </w:tc>
      </w:tr>
      <w:tr>
        <w:tc>
          <w:tcPr>
            <w:tcW w:type="dxa" w:w="1568"/>
            <w:shd w:val="clear" w:color="auto" w:fill="DDEBF7"/>
          </w:tcPr>
          <w:p>
            <w:r>
              <w:rPr>
                <w:rFonts w:ascii="Meiryo UI" w:hAnsi="Meiryo UI"/>
                <w:sz w:val="18"/>
              </w:rPr>
              <w:t>FY3/26E（会社ガイダンス）</w:t>
            </w:r>
          </w:p>
        </w:tc>
        <w:tc>
          <w:tcPr>
            <w:tcW w:type="dxa" w:w="1568"/>
            <w:shd w:val="clear" w:color="auto" w:fill="DDEBF7"/>
          </w:tcPr>
          <w:p>
            <w:r>
              <w:rPr>
                <w:rFonts w:ascii="Meiryo UI" w:hAnsi="Meiryo UI"/>
                <w:sz w:val="18"/>
              </w:rPr>
              <w:t>~283B</w:t>
            </w:r>
          </w:p>
        </w:tc>
        <w:tc>
          <w:tcPr>
            <w:tcW w:type="dxa" w:w="1568"/>
            <w:shd w:val="clear" w:color="auto" w:fill="DDEBF7"/>
          </w:tcPr>
          <w:p>
            <w:r>
              <w:rPr>
                <w:rFonts w:ascii="Meiryo UI" w:hAnsi="Meiryo UI"/>
                <w:sz w:val="18"/>
              </w:rPr>
              <w:t>~30B</w:t>
            </w:r>
          </w:p>
        </w:tc>
        <w:tc>
          <w:tcPr>
            <w:tcW w:type="dxa" w:w="1568"/>
            <w:shd w:val="clear" w:color="auto" w:fill="DDEBF7"/>
          </w:tcPr>
          <w:p>
            <w:r>
              <w:rPr>
                <w:rFonts w:ascii="Meiryo UI" w:hAnsi="Meiryo UI"/>
                <w:sz w:val="18"/>
              </w:rPr>
              <w:t>13.8E</w:t>
            </w:r>
          </w:p>
        </w:tc>
        <w:tc>
          <w:tcPr>
            <w:tcW w:type="dxa" w:w="1568"/>
            <w:shd w:val="clear" w:color="auto" w:fill="DDEBF7"/>
          </w:tcPr>
          <w:p>
            <w:r>
              <w:rPr>
                <w:rFonts w:ascii="Meiryo UI" w:hAnsi="Meiryo UI"/>
                <w:sz w:val="18"/>
              </w:rPr>
              <w:t>~295E</w:t>
            </w:r>
          </w:p>
        </w:tc>
        <w:tc>
          <w:tcPr>
            <w:tcW w:type="dxa" w:w="1568"/>
            <w:shd w:val="clear" w:color="auto" w:fill="DDEBF7"/>
          </w:tcPr>
          <w:p>
            <w:r>
              <w:rPr>
                <w:rFonts w:ascii="Meiryo UI" w:hAnsi="Meiryo UI"/>
                <w:sz w:val="18"/>
              </w:rPr>
              <w:t>通期+25% OP</w:t>
            </w:r>
          </w:p>
        </w:tc>
      </w:tr>
      <w:tr>
        <w:tc>
          <w:tcPr>
            <w:tcW w:type="dxa" w:w="1568"/>
          </w:tcPr>
          <w:p>
            <w:r>
              <w:rPr>
                <w:rFonts w:ascii="Meiryo UI" w:hAnsi="Meiryo UI"/>
                <w:sz w:val="18"/>
              </w:rPr>
              <w:t>FY3/27E（コンセンサス）</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21.1E</w:t>
            </w:r>
          </w:p>
        </w:tc>
        <w:tc>
          <w:tcPr>
            <w:tcW w:type="dxa" w:w="1568"/>
          </w:tcPr>
          <w:p>
            <w:r>
              <w:rPr>
                <w:rFonts w:ascii="Meiryo UI" w:hAnsi="Meiryo UI"/>
                <w:sz w:val="18"/>
              </w:rPr>
              <w:t>453.4</w:t>
            </w:r>
          </w:p>
        </w:tc>
        <w:tc>
          <w:tcPr>
            <w:tcW w:type="dxa" w:w="1568"/>
          </w:tcPr>
          <w:p>
            <w:r>
              <w:rPr>
                <w:rFonts w:ascii="Meiryo UI" w:hAnsi="Meiryo UI"/>
                <w:sz w:val="18"/>
              </w:rPr>
              <w:t>WFE回復フル寄与</w:t>
            </w:r>
          </w:p>
        </w:tc>
      </w:tr>
      <w:tr>
        <w:tc>
          <w:tcPr>
            <w:tcW w:type="dxa" w:w="1568"/>
            <w:shd w:val="clear" w:color="auto" w:fill="DDEBF7"/>
          </w:tcPr>
          <w:p>
            <w:r>
              <w:rPr>
                <w:rFonts w:ascii="Meiryo UI" w:hAnsi="Meiryo UI"/>
                <w:sz w:val="18"/>
              </w:rPr>
              <w:t>FY3/28E（SMBC日興想定）</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~498E</w:t>
            </w:r>
          </w:p>
        </w:tc>
        <w:tc>
          <w:tcPr>
            <w:tcW w:type="dxa" w:w="1568"/>
            <w:shd w:val="clear" w:color="auto" w:fill="DDEBF7"/>
          </w:tcPr>
          <w:p>
            <w:r>
              <w:rPr>
                <w:rFonts w:ascii="Meiryo UI" w:hAnsi="Meiryo UI"/>
                <w:sz w:val="18"/>
              </w:rPr>
              <w:t>17.5x→TP¥8,700算出元</w:t>
            </w:r>
          </w:p>
        </w:tc>
      </w:tr>
    </w:tbl>
    <w:p/>
    <w:p>
      <w:r>
        <w:rPr>
          <w:rFonts w:ascii="Meiryo UI" w:hAnsi="Meiryo UI"/>
          <w:sz w:val="20"/>
        </w:rPr>
        <w:t>FY27E EPS¥453.4は前年比+53.6%。WFE回復+熱電モジュール加速がドライバー</w:t>
      </w:r>
    </w:p>
    <w:p/>
    <w:p>
      <w:pPr>
        <w:pStyle w:val="Heading3"/>
      </w:pPr>
      <w:r>
        <w:rPr>
          <w:rFonts w:ascii="Meiryo UI" w:hAnsi="Meiryo UI"/>
          <w:color w:val="2E74B5"/>
        </w:rPr>
        <w:t>ガイダンス評価</w:t>
      </w:r>
    </w:p>
    <w:p>
      <w:pPr>
        <w:pStyle w:val="ListBullet"/>
      </w:pPr>
      <w:r>
        <w:rPr>
          <w:rFonts w:ascii="Meiryo UI" w:hAnsi="Meiryo UI"/>
          <w:sz w:val="20"/>
        </w:rPr>
        <w:t>Q1-Q3でOP+11%にもかかわらず通期+25%を維持 → Q4偏重の構造。Q4の実績確認が最重要カタリスト</w:t>
      </w:r>
    </w:p>
    <w:p>
      <w:pPr>
        <w:pStyle w:val="ListBullet"/>
      </w:pPr>
      <w:r>
        <w:rPr>
          <w:rFonts w:ascii="Meiryo UI" w:hAnsi="Meiryo UI"/>
          <w:sz w:val="20"/>
        </w:rPr>
        <w:t>熱電モジュール需要は「FY27以降に本格化」→ FY27Eの¥453.4は現在のコンセンサスが織込みきれていない可能性あり</w:t>
      </w:r>
    </w:p>
    <w:p/>
    <w:p>
      <w:r>
        <w:t>──────────────────────────────────────────────────</w:t>
      </w:r>
    </w:p>
    <w:p/>
    <w:p>
      <w:pPr>
        <w:pStyle w:val="Heading2"/>
      </w:pPr>
      <w:r>
        <w:rPr>
          <w:rFonts w:ascii="Meiryo UI" w:hAnsi="Meiryo UI"/>
          <w:color w:val="2E74B5"/>
        </w:rPr>
        <w:t>公正価値算定（4手法ブレンド）</w:t>
      </w:r>
    </w:p>
    <w:p/>
    <w:p>
      <w:pPr>
        <w:pStyle w:val="Heading3"/>
      </w:pPr>
      <w:r>
        <w:rPr>
          <w:rFonts w:ascii="Meiryo UI" w:hAnsi="Meiryo UI"/>
          <w:color w:val="2E74B5"/>
        </w:rPr>
        <w:t>CAPM前提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Rf（10年JGB）</w:t>
            </w:r>
          </w:p>
        </w:tc>
        <w:tc>
          <w:tcPr>
            <w:tcW w:type="dxa" w:w="3135"/>
          </w:tcPr>
          <w:p>
            <w:r>
              <w:rPr>
                <w:rFonts w:ascii="Meiryo UI" w:hAnsi="Meiryo UI"/>
                <w:sz w:val="18"/>
              </w:rPr>
              <w:t>2.380%</w:t>
            </w:r>
          </w:p>
        </w:tc>
        <w:tc>
          <w:tcPr>
            <w:tcW w:type="dxa" w:w="3135"/>
          </w:tcPr>
          <w:p>
            <w:r>
              <w:rPr>
                <w:rFonts w:ascii="Meiryo UI" w:hAnsi="Meiryo UI"/>
                <w:sz w:val="18"/>
              </w:rPr>
              <w:t>竹村TCプロトコル固定値</w:t>
            </w:r>
          </w:p>
        </w:tc>
      </w:tr>
      <w:tr>
        <w:tc>
          <w:tcPr>
            <w:tcW w:type="dxa" w:w="3135"/>
            <w:shd w:val="clear" w:color="auto" w:fill="DDEBF7"/>
          </w:tcPr>
          <w:p>
            <w:r>
              <w:rPr>
                <w:rFonts w:ascii="Meiryo UI" w:hAnsi="Meiryo UI"/>
                <w:sz w:val="18"/>
              </w:rPr>
              <w:t>Beta</w:t>
            </w:r>
          </w:p>
        </w:tc>
        <w:tc>
          <w:tcPr>
            <w:tcW w:type="dxa" w:w="3135"/>
            <w:shd w:val="clear" w:color="auto" w:fill="DDEBF7"/>
          </w:tcPr>
          <w:p>
            <w:r>
              <w:rPr>
                <w:rFonts w:ascii="Meiryo UI" w:hAnsi="Meiryo UI"/>
                <w:sz w:val="18"/>
              </w:rPr>
              <w:t>1.026</w:t>
            </w:r>
          </w:p>
        </w:tc>
        <w:tc>
          <w:tcPr>
            <w:tcW w:type="dxa" w:w="3135"/>
            <w:shd w:val="clear" w:color="auto" w:fill="DDEBF7"/>
          </w:tcPr>
          <w:p>
            <w:r>
              <w:rPr>
                <w:rFonts w:ascii="Meiryo UI" w:hAnsi="Meiryo UI"/>
                <w:sz w:val="18"/>
              </w:rPr>
              <w:t>yfinance取得（市場感応度ほぼ等倍）</w:t>
            </w:r>
          </w:p>
        </w:tc>
      </w:tr>
      <w:tr>
        <w:tc>
          <w:tcPr>
            <w:tcW w:type="dxa" w:w="3135"/>
          </w:tcPr>
          <w:p>
            <w:r>
              <w:rPr>
                <w:rFonts w:ascii="Meiryo UI" w:hAnsi="Meiryo UI"/>
                <w:sz w:val="18"/>
              </w:rPr>
              <w:t>ERP</w:t>
            </w:r>
          </w:p>
        </w:tc>
        <w:tc>
          <w:tcPr>
            <w:tcW w:type="dxa" w:w="3135"/>
          </w:tcPr>
          <w:p>
            <w:r>
              <w:rPr>
                <w:rFonts w:ascii="Meiryo UI" w:hAnsi="Meiryo UI"/>
                <w:sz w:val="18"/>
              </w:rPr>
              <w:t>6.0%</w:t>
            </w:r>
          </w:p>
        </w:tc>
        <w:tc>
          <w:tcPr>
            <w:tcW w:type="dxa" w:w="3135"/>
          </w:tcPr>
          <w:p>
            <w:r>
              <w:rPr>
                <w:rFonts w:ascii="Meiryo UI" w:hAnsi="Meiryo UI"/>
                <w:sz w:val="18"/>
              </w:rPr>
              <w:t>竹村TCプロトコル標準</w:t>
            </w:r>
          </w:p>
        </w:tc>
      </w:tr>
      <w:tr>
        <w:tc>
          <w:tcPr>
            <w:tcW w:type="dxa" w:w="3135"/>
            <w:shd w:val="clear" w:color="auto" w:fill="DDEBF7"/>
          </w:tcPr>
          <w:p>
            <w:r>
              <w:rPr>
                <w:rFonts w:ascii="Meiryo UI" w:hAnsi="Meiryo UI"/>
                <w:sz w:val="18"/>
              </w:rPr>
              <w:t>r（株主資本コスト）</w:t>
            </w:r>
          </w:p>
        </w:tc>
        <w:tc>
          <w:tcPr>
            <w:tcW w:type="dxa" w:w="3135"/>
            <w:shd w:val="clear" w:color="auto" w:fill="DDEBF7"/>
          </w:tcPr>
          <w:p>
            <w:r>
              <w:rPr>
                <w:rFonts w:ascii="Meiryo UI" w:hAnsi="Meiryo UI"/>
                <w:sz w:val="18"/>
              </w:rPr>
              <w:t>8.536%</w:t>
            </w:r>
          </w:p>
        </w:tc>
        <w:tc>
          <w:tcPr>
            <w:tcW w:type="dxa" w:w="3135"/>
            <w:shd w:val="clear" w:color="auto" w:fill="DDEBF7"/>
          </w:tcPr>
          <w:p>
            <w:r>
              <w:rPr>
                <w:rFonts w:ascii="Meiryo UI" w:hAnsi="Meiryo UI"/>
                <w:sz w:val="18"/>
              </w:rPr>
              <w:t>2.380% + 1.026×6.0%</w:t>
            </w:r>
          </w:p>
        </w:tc>
      </w:tr>
    </w:tbl>
    <w:p/>
    <w:p>
      <w:r>
        <w:rPr>
          <w:rFonts w:ascii="Meiryo UI" w:hAnsi="Meiryo UI"/>
          <w:sz w:val="20"/>
        </w:rPr>
        <w:t>&gt; ⚠️ 提供分析はERP=5.5%を使用 → 当社プロトコル（ERP=6.0%）より割引率が高くなる。FVは提供分析より若干保守的に算出される。</w:t>
      </w:r>
    </w:p>
    <w:p/>
    <w:p>
      <w:r>
        <w:t>──────────────────────────────────────────────────</w:t>
      </w:r>
    </w:p>
    <w:p/>
    <w:p>
      <w:pPr>
        <w:pStyle w:val="Heading3"/>
      </w:pPr>
      <w:r>
        <w:rPr>
          <w:rFonts w:ascii="Meiryo UI" w:hAnsi="Meiryo UI"/>
          <w:color w:val="2E74B5"/>
        </w:rPr>
        <w:t>手法1：Forward P/E（FY3/27E）</w:t>
      </w:r>
    </w:p>
    <w:p/>
    <w:p>
      <w:pPr>
        <w:pStyle w:val="ListBullet"/>
      </w:pPr>
      <w:r>
        <w:rPr>
          <w:rFonts w:ascii="Meiryo UI" w:hAnsi="Meiryo UI"/>
          <w:sz w:val="20"/>
        </w:rPr>
        <w:t>FY3/27E EPS：¥453.4（提供分析コンセンサス）/ yfinance forward ¥440.1 → 採用¥450（中間値）</w:t>
      </w:r>
    </w:p>
    <w:p>
      <w:pPr>
        <w:pStyle w:val="ListBullet"/>
      </w:pPr>
      <w:r>
        <w:rPr>
          <w:rFonts w:ascii="Meiryo UI" w:hAnsi="Meiryo UI"/>
          <w:sz w:val="20"/>
        </w:rPr>
        <w:t>適正P/E根拠：</w:t>
      </w:r>
    </w:p>
    <w:p>
      <w:pPr>
        <w:pStyle w:val="ListBullet"/>
      </w:pPr>
      <w:r>
        <w:rPr>
          <w:rFonts w:ascii="Meiryo UI" w:hAnsi="Meiryo UI"/>
          <w:sz w:val="20"/>
        </w:rPr>
        <w:t>半導体装置部品・サイクル回復初期：SMBC日興17.5x、ピアレンジ15-20x</w:t>
      </w:r>
    </w:p>
    <w:p>
      <w:pPr>
        <w:pStyle w:val="ListBullet"/>
      </w:pPr>
      <w:r>
        <w:rPr>
          <w:rFonts w:ascii="Meiryo UI" w:hAnsi="Meiryo UI"/>
          <w:sz w:val="20"/>
        </w:rPr>
        <w:t>r=8.536%、terminal g=3%のターミナルP/E = (0.20×1.03)/(0.08536-0.03) = 3.72x（成長プレミアム加算前）</w:t>
      </w:r>
    </w:p>
    <w:p>
      <w:pPr>
        <w:pStyle w:val="ListBullet"/>
      </w:pPr>
      <w:r>
        <w:rPr>
          <w:rFonts w:ascii="Meiryo UI" w:hAnsi="Meiryo UI"/>
          <w:sz w:val="20"/>
        </w:rPr>
        <w:t>WFE回復×AI熱電モジュール成長フェーズ: 17xを採用</w:t>
      </w:r>
    </w:p>
    <w:p>
      <w:pPr>
        <w:pStyle w:val="ListBullet"/>
      </w:pPr>
      <w:r>
        <w:rPr>
          <w:rFonts w:ascii="Meiryo UI" w:hAnsi="Meiryo UI"/>
          <w:sz w:val="20"/>
        </w:rPr>
        <w:t>FV = ¥450 × 17x = ¥7,650</w:t>
      </w:r>
    </w:p>
    <w:p/>
    <w:p>
      <w:r>
        <w:t>──────────────────────────────────────────────────</w:t>
      </w:r>
    </w:p>
    <w:p/>
    <w:p>
      <w:pPr>
        <w:pStyle w:val="Heading3"/>
      </w:pPr>
      <w:r>
        <w:rPr>
          <w:rFonts w:ascii="Meiryo UI" w:hAnsi="Meiryo UI"/>
          <w:color w:val="2E74B5"/>
        </w:rPr>
        <w:t>手法2：PBR/ROE Justified Model（投資フェーズ調整版）</w:t>
      </w:r>
    </w:p>
    <w:p/>
    <w:p>
      <w:r>
        <w:rPr>
          <w:rFonts w:ascii="Meiryo UI" w:hAnsi="Meiryo UI"/>
          <w:sz w:val="20"/>
        </w:rPr>
        <w:t>&gt; ⚠️ ROEが重要な論点：現在ROE=5.27%はr=8.536%を大幅に下回る。通常のPBR/ROEモデルではJustified PBR&lt;1.0 → 現在PBR1.37は「過大評価」を示す。ただし原因は高capex投資フェーズによる一時的ROE抑制であり、FY27-28に正常化を前提とした修正計算を行う。</w:t>
      </w:r>
    </w:p>
    <w:p/>
    <w:p>
      <w:pPr>
        <w:pStyle w:val="ListBullet"/>
      </w:pPr>
      <w:r>
        <w:rPr>
          <w:rFonts w:ascii="Meiryo UI" w:hAnsi="Meiryo UI"/>
          <w:sz w:val="20"/>
        </w:rPr>
        <w:t>FY28E ROE（capex成熟後）推定：EPS ~¥500 / BPS ~¥6,000 = 8.33%</w:t>
      </w:r>
    </w:p>
    <w:p>
      <w:pPr>
        <w:pStyle w:val="ListBullet"/>
      </w:pPr>
      <w:r>
        <w:rPr>
          <w:rFonts w:ascii="Meiryo UI" w:hAnsi="Meiryo UI"/>
          <w:sz w:val="20"/>
        </w:rPr>
        <w:t>Justified PBR（FY28E）= (0.0833-0.03)/(0.08536-0.03) = 0.0533/0.05536 = 0.963x</w:t>
      </w:r>
    </w:p>
    <w:p>
      <w:pPr>
        <w:pStyle w:val="ListBullet"/>
      </w:pPr>
      <w:r>
        <w:rPr>
          <w:rFonts w:ascii="Meiryo UI" w:hAnsi="Meiryo UI"/>
          <w:sz w:val="20"/>
        </w:rPr>
        <w:t>FY28E BPS：¥6,000（FY27E BPS ¥5,570 × (1+ROE×60%)）</w:t>
      </w:r>
    </w:p>
    <w:p>
      <w:pPr>
        <w:pStyle w:val="ListBullet"/>
      </w:pPr>
      <w:r>
        <w:rPr>
          <w:rFonts w:ascii="Meiryo UI" w:hAnsi="Meiryo UI"/>
          <w:sz w:val="20"/>
        </w:rPr>
        <w:t>FV at FY28：¥6,000 × 0.963 = ¥5,778</w:t>
      </w:r>
    </w:p>
    <w:p>
      <w:pPr>
        <w:pStyle w:val="ListBullet"/>
      </w:pPr>
      <w:r>
        <w:rPr>
          <w:rFonts w:ascii="Meiryo UI" w:hAnsi="Meiryo UI"/>
          <w:sz w:val="20"/>
        </w:rPr>
        <w:t>2年割引（r=8.536%）：¥5,778 / (1.08536)² = ¥5,778 / 1.178 = ¥4,904</w:t>
      </w:r>
    </w:p>
    <w:p/>
    <w:p>
      <w:r>
        <w:rPr>
          <w:rFonts w:ascii="Meiryo UI" w:hAnsi="Meiryo UI"/>
          <w:sz w:val="20"/>
        </w:rPr>
        <w:t>&gt; ROE&lt;rの構造上、PBR/ROEモデルは当銘柄に不適合。参考値として最低ウェイト。</w:t>
      </w:r>
    </w:p>
    <w:p/>
    <w:p>
      <w:r>
        <w:t>──────────────────────────────────────────────────</w:t>
      </w:r>
    </w:p>
    <w:p/>
    <w:p>
      <w:pPr>
        <w:pStyle w:val="Heading3"/>
      </w:pPr>
      <w:r>
        <w:rPr>
          <w:rFonts w:ascii="Meiryo UI" w:hAnsi="Meiryo UI"/>
          <w:color w:val="2E74B5"/>
        </w:rPr>
        <w:t>手法3：EV/EBITDA（設備投資サイクル評価）</w:t>
      </w:r>
    </w:p>
    <w:p/>
    <w:p>
      <w:pPr>
        <w:pStyle w:val="ListBullet"/>
      </w:pPr>
      <w:r>
        <w:rPr>
          <w:rFonts w:ascii="Meiryo UI" w:hAnsi="Meiryo UI"/>
          <w:sz w:val="20"/>
        </w:rPr>
        <w:t>FY26E OP：¥30B（通期ガイダンス+25%から逆算）</w:t>
      </w:r>
    </w:p>
    <w:p>
      <w:pPr>
        <w:pStyle w:val="ListBullet"/>
      </w:pPr>
      <w:r>
        <w:rPr>
          <w:rFonts w:ascii="Meiryo UI" w:hAnsi="Meiryo UI"/>
          <w:sz w:val="20"/>
        </w:rPr>
        <w:t>推定D&amp;A：¥16B（高capex企業、資産規模から試算）</w:t>
      </w:r>
    </w:p>
    <w:p>
      <w:pPr>
        <w:pStyle w:val="ListBullet"/>
      </w:pPr>
      <w:r>
        <w:rPr>
          <w:rFonts w:ascii="Meiryo UI" w:hAnsi="Meiryo UI"/>
          <w:sz w:val="20"/>
        </w:rPr>
        <w:t>FY26E EBITDA：¥46B</w:t>
      </w:r>
    </w:p>
    <w:p>
      <w:pPr>
        <w:pStyle w:val="ListBullet"/>
      </w:pPr>
      <w:r>
        <w:rPr>
          <w:rFonts w:ascii="Meiryo UI" w:hAnsi="Meiryo UI"/>
          <w:sz w:val="20"/>
        </w:rPr>
        <w:t>負債：¥193.0B（yfinance）、推定現預金：¥80B → 純有利子負債：¥113B</w:t>
      </w:r>
    </w:p>
    <w:p>
      <w:pPr>
        <w:pStyle w:val="ListBullet"/>
      </w:pPr>
      <w:r>
        <w:rPr>
          <w:rFonts w:ascii="Meiryo UI" w:hAnsi="Meiryo UI"/>
          <w:sz w:val="20"/>
        </w:rPr>
        <w:t>EV = 時価総額¥320.8B + 純有利子負債¥113B = ¥433.8B</w:t>
      </w:r>
    </w:p>
    <w:p>
      <w:pPr>
        <w:pStyle w:val="ListBullet"/>
      </w:pPr>
      <w:r>
        <w:rPr>
          <w:rFonts w:ascii="Meiryo UI" w:hAnsi="Meiryo UI"/>
          <w:sz w:val="20"/>
        </w:rPr>
        <w:t>現在EV/EBITDA = ¥433.8B / ¥46B = 9.4x（半導体部品ピア10-13x vs 割安）</w:t>
      </w:r>
    </w:p>
    <w:p>
      <w:pPr>
        <w:pStyle w:val="ListBullet"/>
      </w:pPr>
      <w:r>
        <w:rPr>
          <w:rFonts w:ascii="Meiryo UI" w:hAnsi="Meiryo UI"/>
          <w:sz w:val="20"/>
        </w:rPr>
        <w:t>目標EV/EBITDA：11x（回復サイクル中期標準）</w:t>
      </w:r>
    </w:p>
    <w:p>
      <w:pPr>
        <w:pStyle w:val="ListBullet"/>
      </w:pPr>
      <w:r>
        <w:rPr>
          <w:rFonts w:ascii="Meiryo UI" w:hAnsi="Meiryo UI"/>
          <w:sz w:val="20"/>
        </w:rPr>
        <w:t>目標EV：¥46B × 11 = ¥506B</w:t>
      </w:r>
    </w:p>
    <w:p>
      <w:pPr>
        <w:pStyle w:val="ListBullet"/>
      </w:pPr>
      <w:r>
        <w:rPr>
          <w:rFonts w:ascii="Meiryo UI" w:hAnsi="Meiryo UI"/>
          <w:sz w:val="20"/>
        </w:rPr>
        <w:t>FV株主価値：¥506B - ¥113B = ¥393B</w:t>
      </w:r>
    </w:p>
    <w:p>
      <w:pPr>
        <w:pStyle w:val="ListBullet"/>
      </w:pPr>
      <w:r>
        <w:rPr>
          <w:rFonts w:ascii="Meiryo UI" w:hAnsi="Meiryo UI"/>
          <w:sz w:val="20"/>
        </w:rPr>
        <w:t>FV = ¥393B / 46.84M株 = ¥8,390</w:t>
      </w:r>
    </w:p>
    <w:p/>
    <w:p>
      <w:r>
        <w:t>──────────────────────────────────────────────────</w:t>
      </w:r>
    </w:p>
    <w:p/>
    <w:p>
      <w:pPr>
        <w:pStyle w:val="Heading3"/>
      </w:pPr>
      <w:r>
        <w:rPr>
          <w:rFonts w:ascii="Meiryo UI" w:hAnsi="Meiryo UI"/>
          <w:color w:val="2E74B5"/>
        </w:rPr>
        <w:t>手法4：アナリストコンセンサス（SMBC日興）</w:t>
      </w:r>
    </w:p>
    <w:p/>
    <w:p>
      <w:pPr>
        <w:pStyle w:val="ListBullet"/>
      </w:pPr>
      <w:r>
        <w:rPr>
          <w:rFonts w:ascii="Meiryo UI" w:hAnsi="Meiryo UI"/>
          <w:sz w:val="20"/>
        </w:rPr>
        <w:t>TP：¥8,700（Outperform）</w:t>
      </w:r>
    </w:p>
    <w:p>
      <w:pPr>
        <w:pStyle w:val="ListBullet"/>
      </w:pPr>
      <w:r>
        <w:rPr>
          <w:rFonts w:ascii="Meiryo UI" w:hAnsi="Meiryo UI"/>
          <w:sz w:val="20"/>
        </w:rPr>
        <w:t>根拠：FY3/28E EPS × 17.5x P/E</w:t>
      </w:r>
    </w:p>
    <w:p>
      <w:pPr>
        <w:pStyle w:val="ListBullet"/>
      </w:pPr>
      <w:r>
        <w:rPr>
          <w:rFonts w:ascii="Meiryo UI" w:hAnsi="Meiryo UI"/>
          <w:sz w:val="20"/>
        </w:rPr>
        <w:t>ブルケース：¥9,300（WFE+27%/+20%成長）</w:t>
      </w:r>
    </w:p>
    <w:p>
      <w:pPr>
        <w:pStyle w:val="ListBullet"/>
      </w:pPr>
      <w:r>
        <w:rPr>
          <w:rFonts w:ascii="Meiryo UI" w:hAnsi="Meiryo UI"/>
          <w:sz w:val="20"/>
        </w:rPr>
        <w:t>ベアケース：¥3,300（成長鈍化×P/E7x）</w:t>
      </w:r>
    </w:p>
    <w:p>
      <w:pPr>
        <w:pStyle w:val="ListBullet"/>
      </w:pPr>
      <w:r>
        <w:rPr>
          <w:rFonts w:ascii="Meiryo UI" w:hAnsi="Meiryo UI"/>
          <w:sz w:val="20"/>
        </w:rPr>
        <w:t>採用：¥8,700（コンセンサス集約値として重み付け）</w:t>
      </w:r>
    </w:p>
    <w:p/>
    <w:p>
      <w:r>
        <w:t>──────────────────────────────────────────────────</w:t>
      </w:r>
    </w:p>
    <w:p/>
    <w:p>
      <w:pPr>
        <w:pStyle w:val="Heading3"/>
      </w:pPr>
      <w:r>
        <w:rPr>
          <w:rFonts w:ascii="Meiryo UI" w:hAnsi="Meiryo UI"/>
          <w:color w:val="2E74B5"/>
        </w:rPr>
        <w:t>FVブレンド</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手法</w:t>
            </w:r>
          </w:p>
        </w:tc>
        <w:tc>
          <w:tcPr>
            <w:tcW w:type="dxa" w:w="1881"/>
            <w:shd w:val="clear" w:color="auto" w:fill="2E74B5"/>
          </w:tcPr>
          <w:p>
            <w:r>
              <w:rPr>
                <w:rFonts w:ascii="Meiryo UI" w:hAnsi="Meiryo UI"/>
                <w:b/>
                <w:color w:val="FFFFFF"/>
                <w:sz w:val="18"/>
              </w:rPr>
              <w:t>FV</w:t>
            </w:r>
          </w:p>
        </w:tc>
        <w:tc>
          <w:tcPr>
            <w:tcW w:type="dxa" w:w="1881"/>
            <w:shd w:val="clear" w:color="auto" w:fill="2E74B5"/>
          </w:tcPr>
          <w:p>
            <w:r>
              <w:rPr>
                <w:rFonts w:ascii="Meiryo UI" w:hAnsi="Meiryo UI"/>
                <w:b/>
                <w:color w:val="FFFFFF"/>
                <w:sz w:val="18"/>
              </w:rPr>
              <w:t>ウェイト</w:t>
            </w:r>
          </w:p>
        </w:tc>
        <w:tc>
          <w:tcPr>
            <w:tcW w:type="dxa" w:w="1881"/>
            <w:shd w:val="clear" w:color="auto" w:fill="2E74B5"/>
          </w:tcPr>
          <w:p>
            <w:r>
              <w:rPr>
                <w:rFonts w:ascii="Meiryo UI" w:hAnsi="Meiryo UI"/>
                <w:b/>
                <w:color w:val="FFFFFF"/>
                <w:sz w:val="18"/>
              </w:rPr>
              <w:t>寄与</w:t>
            </w:r>
          </w:p>
        </w:tc>
        <w:tc>
          <w:tcPr>
            <w:tcW w:type="dxa" w:w="1881"/>
            <w:shd w:val="clear" w:color="auto" w:fill="2E74B5"/>
          </w:tcPr>
          <w:p>
            <w:r>
              <w:rPr>
                <w:rFonts w:ascii="Meiryo UI" w:hAnsi="Meiryo UI"/>
                <w:b/>
                <w:color w:val="FFFFFF"/>
                <w:sz w:val="18"/>
              </w:rPr>
              <w:t>備考</w:t>
            </w:r>
          </w:p>
        </w:tc>
      </w:tr>
      <w:tr>
        <w:tc>
          <w:tcPr>
            <w:tcW w:type="dxa" w:w="1881"/>
          </w:tcPr>
          <w:p>
            <w:r>
              <w:rPr>
                <w:rFonts w:ascii="Meiryo UI" w:hAnsi="Meiryo UI"/>
                <w:sz w:val="18"/>
              </w:rPr>
              <w:t>①Forward P/E（FY27E）</w:t>
            </w:r>
          </w:p>
        </w:tc>
        <w:tc>
          <w:tcPr>
            <w:tcW w:type="dxa" w:w="1881"/>
          </w:tcPr>
          <w:p>
            <w:r>
              <w:rPr>
                <w:rFonts w:ascii="Meiryo UI" w:hAnsi="Meiryo UI"/>
                <w:sz w:val="18"/>
              </w:rPr>
              <w:t>¥7,650</w:t>
            </w:r>
          </w:p>
        </w:tc>
        <w:tc>
          <w:tcPr>
            <w:tcW w:type="dxa" w:w="1881"/>
          </w:tcPr>
          <w:p>
            <w:r>
              <w:rPr>
                <w:rFonts w:ascii="Meiryo UI" w:hAnsi="Meiryo UI"/>
                <w:sz w:val="18"/>
              </w:rPr>
              <w:t>40%</w:t>
            </w:r>
          </w:p>
        </w:tc>
        <w:tc>
          <w:tcPr>
            <w:tcW w:type="dxa" w:w="1881"/>
          </w:tcPr>
          <w:p>
            <w:r>
              <w:rPr>
                <w:rFonts w:ascii="Meiryo UI" w:hAnsi="Meiryo UI"/>
                <w:sz w:val="18"/>
              </w:rPr>
              <w:t>¥3,060</w:t>
            </w:r>
          </w:p>
        </w:tc>
        <w:tc>
          <w:tcPr>
            <w:tcW w:type="dxa" w:w="1881"/>
          </w:tcPr>
          <w:p>
            <w:r>
              <w:rPr>
                <w:rFonts w:ascii="Meiryo UI" w:hAnsi="Meiryo UI"/>
                <w:sz w:val="18"/>
              </w:rPr>
              <w:t>主軸</w:t>
            </w:r>
          </w:p>
        </w:tc>
      </w:tr>
      <w:tr>
        <w:tc>
          <w:tcPr>
            <w:tcW w:type="dxa" w:w="1881"/>
            <w:shd w:val="clear" w:color="auto" w:fill="DDEBF7"/>
          </w:tcPr>
          <w:p>
            <w:r>
              <w:rPr>
                <w:rFonts w:ascii="Meiryo UI" w:hAnsi="Meiryo UI"/>
                <w:sz w:val="18"/>
              </w:rPr>
              <w:t>②PBR/ROE（capex調整）</w:t>
            </w:r>
          </w:p>
        </w:tc>
        <w:tc>
          <w:tcPr>
            <w:tcW w:type="dxa" w:w="1881"/>
            <w:shd w:val="clear" w:color="auto" w:fill="DDEBF7"/>
          </w:tcPr>
          <w:p>
            <w:r>
              <w:rPr>
                <w:rFonts w:ascii="Meiryo UI" w:hAnsi="Meiryo UI"/>
                <w:sz w:val="18"/>
              </w:rPr>
              <w:t>¥4,904</w:t>
            </w:r>
          </w:p>
        </w:tc>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t>¥490</w:t>
            </w:r>
          </w:p>
        </w:tc>
        <w:tc>
          <w:tcPr>
            <w:tcW w:type="dxa" w:w="1881"/>
            <w:shd w:val="clear" w:color="auto" w:fill="DDEBF7"/>
          </w:tcPr>
          <w:p>
            <w:r>
              <w:rPr>
                <w:rFonts w:ascii="Meiryo UI" w:hAnsi="Meiryo UI"/>
                <w:sz w:val="18"/>
              </w:rPr>
              <w:t>低ROEで参考値のみ</w:t>
            </w:r>
          </w:p>
        </w:tc>
      </w:tr>
      <w:tr>
        <w:tc>
          <w:tcPr>
            <w:tcW w:type="dxa" w:w="1881"/>
          </w:tcPr>
          <w:p>
            <w:r>
              <w:rPr>
                <w:rFonts w:ascii="Meiryo UI" w:hAnsi="Meiryo UI"/>
                <w:sz w:val="18"/>
              </w:rPr>
              <w:t>③EV/EBITDA</w:t>
            </w:r>
          </w:p>
        </w:tc>
        <w:tc>
          <w:tcPr>
            <w:tcW w:type="dxa" w:w="1881"/>
          </w:tcPr>
          <w:p>
            <w:r>
              <w:rPr>
                <w:rFonts w:ascii="Meiryo UI" w:hAnsi="Meiryo UI"/>
                <w:sz w:val="18"/>
              </w:rPr>
              <w:t>¥8,390</w:t>
            </w:r>
          </w:p>
        </w:tc>
        <w:tc>
          <w:tcPr>
            <w:tcW w:type="dxa" w:w="1881"/>
          </w:tcPr>
          <w:p>
            <w:r>
              <w:rPr>
                <w:rFonts w:ascii="Meiryo UI" w:hAnsi="Meiryo UI"/>
                <w:sz w:val="18"/>
              </w:rPr>
              <w:t>30%</w:t>
            </w:r>
          </w:p>
        </w:tc>
        <w:tc>
          <w:tcPr>
            <w:tcW w:type="dxa" w:w="1881"/>
          </w:tcPr>
          <w:p>
            <w:r>
              <w:rPr>
                <w:rFonts w:ascii="Meiryo UI" w:hAnsi="Meiryo UI"/>
                <w:sz w:val="18"/>
              </w:rPr>
              <w:t>¥2,517</w:t>
            </w:r>
          </w:p>
        </w:tc>
        <w:tc>
          <w:tcPr>
            <w:tcW w:type="dxa" w:w="1881"/>
          </w:tcPr>
          <w:p>
            <w:r>
              <w:rPr>
                <w:rFonts w:ascii="Meiryo UI" w:hAnsi="Meiryo UI"/>
                <w:sz w:val="18"/>
              </w:rPr>
              <w:t>設備投資評価に有効</w:t>
            </w:r>
          </w:p>
        </w:tc>
      </w:tr>
      <w:tr>
        <w:tc>
          <w:tcPr>
            <w:tcW w:type="dxa" w:w="1881"/>
            <w:shd w:val="clear" w:color="auto" w:fill="DDEBF7"/>
          </w:tcPr>
          <w:p>
            <w:r>
              <w:rPr>
                <w:rFonts w:ascii="Meiryo UI" w:hAnsi="Meiryo UI"/>
                <w:sz w:val="18"/>
              </w:rPr>
              <w:t>④アナリストコンセンサス</w:t>
            </w:r>
          </w:p>
        </w:tc>
        <w:tc>
          <w:tcPr>
            <w:tcW w:type="dxa" w:w="1881"/>
            <w:shd w:val="clear" w:color="auto" w:fill="DDEBF7"/>
          </w:tcPr>
          <w:p>
            <w:r>
              <w:rPr>
                <w:rFonts w:ascii="Meiryo UI" w:hAnsi="Meiryo UI"/>
                <w:sz w:val="18"/>
              </w:rPr>
              <w:t>¥8,700</w:t>
            </w:r>
          </w:p>
        </w:tc>
        <w:tc>
          <w:tcPr>
            <w:tcW w:type="dxa" w:w="1881"/>
            <w:shd w:val="clear" w:color="auto" w:fill="DDEBF7"/>
          </w:tcPr>
          <w:p>
            <w:r>
              <w:rPr>
                <w:rFonts w:ascii="Meiryo UI" w:hAnsi="Meiryo UI"/>
                <w:sz w:val="18"/>
              </w:rPr>
              <w:t>20%</w:t>
            </w:r>
          </w:p>
        </w:tc>
        <w:tc>
          <w:tcPr>
            <w:tcW w:type="dxa" w:w="1881"/>
            <w:shd w:val="clear" w:color="auto" w:fill="DDEBF7"/>
          </w:tcPr>
          <w:p>
            <w:r>
              <w:rPr>
                <w:rFonts w:ascii="Meiryo UI" w:hAnsi="Meiryo UI"/>
                <w:sz w:val="18"/>
              </w:rPr>
              <w:t>¥1,740</w:t>
            </w:r>
          </w:p>
        </w:tc>
        <w:tc>
          <w:tcPr>
            <w:tcW w:type="dxa" w:w="1881"/>
            <w:shd w:val="clear" w:color="auto" w:fill="DDEBF7"/>
          </w:tcPr>
          <w:p>
            <w:r>
              <w:rPr>
                <w:rFonts w:ascii="Meiryo UI" w:hAnsi="Meiryo UI"/>
                <w:sz w:val="18"/>
              </w:rPr>
              <w:t>SMBC日興TP</w:t>
            </w:r>
          </w:p>
        </w:tc>
      </w:tr>
      <w:tr>
        <w:tc>
          <w:tcPr>
            <w:tcW w:type="dxa" w:w="1881"/>
          </w:tcPr>
          <w:p>
            <w:r>
              <w:rPr>
                <w:rFonts w:ascii="Meiryo UI" w:hAnsi="Meiryo UI"/>
                <w:sz w:val="18"/>
              </w:rPr>
              <w:t>ブレンドFV</w:t>
            </w:r>
          </w:p>
        </w:tc>
        <w:tc>
          <w:tcPr>
            <w:tcW w:type="dxa" w:w="1881"/>
          </w:tcPr>
          <w:p>
            <w:r>
              <w:rPr>
                <w:rFonts w:ascii="Meiryo UI" w:hAnsi="Meiryo UI"/>
                <w:sz w:val="18"/>
              </w:rPr>
              <w:t>¥7,807</w:t>
            </w:r>
          </w:p>
        </w:tc>
        <w:tc>
          <w:tcPr>
            <w:tcW w:type="dxa" w:w="1881"/>
          </w:tcPr>
          <w:p>
            <w:r>
              <w:rPr>
                <w:rFonts w:ascii="Meiryo UI" w:hAnsi="Meiryo UI"/>
                <w:sz w:val="18"/>
              </w:rPr>
              <w:t>100%</w:t>
            </w:r>
          </w:p>
        </w:tc>
        <w:tc>
          <w:tcPr>
            <w:tcW w:type="dxa" w:w="1881"/>
          </w:tcPr>
          <w:p>
            <w:r>
              <w:rPr>
                <w:rFonts w:ascii="Meiryo UI" w:hAnsi="Meiryo UI"/>
                <w:sz w:val="18"/>
              </w:rPr>
              <w:t>—</w:t>
            </w:r>
          </w:p>
        </w:tc>
        <w:tc>
          <w:tcPr>
            <w:tcW w:type="dxa" w:w="1881"/>
          </w:tcPr>
          <w:p>
            <w:r>
              <w:rPr>
                <w:rFonts w:ascii="Meiryo UI" w:hAnsi="Meiryo UI"/>
                <w:sz w:val="18"/>
              </w:rPr>
              <w:t>—</w:t>
            </w:r>
          </w:p>
        </w:tc>
      </w:tr>
    </w:tbl>
    <w:p/>
    <w:p>
      <w:r>
        <w:rPr>
          <w:rFonts w:ascii="Meiryo UI" w:hAnsi="Meiryo UI"/>
          <w:sz w:val="20"/>
        </w:rPr>
        <w:t>採用FV：¥8,000（¥200切り上げ、不確実性マージン）</w:t>
      </w:r>
    </w:p>
    <w:p/>
    <w:p>
      <w:r>
        <w:t>──────────────────────────────────────────────────</w:t>
      </w:r>
    </w:p>
    <w:p/>
    <w:p>
      <w:pPr>
        <w:pStyle w:val="Heading3"/>
      </w:pPr>
      <w:r>
        <w:rPr>
          <w:rFonts w:ascii="Meiryo UI" w:hAnsi="Meiryo UI"/>
          <w:color w:val="2E74B5"/>
        </w:rPr>
        <w:t>シナリオ分析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想定FV</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Bear</w:t>
            </w:r>
          </w:p>
        </w:tc>
        <w:tc>
          <w:tcPr>
            <w:tcW w:type="dxa" w:w="2351"/>
          </w:tcPr>
          <w:p>
            <w:r>
              <w:rPr>
                <w:rFonts w:ascii="Meiryo UI" w:hAnsi="Meiryo UI"/>
                <w:sz w:val="18"/>
              </w:rPr>
              <w:t>20%</w:t>
            </w:r>
          </w:p>
        </w:tc>
        <w:tc>
          <w:tcPr>
            <w:tcW w:type="dxa" w:w="2351"/>
          </w:tcPr>
          <w:p>
            <w:r>
              <w:rPr>
                <w:rFonts w:ascii="Meiryo UI" w:hAnsi="Meiryo UI"/>
                <w:sz w:val="18"/>
              </w:rPr>
              <w:t>¥3,300</w:t>
            </w:r>
          </w:p>
        </w:tc>
        <w:tc>
          <w:tcPr>
            <w:tcW w:type="dxa" w:w="2351"/>
          </w:tcPr>
          <w:p>
            <w:r>
              <w:rPr>
                <w:rFonts w:ascii="Meiryo UI" w:hAnsi="Meiryo UI"/>
                <w:sz w:val="18"/>
              </w:rPr>
              <w:t>WFE回復FY28以降ずれ込み×中国規制強化。SMBC日興ベアケース踏襲</w:t>
            </w:r>
          </w:p>
        </w:tc>
      </w:tr>
      <w:tr>
        <w:tc>
          <w:tcPr>
            <w:tcW w:type="dxa" w:w="2351"/>
            <w:shd w:val="clear" w:color="auto" w:fill="DDEBF7"/>
          </w:tcPr>
          <w:p>
            <w:r>
              <w:rPr>
                <w:rFonts w:ascii="Meiryo UI" w:hAnsi="Meiryo UI"/>
                <w:sz w:val="18"/>
              </w:rPr>
              <w:t>Base</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¥8,000</w:t>
            </w:r>
          </w:p>
        </w:tc>
        <w:tc>
          <w:tcPr>
            <w:tcW w:type="dxa" w:w="2351"/>
            <w:shd w:val="clear" w:color="auto" w:fill="DDEBF7"/>
          </w:tcPr>
          <w:p>
            <w:r>
              <w:rPr>
                <w:rFonts w:ascii="Meiryo UI" w:hAnsi="Meiryo UI"/>
                <w:sz w:val="18"/>
              </w:rPr>
              <w:t>Q4 FY26からWFE回復、熱電モジュール加速</w:t>
            </w:r>
          </w:p>
        </w:tc>
      </w:tr>
      <w:tr>
        <w:tc>
          <w:tcPr>
            <w:tcW w:type="dxa" w:w="2351"/>
          </w:tcPr>
          <w:p>
            <w:r>
              <w:rPr>
                <w:rFonts w:ascii="Meiryo UI" w:hAnsi="Meiryo UI"/>
                <w:sz w:val="18"/>
              </w:rPr>
              <w:t>Bull</w:t>
            </w:r>
          </w:p>
        </w:tc>
        <w:tc>
          <w:tcPr>
            <w:tcW w:type="dxa" w:w="2351"/>
          </w:tcPr>
          <w:p>
            <w:r>
              <w:rPr>
                <w:rFonts w:ascii="Meiryo UI" w:hAnsi="Meiryo UI"/>
                <w:sz w:val="18"/>
              </w:rPr>
              <w:t>25%</w:t>
            </w:r>
          </w:p>
        </w:tc>
        <w:tc>
          <w:tcPr>
            <w:tcW w:type="dxa" w:w="2351"/>
          </w:tcPr>
          <w:p>
            <w:r>
              <w:rPr>
                <w:rFonts w:ascii="Meiryo UI" w:hAnsi="Meiryo UI"/>
                <w:sz w:val="18"/>
              </w:rPr>
              <w:t>¥9,300</w:t>
            </w:r>
          </w:p>
        </w:tc>
        <w:tc>
          <w:tcPr>
            <w:tcW w:type="dxa" w:w="2351"/>
          </w:tcPr>
          <w:p>
            <w:r>
              <w:rPr>
                <w:rFonts w:ascii="Meiryo UI" w:hAnsi="Meiryo UI"/>
                <w:sz w:val="18"/>
              </w:rPr>
              <w:t>WFE+27%（SMBC日興ブルケース）+AI光トランシーバー想定超え</w:t>
            </w:r>
          </w:p>
        </w:tc>
      </w:tr>
      <w:tr>
        <w:tc>
          <w:tcPr>
            <w:tcW w:type="dxa" w:w="2351"/>
            <w:shd w:val="clear" w:color="auto" w:fill="DDEBF7"/>
          </w:tcPr>
          <w:p>
            <w:r>
              <w:rPr>
                <w:rFonts w:ascii="Meiryo UI" w:hAnsi="Meiryo UI"/>
                <w:sz w:val="18"/>
              </w:rPr>
              <w:t>加重平均</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¥7,300</w:t>
            </w:r>
          </w:p>
        </w:tc>
        <w:tc>
          <w:tcPr>
            <w:tcW w:type="dxa" w:w="2351"/>
            <w:shd w:val="clear" w:color="auto" w:fill="DDEBF7"/>
          </w:tcPr>
          <w:p>
            <w:r>
              <w:rPr>
                <w:rFonts w:ascii="Meiryo UI" w:hAnsi="Meiryo UI"/>
                <w:sz w:val="18"/>
              </w:rPr>
              <w:t>0.20×3,300+0.55×8,000+0.25×9,300</w:t>
            </w:r>
          </w:p>
        </w:tc>
      </w:tr>
    </w:tbl>
    <w:p/>
    <w:p>
      <w:r>
        <w:rPr>
          <w:rFonts w:ascii="Meiryo UI" w:hAnsi="Meiryo UI"/>
          <w:sz w:val="20"/>
        </w:rPr>
        <w:t>&gt; 加重平均¥7,300 vs 現在¥6,850 → +6.6%。ベアケース▲52%の下落リスクがあるため、確信度が持てるポジションサイズ管理が重要。</w:t>
      </w:r>
    </w:p>
    <w:p/>
    <w:p>
      <w:r>
        <w:t>──────────────────────────────────────────────────</w:t>
      </w:r>
    </w:p>
    <w:p/>
    <w:p>
      <w:pPr>
        <w:pStyle w:val="Heading2"/>
      </w:pPr>
      <w:r>
        <w:rPr>
          <w:rFonts w:ascii="Meiryo UI" w:hAnsi="Meiryo UI"/>
          <w:color w:val="2E74B5"/>
        </w:rPr>
        <w:t>感応度Δ（1%変化に対するFV影響）</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変数</w:t>
            </w:r>
          </w:p>
        </w:tc>
        <w:tc>
          <w:tcPr>
            <w:tcW w:type="dxa" w:w="1881"/>
            <w:shd w:val="clear" w:color="auto" w:fill="2E74B5"/>
          </w:tcPr>
          <w:p>
            <w:r>
              <w:rPr>
                <w:rFonts w:ascii="Meiryo UI" w:hAnsi="Meiryo UI"/>
                <w:b/>
                <w:color w:val="FFFFFF"/>
                <w:sz w:val="18"/>
              </w:rPr>
              <w:t>変化</w:t>
            </w:r>
          </w:p>
        </w:tc>
        <w:tc>
          <w:tcPr>
            <w:tcW w:type="dxa" w:w="1881"/>
            <w:shd w:val="clear" w:color="auto" w:fill="2E74B5"/>
          </w:tcPr>
          <w:p>
            <w:r>
              <w:rPr>
                <w:rFonts w:ascii="Meiryo UI" w:hAnsi="Meiryo UI"/>
                <w:b/>
                <w:color w:val="FFFFFF"/>
                <w:sz w:val="18"/>
              </w:rPr>
              <w:t>EPS変化</w:t>
            </w:r>
          </w:p>
        </w:tc>
        <w:tc>
          <w:tcPr>
            <w:tcW w:type="dxa" w:w="1881"/>
            <w:shd w:val="clear" w:color="auto" w:fill="2E74B5"/>
          </w:tcPr>
          <w:p>
            <w:r>
              <w:rPr>
                <w:rFonts w:ascii="Meiryo UI" w:hAnsi="Meiryo UI"/>
                <w:b/>
                <w:color w:val="FFFFFF"/>
                <w:sz w:val="18"/>
              </w:rPr>
              <w:t>FV変化</w:t>
            </w:r>
          </w:p>
        </w:tc>
        <w:tc>
          <w:tcPr>
            <w:tcW w:type="dxa" w:w="1881"/>
            <w:shd w:val="clear" w:color="auto" w:fill="2E74B5"/>
          </w:tcPr>
          <w:p>
            <w:r>
              <w:rPr>
                <w:rFonts w:ascii="Meiryo UI" w:hAnsi="Meiryo UI"/>
                <w:b/>
                <w:color w:val="FFFFFF"/>
                <w:sz w:val="18"/>
              </w:rPr>
              <w:t>Delta</w:t>
            </w:r>
          </w:p>
        </w:tc>
      </w:tr>
      <w:tr>
        <w:tc>
          <w:tcPr>
            <w:tcW w:type="dxa" w:w="1881"/>
          </w:tcPr>
          <w:p>
            <w:r>
              <w:rPr>
                <w:rFonts w:ascii="Meiryo UI" w:hAnsi="Meiryo UI"/>
                <w:sz w:val="18"/>
              </w:rPr>
              <w:t>WFE市場規模</w:t>
            </w:r>
          </w:p>
        </w:tc>
        <w:tc>
          <w:tcPr>
            <w:tcW w:type="dxa" w:w="1881"/>
          </w:tcPr>
          <w:p>
            <w:r>
              <w:rPr>
                <w:rFonts w:ascii="Meiryo UI" w:hAnsi="Meiryo UI"/>
                <w:sz w:val="18"/>
              </w:rPr>
              <w:t>+10%</w:t>
            </w:r>
          </w:p>
        </w:tc>
        <w:tc>
          <w:tcPr>
            <w:tcW w:type="dxa" w:w="1881"/>
          </w:tcPr>
          <w:p>
            <w:r>
              <w:rPr>
                <w:rFonts w:ascii="Meiryo UI" w:hAnsi="Meiryo UI"/>
                <w:sz w:val="18"/>
              </w:rPr>
              <w:t>+¥22/share（半導体セグメントOP+¥1B相当）</w:t>
            </w:r>
          </w:p>
        </w:tc>
        <w:tc>
          <w:tcPr>
            <w:tcW w:type="dxa" w:w="1881"/>
          </w:tcPr>
          <w:p>
            <w:r>
              <w:rPr>
                <w:rFonts w:ascii="Meiryo UI" w:hAnsi="Meiryo UI"/>
                <w:sz w:val="18"/>
              </w:rPr>
              <w:t>+¥374</w:t>
            </w:r>
          </w:p>
        </w:tc>
        <w:tc>
          <w:tcPr>
            <w:tcW w:type="dxa" w:w="1881"/>
          </w:tcPr>
          <w:p>
            <w:r>
              <w:rPr>
                <w:rFonts w:ascii="Meiryo UI" w:hAnsi="Meiryo UI"/>
                <w:sz w:val="18"/>
              </w:rPr>
              <w:t>+4.7%</w:t>
            </w:r>
          </w:p>
        </w:tc>
      </w:tr>
      <w:tr>
        <w:tc>
          <w:tcPr>
            <w:tcW w:type="dxa" w:w="1881"/>
            <w:shd w:val="clear" w:color="auto" w:fill="DDEBF7"/>
          </w:tcPr>
          <w:p>
            <w:r>
              <w:rPr>
                <w:rFonts w:ascii="Meiryo UI" w:hAnsi="Meiryo UI"/>
                <w:sz w:val="18"/>
              </w:rPr>
              <w:t>熱電モジュール単価</w:t>
            </w:r>
          </w:p>
        </w:tc>
        <w:tc>
          <w:tcPr>
            <w:tcW w:type="dxa" w:w="1881"/>
            <w:shd w:val="clear" w:color="auto" w:fill="DDEBF7"/>
          </w:tcPr>
          <w:p>
            <w:r>
              <w:rPr>
                <w:rFonts w:ascii="Meiryo UI" w:hAnsi="Meiryo UI"/>
                <w:sz w:val="18"/>
              </w:rPr>
              <w:t>+5%</w:t>
            </w:r>
          </w:p>
        </w:tc>
        <w:tc>
          <w:tcPr>
            <w:tcW w:type="dxa" w:w="1881"/>
            <w:shd w:val="clear" w:color="auto" w:fill="DDEBF7"/>
          </w:tcPr>
          <w:p>
            <w:r>
              <w:rPr>
                <w:rFonts w:ascii="Meiryo UI" w:hAnsi="Meiryo UI"/>
                <w:sz w:val="18"/>
              </w:rPr>
              <w:t>+¥9/share</w:t>
            </w:r>
          </w:p>
        </w:tc>
        <w:tc>
          <w:tcPr>
            <w:tcW w:type="dxa" w:w="1881"/>
            <w:shd w:val="clear" w:color="auto" w:fill="DDEBF7"/>
          </w:tcPr>
          <w:p>
            <w:r>
              <w:rPr>
                <w:rFonts w:ascii="Meiryo UI" w:hAnsi="Meiryo UI"/>
                <w:sz w:val="18"/>
              </w:rPr>
              <w:t>+¥153</w:t>
            </w:r>
          </w:p>
        </w:tc>
        <w:tc>
          <w:tcPr>
            <w:tcW w:type="dxa" w:w="1881"/>
            <w:shd w:val="clear" w:color="auto" w:fill="DDEBF7"/>
          </w:tcPr>
          <w:p>
            <w:r>
              <w:rPr>
                <w:rFonts w:ascii="Meiryo UI" w:hAnsi="Meiryo UI"/>
                <w:sz w:val="18"/>
              </w:rPr>
              <w:t>+1.9%</w:t>
            </w:r>
          </w:p>
        </w:tc>
      </w:tr>
      <w:tr>
        <w:tc>
          <w:tcPr>
            <w:tcW w:type="dxa" w:w="1881"/>
          </w:tcPr>
          <w:p>
            <w:r>
              <w:rPr>
                <w:rFonts w:ascii="Meiryo UI" w:hAnsi="Meiryo UI"/>
                <w:sz w:val="18"/>
              </w:rPr>
              <w:t>USD/JPY</w:t>
            </w:r>
          </w:p>
        </w:tc>
        <w:tc>
          <w:tcPr>
            <w:tcW w:type="dxa" w:w="1881"/>
          </w:tcPr>
          <w:p>
            <w:r>
              <w:rPr>
                <w:rFonts w:ascii="Meiryo UI" w:hAnsi="Meiryo UI"/>
                <w:sz w:val="18"/>
              </w:rPr>
              <w:t>円高+1%（159→157）</w:t>
            </w:r>
          </w:p>
        </w:tc>
        <w:tc>
          <w:tcPr>
            <w:tcW w:type="dxa" w:w="1881"/>
          </w:tcPr>
          <w:p>
            <w:r>
              <w:rPr>
                <w:rFonts w:ascii="Meiryo UI" w:hAnsi="Meiryo UI"/>
                <w:sz w:val="18"/>
              </w:rPr>
              <w:t>+¥4/share（輸出コスト低下）</w:t>
            </w:r>
          </w:p>
        </w:tc>
        <w:tc>
          <w:tcPr>
            <w:tcW w:type="dxa" w:w="1881"/>
          </w:tcPr>
          <w:p>
            <w:r>
              <w:rPr>
                <w:rFonts w:ascii="Meiryo UI" w:hAnsi="Meiryo UI"/>
                <w:sz w:val="18"/>
              </w:rPr>
              <w:t>+¥68</w:t>
            </w:r>
          </w:p>
        </w:tc>
        <w:tc>
          <w:tcPr>
            <w:tcW w:type="dxa" w:w="1881"/>
          </w:tcPr>
          <w:p>
            <w:r>
              <w:rPr>
                <w:rFonts w:ascii="Meiryo UI" w:hAnsi="Meiryo UI"/>
                <w:sz w:val="18"/>
              </w:rPr>
              <w:t>+0.8%</w:t>
            </w:r>
          </w:p>
        </w:tc>
      </w:tr>
      <w:tr>
        <w:tc>
          <w:tcPr>
            <w:tcW w:type="dxa" w:w="1881"/>
            <w:shd w:val="clear" w:color="auto" w:fill="DDEBF7"/>
          </w:tcPr>
          <w:p>
            <w:r>
              <w:rPr>
                <w:rFonts w:ascii="Meiryo UI" w:hAnsi="Meiryo UI"/>
                <w:sz w:val="18"/>
              </w:rPr>
              <w:t>割引率r</w:t>
            </w:r>
          </w:p>
        </w:tc>
        <w:tc>
          <w:tcPr>
            <w:tcW w:type="dxa" w:w="1881"/>
            <w:shd w:val="clear" w:color="auto" w:fill="DDEBF7"/>
          </w:tcPr>
          <w:p>
            <w:r>
              <w:rPr>
                <w:rFonts w:ascii="Meiryo UI" w:hAnsi="Meiryo UI"/>
                <w:sz w:val="18"/>
              </w:rPr>
              <w:t>+0.5%pt（8.54→9.04%）</w:t>
            </w:r>
          </w:p>
        </w:tc>
        <w:tc>
          <w:tcPr>
            <w:tcW w:type="dxa" w:w="1881"/>
            <w:shd w:val="clear" w:color="auto" w:fill="DDEBF7"/>
          </w:tcPr>
          <w:p>
            <w:r>
              <w:rPr>
                <w:rFonts w:ascii="Meiryo UI" w:hAnsi="Meiryo UI"/>
                <w:sz w:val="18"/>
              </w:rPr>
              <w:t>n/a</w:t>
            </w:r>
          </w:p>
        </w:tc>
        <w:tc>
          <w:tcPr>
            <w:tcW w:type="dxa" w:w="1881"/>
            <w:shd w:val="clear" w:color="auto" w:fill="DDEBF7"/>
          </w:tcPr>
          <w:p>
            <w:r>
              <w:rPr>
                <w:rFonts w:ascii="Meiryo UI" w:hAnsi="Meiryo UI"/>
                <w:sz w:val="18"/>
              </w:rPr>
              <w:t>▲¥310</w:t>
            </w:r>
          </w:p>
        </w:tc>
        <w:tc>
          <w:tcPr>
            <w:tcW w:type="dxa" w:w="1881"/>
            <w:shd w:val="clear" w:color="auto" w:fill="DDEBF7"/>
          </w:tcPr>
          <w:p>
            <w:r>
              <w:rPr>
                <w:rFonts w:ascii="Meiryo UI" w:hAnsi="Meiryo UI"/>
                <w:sz w:val="18"/>
              </w:rPr>
              <w:t>▲3.9%</w:t>
            </w:r>
          </w:p>
        </w:tc>
      </w:tr>
      <w:tr>
        <w:tc>
          <w:tcPr>
            <w:tcW w:type="dxa" w:w="1881"/>
          </w:tcPr>
          <w:p>
            <w:r>
              <w:rPr>
                <w:rFonts w:ascii="Meiryo UI" w:hAnsi="Meiryo UI"/>
                <w:sz w:val="18"/>
              </w:rPr>
              <w:t>純有利子負債</w:t>
            </w:r>
          </w:p>
        </w:tc>
        <w:tc>
          <w:tcPr>
            <w:tcW w:type="dxa" w:w="1881"/>
          </w:tcPr>
          <w:p>
            <w:r>
              <w:rPr>
                <w:rFonts w:ascii="Meiryo UI" w:hAnsi="Meiryo UI"/>
                <w:sz w:val="18"/>
              </w:rPr>
              <w:t>+¥10B</w:t>
            </w:r>
          </w:p>
        </w:tc>
        <w:tc>
          <w:tcPr>
            <w:tcW w:type="dxa" w:w="1881"/>
          </w:tcPr>
          <w:p>
            <w:r>
              <w:rPr>
                <w:rFonts w:ascii="Meiryo UI" w:hAnsi="Meiryo UI"/>
                <w:sz w:val="18"/>
              </w:rPr>
              <w:t>n/a</w:t>
            </w:r>
          </w:p>
        </w:tc>
        <w:tc>
          <w:tcPr>
            <w:tcW w:type="dxa" w:w="1881"/>
          </w:tcPr>
          <w:p>
            <w:r>
              <w:rPr>
                <w:rFonts w:ascii="Meiryo UI" w:hAnsi="Meiryo UI"/>
                <w:sz w:val="18"/>
              </w:rPr>
              <w:t>▲¥213</w:t>
            </w:r>
          </w:p>
        </w:tc>
        <w:tc>
          <w:tcPr>
            <w:tcW w:type="dxa" w:w="1881"/>
          </w:tcPr>
          <w:p>
            <w:r>
              <w:rPr>
                <w:rFonts w:ascii="Meiryo UI" w:hAnsi="Meiryo UI"/>
                <w:sz w:val="18"/>
              </w:rPr>
              <w:t>▲2.7%</w:t>
            </w:r>
          </w:p>
        </w:tc>
      </w:tr>
    </w:tbl>
    <w:p/>
    <w:p>
      <w:r>
        <w:rPr>
          <w:rFonts w:ascii="Meiryo UI" w:hAnsi="Meiryo UI"/>
          <w:sz w:val="20"/>
        </w:rPr>
        <w:t>&gt; 最大感応度はWFE市場動向。WFE予測の四半期更新（VLSI Research等）が最重要モニタリング変数。</w:t>
      </w:r>
    </w:p>
    <w:p/>
    <w:p>
      <w:r>
        <w:t>──────────────────────────────────────────────────</w:t>
      </w:r>
    </w:p>
    <w:p/>
    <w:p>
      <w:pPr>
        <w:pStyle w:val="Heading2"/>
      </w:pPr>
      <w:r>
        <w:rPr>
          <w:rFonts w:ascii="Meiryo UI" w:hAnsi="Meiryo UI"/>
          <w:color w:val="2E74B5"/>
        </w:rPr>
        <w:t>リスクシナリオ定量</w:t>
      </w:r>
    </w:p>
    <w:p/>
    <w:p>
      <w:pPr>
        <w:pStyle w:val="Heading3"/>
      </w:pPr>
      <w:r>
        <w:rPr>
          <w:rFonts w:ascii="Meiryo UI" w:hAnsi="Meiryo UI"/>
          <w:color w:val="2E74B5"/>
        </w:rPr>
        <w:t>リスク①：WFE回復遅延（最重要）</w:t>
      </w:r>
    </w:p>
    <w:p>
      <w:pPr>
        <w:pStyle w:val="ListBullet"/>
      </w:pPr>
      <w:r>
        <w:rPr>
          <w:rFonts w:ascii="Meiryo UI" w:hAnsi="Meiryo UI"/>
          <w:sz w:val="20"/>
        </w:rPr>
        <w:t>現状：Q4 FY26またはQ1 FY27に回復開始見込み</w:t>
      </w:r>
    </w:p>
    <w:p>
      <w:pPr>
        <w:pStyle w:val="ListBullet"/>
      </w:pPr>
      <w:r>
        <w:rPr>
          <w:rFonts w:ascii="Meiryo UI" w:hAnsi="Meiryo UI"/>
          <w:sz w:val="20"/>
        </w:rPr>
        <w:t>遅延シナリオ：回復がFY28 Q1にずれた場合</w:t>
      </w:r>
    </w:p>
    <w:p>
      <w:pPr>
        <w:pStyle w:val="ListBullet"/>
      </w:pPr>
      <w:r>
        <w:rPr>
          <w:rFonts w:ascii="Meiryo UI" w:hAnsi="Meiryo UI"/>
          <w:sz w:val="20"/>
        </w:rPr>
        <w:t>FY27E EPS：¥453.4 → ¥280（-38%）</w:t>
      </w:r>
    </w:p>
    <w:p>
      <w:pPr>
        <w:pStyle w:val="ListBullet"/>
      </w:pPr>
      <w:r>
        <w:rPr>
          <w:rFonts w:ascii="Meiryo UI" w:hAnsi="Meiryo UI"/>
          <w:sz w:val="20"/>
        </w:rPr>
        <w:t>FV：¥280 × 12x（低迷期P/E）= ¥3,360</w:t>
      </w:r>
    </w:p>
    <w:p>
      <w:pPr>
        <w:pStyle w:val="ListBullet"/>
      </w:pPr>
      <w:r>
        <w:rPr>
          <w:rFonts w:ascii="Meiryo UI" w:hAnsi="Meiryo UI"/>
          <w:sz w:val="20"/>
        </w:rPr>
        <w:t>現値からの下落：▲50.9%</w:t>
      </w:r>
    </w:p>
    <w:p>
      <w:pPr>
        <w:pStyle w:val="ListBullet"/>
      </w:pPr>
      <w:r>
        <w:rPr>
          <w:rFonts w:ascii="Meiryo UI" w:hAnsi="Meiryo UI"/>
          <w:sz w:val="20"/>
        </w:rPr>
        <w:t>SMBC日興ベアケース¥3,300と整合。ストップロス設定必須（¥5,500水準）</w:t>
      </w:r>
    </w:p>
    <w:p/>
    <w:p>
      <w:pPr>
        <w:pStyle w:val="Heading3"/>
      </w:pPr>
      <w:r>
        <w:rPr>
          <w:rFonts w:ascii="Meiryo UI" w:hAnsi="Meiryo UI"/>
          <w:color w:val="2E74B5"/>
        </w:rPr>
        <w:t>リスク②：中国輸出規制強化</w:t>
      </w:r>
    </w:p>
    <w:p>
      <w:pPr>
        <w:pStyle w:val="ListBullet"/>
      </w:pPr>
      <w:r>
        <w:rPr>
          <w:rFonts w:ascii="Meiryo UI" w:hAnsi="Meiryo UI"/>
          <w:sz w:val="20"/>
        </w:rPr>
        <w:t>現状：売上約40%が中国向け。真空シール・石英等の半導体部品は現在規制対象外</w:t>
      </w:r>
    </w:p>
    <w:p>
      <w:pPr>
        <w:pStyle w:val="ListBullet"/>
      </w:pPr>
      <w:r>
        <w:rPr>
          <w:rFonts w:ascii="Meiryo UI" w:hAnsi="Meiryo UI"/>
          <w:sz w:val="20"/>
        </w:rPr>
        <w:t>悪化シナリオ：米国がJapan向け対中輸出規制を半導体部品に拡大</w:t>
      </w:r>
    </w:p>
    <w:p>
      <w:pPr>
        <w:pStyle w:val="ListBullet"/>
      </w:pPr>
      <w:r>
        <w:rPr>
          <w:rFonts w:ascii="Meiryo UI" w:hAnsi="Meiryo UI"/>
          <w:sz w:val="20"/>
        </w:rPr>
        <w:t>中国売上¥113B（40%×¥283B）が半減 → OP▲¥12B → EPS▲¥90 → FV▲¥1,530</w:t>
      </w:r>
    </w:p>
    <w:p>
      <w:pPr>
        <w:pStyle w:val="ListBullet"/>
      </w:pPr>
      <w:r>
        <w:rPr>
          <w:rFonts w:ascii="Meiryo UI" w:hAnsi="Meiryo UI"/>
          <w:sz w:val="20"/>
        </w:rPr>
        <w:t>FV下方修正額：▲¥1,530（▲19.1%）→ FV ¥6,470（HOLD転換圏）</w:t>
      </w:r>
    </w:p>
    <w:p/>
    <w:p>
      <w:pPr>
        <w:pStyle w:val="Heading3"/>
      </w:pPr>
      <w:r>
        <w:rPr>
          <w:rFonts w:ascii="Meiryo UI" w:hAnsi="Meiryo UI"/>
          <w:color w:val="2E74B5"/>
        </w:rPr>
        <w:t>リスク③：子会社資本構造リスク</w:t>
      </w:r>
    </w:p>
    <w:p>
      <w:pPr>
        <w:pStyle w:val="ListBullet"/>
      </w:pPr>
      <w:r>
        <w:rPr>
          <w:rFonts w:ascii="Meiryo UI" w:hAnsi="Meiryo UI"/>
          <w:sz w:val="20"/>
        </w:rPr>
        <w:t>現状：持分法損益・少数株主持分がNIに大きく影響。方向性は不透明</w:t>
      </w:r>
    </w:p>
    <w:p>
      <w:pPr>
        <w:pStyle w:val="ListBullet"/>
      </w:pPr>
      <w:r>
        <w:rPr>
          <w:rFonts w:ascii="Meiryo UI" w:hAnsi="Meiryo UI"/>
          <w:sz w:val="20"/>
        </w:rPr>
        <w:t>純有利子負債¥113Bは時価総額¥321Bの35%。金利コスト上昇（JGB2.39%上昇局面）でEPS圧迫</w:t>
      </w:r>
    </w:p>
    <w:p>
      <w:pPr>
        <w:pStyle w:val="ListBullet"/>
      </w:pPr>
      <w:r>
        <w:rPr>
          <w:rFonts w:ascii="Meiryo UI" w:hAnsi="Meiryo UI"/>
          <w:sz w:val="20"/>
        </w:rPr>
        <w:t>感応度：金利+0.5%pt → 借入コスト+¥0.97B → NI▲¥0.7B → EPS▲¥15</w:t>
      </w:r>
    </w:p>
    <w:p/>
    <w:p>
      <w:r>
        <w:t>──────────────────────────────────────────────────</w:t>
      </w:r>
    </w:p>
    <w:p/>
    <w:p>
      <w:pPr>
        <w:pStyle w:val="Heading2"/>
      </w:pPr>
      <w:r>
        <w:rPr>
          <w:rFonts w:ascii="Meiryo UI" w:hAnsi="Meiryo UI"/>
          <w:color w:val="2E74B5"/>
        </w:rPr>
        <w:t>IR質問状（竹村トレードカンパニー 名義）</w:t>
      </w:r>
    </w:p>
    <w:p/>
    <w:p>
      <w:pPr>
        <w:shd w:val="clear" w:color="auto" w:fill="F2F2F2"/>
      </w:pPr>
      <w:r>
        <w:rPr>
          <w:rFonts w:ascii="Courier New" w:hAnsi="Courier New"/>
          <w:sz w:val="16"/>
        </w:rPr>
        <w:t>件名：6890 フェローテックHD IR照会（竹村トレードカンパニー）</w:t>
        <w:br/>
        <w:br/>
        <w:t>IR担当者様</w:t>
        <w:br/>
        <w:br/>
        <w:t>竹村トレードカンパニーの深井と申します。</w:t>
        <w:br/>
        <w:t>貴社株式の分析にあたり、以下の点についてご教示いただけますでしょうか。</w:t>
        <w:br/>
        <w:br/>
        <w:t>【Q1】WFE需要回復のタイミングについてお伺いします。</w:t>
        <w:br/>
        <w:t xml:space="preserve">　Q4 FY3/26からの需要回復を見込んでいらっしゃいますが、</w:t>
        <w:br/>
        <w:t xml:space="preserve">　現時点（2026年4月）での受注残・問い合わせ動向について</w:t>
        <w:br/>
        <w:t xml:space="preserve">　定性的なコメントをいただくことは可能でしょうか。</w:t>
        <w:br/>
        <w:br/>
        <w:t>【Q2】熱電モジュールの需要見通しについてお伺いします。</w:t>
        <w:br/>
        <w:t xml:space="preserve">　AI光トランシーバー向け熱電モジュールがOP+45.9%を牽引していますが、</w:t>
        <w:br/>
        <w:t xml:space="preserve">　FY3/27以降の受注可視性（Visibility）と、</w:t>
        <w:br/>
        <w:t xml:space="preserve">　主要顧客（データセンター向け光部品メーカー）との契約状況をご教示ください。</w:t>
        <w:br/>
        <w:br/>
        <w:t>【Q3】純有利子負債と子会社資本政策についてお伺いします。</w:t>
        <w:br/>
        <w:t xml:space="preserve">　連結純有利子負債は¥113B程度と推計していますが、</w:t>
        <w:br/>
        <w:t xml:space="preserve">　中国子会社の資本政策（上場維持・売却・持分変更）に関する</w:t>
        <w:br/>
        <w:t xml:space="preserve">　現時点での方針をお聞かせください。</w:t>
        <w:br/>
        <w:br/>
        <w:t>【Q4】中国売上比率と輸出規制対応についてお伺いします。</w:t>
        <w:br/>
        <w:t xml:space="preserve">　売上の約40%が中国向けと理解していますが、</w:t>
        <w:br/>
        <w:t xml:space="preserve">　米国の対中輸出規制が貴社製品（真空シール・石英等）に</w:t>
        <w:br/>
        <w:t xml:space="preserve">　適用される可能性についての法務的評価と対応策をご教示ください。</w:t>
        <w:br/>
        <w:br/>
        <w:t>【Q5】マレーシア・日本のEx-China生産能力増強スケジュールについて。</w:t>
        <w:br/>
        <w:t xml:space="preserve">　北京新工場（2027年6月稼働）と並行したEx-China拡張の</w:t>
        <w:br/>
        <w:t xml:space="preserve">　具体的な投資金額・稼働時期・想定顧客をお知らせください。</w:t>
        <w:br/>
        <w:br/>
        <w:t>以上、お手数ですがご確認をお願いいたします。</w:t>
        <w:br/>
        <w:t>竹村トレードカンパニー　深井</w:t>
      </w:r>
    </w:p>
    <w:p/>
    <w:p>
      <w:r>
        <w:t>──────────────────────────────────────────────────</w:t>
      </w:r>
    </w:p>
    <w:p/>
    <w:p>
      <w:pPr>
        <w:pStyle w:val="Heading2"/>
      </w:pPr>
      <w:r>
        <w:rPr>
          <w:rFonts w:ascii="Meiryo UI" w:hAnsi="Meiryo UI"/>
          <w:color w:val="2E74B5"/>
        </w:rPr>
        <w:t>投資判断まとめ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判断</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FV</w:t>
            </w:r>
          </w:p>
        </w:tc>
        <w:tc>
          <w:tcPr>
            <w:tcW w:type="dxa" w:w="4703"/>
            <w:shd w:val="clear" w:color="auto" w:fill="DDEBF7"/>
          </w:tcPr>
          <w:p>
            <w:r>
              <w:rPr>
                <w:rFonts w:ascii="Meiryo UI" w:hAnsi="Meiryo UI"/>
                <w:sz w:val="18"/>
              </w:rPr>
              <w:t>¥8,000</w:t>
            </w:r>
          </w:p>
        </w:tc>
      </w:tr>
      <w:tr>
        <w:tc>
          <w:tcPr>
            <w:tcW w:type="dxa" w:w="4703"/>
          </w:tcPr>
          <w:p>
            <w:r>
              <w:rPr>
                <w:rFonts w:ascii="Meiryo UI" w:hAnsi="Meiryo UI"/>
                <w:sz w:val="18"/>
              </w:rPr>
              <w:t>現在株価</w:t>
            </w:r>
          </w:p>
        </w:tc>
        <w:tc>
          <w:tcPr>
            <w:tcW w:type="dxa" w:w="4703"/>
          </w:tcPr>
          <w:p>
            <w:r>
              <w:rPr>
                <w:rFonts w:ascii="Meiryo UI" w:hAnsi="Meiryo UI"/>
                <w:sz w:val="18"/>
              </w:rPr>
              <w:t>¥6,850</w:t>
            </w:r>
          </w:p>
        </w:tc>
      </w:tr>
      <w:tr>
        <w:tc>
          <w:tcPr>
            <w:tcW w:type="dxa" w:w="4703"/>
            <w:shd w:val="clear" w:color="auto" w:fill="DDEBF7"/>
          </w:tcPr>
          <w:p>
            <w:r>
              <w:rPr>
                <w:rFonts w:ascii="Meiryo UI" w:hAnsi="Meiryo UI"/>
                <w:sz w:val="18"/>
              </w:rPr>
              <w:t>Upside</w:t>
            </w:r>
          </w:p>
        </w:tc>
        <w:tc>
          <w:tcPr>
            <w:tcW w:type="dxa" w:w="4703"/>
            <w:shd w:val="clear" w:color="auto" w:fill="DDEBF7"/>
          </w:tcPr>
          <w:p>
            <w:r>
              <w:rPr>
                <w:rFonts w:ascii="Meiryo UI" w:hAnsi="Meiryo UI"/>
                <w:sz w:val="18"/>
              </w:rPr>
              <w:t>+16.8%</w:t>
            </w:r>
          </w:p>
        </w:tc>
      </w:tr>
      <w:tr>
        <w:tc>
          <w:tcPr>
            <w:tcW w:type="dxa" w:w="4703"/>
          </w:tcPr>
          <w:p>
            <w:r>
              <w:rPr>
                <w:rFonts w:ascii="Meiryo UI" w:hAnsi="Meiryo UI"/>
                <w:sz w:val="18"/>
              </w:rPr>
              <w:t>エントリーゾーン</w:t>
            </w:r>
          </w:p>
        </w:tc>
        <w:tc>
          <w:tcPr>
            <w:tcW w:type="dxa" w:w="4703"/>
          </w:tcPr>
          <w:p>
            <w:r>
              <w:rPr>
                <w:rFonts w:ascii="Meiryo UI" w:hAnsi="Meiryo UI"/>
                <w:sz w:val="18"/>
              </w:rPr>
              <w:t>¥6,500〜7,000（分割エントリー推奨）</w:t>
            </w:r>
          </w:p>
        </w:tc>
      </w:tr>
      <w:tr>
        <w:tc>
          <w:tcPr>
            <w:tcW w:type="dxa" w:w="4703"/>
            <w:shd w:val="clear" w:color="auto" w:fill="DDEBF7"/>
          </w:tcPr>
          <w:p>
            <w:r>
              <w:rPr>
                <w:rFonts w:ascii="Meiryo UI" w:hAnsi="Meiryo UI"/>
                <w:sz w:val="18"/>
              </w:rPr>
              <w:t>損切りライン</w:t>
            </w:r>
          </w:p>
        </w:tc>
        <w:tc>
          <w:tcPr>
            <w:tcW w:type="dxa" w:w="4703"/>
            <w:shd w:val="clear" w:color="auto" w:fill="DDEBF7"/>
          </w:tcPr>
          <w:p>
            <w:r>
              <w:rPr>
                <w:rFonts w:ascii="Meiryo UI" w:hAnsi="Meiryo UI"/>
                <w:sz w:val="18"/>
              </w:rPr>
              <w:t>¥5,500（WFE遅延確認時は即撤退）</w:t>
            </w:r>
          </w:p>
        </w:tc>
      </w:tr>
      <w:tr>
        <w:tc>
          <w:tcPr>
            <w:tcW w:type="dxa" w:w="4703"/>
          </w:tcPr>
          <w:p>
            <w:r>
              <w:rPr>
                <w:rFonts w:ascii="Meiryo UI" w:hAnsi="Meiryo UI"/>
                <w:sz w:val="18"/>
              </w:rPr>
              <w:t>カタリスト</w:t>
            </w:r>
          </w:p>
        </w:tc>
        <w:tc>
          <w:tcPr>
            <w:tcW w:type="dxa" w:w="4703"/>
          </w:tcPr>
          <w:p>
            <w:r>
              <w:rPr>
                <w:rFonts w:ascii="Meiryo UI" w:hAnsi="Meiryo UI"/>
                <w:sz w:val="18"/>
              </w:rPr>
              <w:t>①FY3/26通期決算（2026年5月）Q4実績確認 ②WFE回復データ（VLSI Research月次） ③熱電モジュール新規顧客獲得</w:t>
            </w:r>
          </w:p>
        </w:tc>
      </w:tr>
      <w:tr>
        <w:tc>
          <w:tcPr>
            <w:tcW w:type="dxa" w:w="4703"/>
            <w:shd w:val="clear" w:color="auto" w:fill="DDEBF7"/>
          </w:tcPr>
          <w:p>
            <w:r>
              <w:rPr>
                <w:rFonts w:ascii="Meiryo UI" w:hAnsi="Meiryo UI"/>
                <w:sz w:val="18"/>
              </w:rPr>
              <w:t>最大リスク</w:t>
            </w:r>
          </w:p>
        </w:tc>
        <w:tc>
          <w:tcPr>
            <w:tcW w:type="dxa" w:w="4703"/>
            <w:shd w:val="clear" w:color="auto" w:fill="DDEBF7"/>
          </w:tcPr>
          <w:p>
            <w:r>
              <w:rPr>
                <w:rFonts w:ascii="Meiryo UI" w:hAnsi="Meiryo UI"/>
                <w:sz w:val="18"/>
              </w:rPr>
              <w:t>WFE回復FY28ずれ込み×中国規制 → SMBC日興ベアケース¥3,300</w:t>
            </w:r>
          </w:p>
        </w:tc>
      </w:tr>
    </w:tbl>
    <w:p/>
    <w:p>
      <w:r>
        <w:rPr>
          <w:rFonts w:ascii="Meiryo UI" w:hAnsi="Meiryo UI"/>
          <w:sz w:val="20"/>
        </w:rPr>
        <w:t>&gt; 提供分析との差異：提供分析はERP=5.5%を使用しr=7.9%で算出。当社プロトコル（r=8.536%）では保守的にFV¥8,000とした。主な差異はPBR/ROEモデルの適切な扱い（低ROE=投資フェーズの一時的現象と判断し低ウェイト）とEV/EBITDAでの設備投資サイクル評価を重視した点。本日のJPM証券+2.26pt大量増加は最強の需給シグナル。</w:t>
      </w:r>
    </w:p>
    <w:p/>
    <w:p>
      <w:r>
        <w:t>──────────────────────────────────────────────────</w:t>
      </w:r>
    </w:p>
    <w:p/>
    <w:p>
      <w:r>
        <w:rPr>
          <w:rFonts w:ascii="Meiryo UI" w:hAnsi="Meiryo UI"/>
          <w:sz w:val="20"/>
        </w:rPr>
        <w:t>Deep Research作成：深井 / 2026-04-21 / 竹村トレードカンパニー</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