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7050 フロンティアインターナショナル — HOLD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7050 フロンティアインターナショナル — HOLD Deep Research</w:t>
      </w:r>
    </w:p>
    <w:p>
      <w:r>
        <w:rPr>
          <w:rFonts w:ascii="Meiryo UI" w:hAnsi="Meiryo UI"/>
          <w:sz w:val="20"/>
        </w:rPr>
        <w:t>作成: 深井 / 2026-04-17 | 優先度1 ⚠️ 2026-04-17 BUY→HOLD格下げ修正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 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HOLD（本決算6月まで新規見合わせ）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¥2,200（本決算Q4確認後に再評価）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¥1,450-1,500圏（確認後に打診）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通期+66.2%は事実だが、Q4 implied -63% YoYが実質的なリスク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Forward PER 10.6倍・PEG 0.16 — Q4構造問題が解消されれば再びBUY候補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プロモーション × M&amp;A拡張が高ROE（15.9%）で軌道に乗りつつある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🚨 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4Q implied: 183百万円 vs 前期494百万円 = -63% YoY。前期最強Qが今期最弱Qに逆転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本決算（6月）でQ4実績確認まで新規買い見合わせ。既存ポジは保有継続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IR Contact（自律偵察）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IRページ: https://www.frontier-i.co.jp/ir/</w:t>
      </w:r>
    </w:p>
    <w:p>
      <w:pPr>
        <w:pStyle w:val="ListBullet"/>
      </w:pPr>
      <w:r>
        <w:rPr>
          <w:rFonts w:ascii="Meiryo UI" w:hAnsi="Meiryo UI"/>
          <w:sz w:val="20"/>
        </w:rPr>
        <w:t>TEL: 03-5578-3500</w:t>
      </w:r>
    </w:p>
    <w:p>
      <w:pPr>
        <w:pStyle w:val="ListBullet"/>
      </w:pPr>
      <w:r>
        <w:rPr>
          <w:rFonts w:ascii="Meiryo UI" w:hAnsi="Meiryo UI"/>
          <w:sz w:val="20"/>
        </w:rPr>
        <w:t>市場: 東証グロース（コード: 7050）</w:t>
      </w:r>
    </w:p>
    <w:p>
      <w:pPr>
        <w:pStyle w:val="ListBullet"/>
      </w:pPr>
      <w:r>
        <w:rPr>
          <w:rFonts w:ascii="Meiryo UI" w:hAnsi="Meiryo UI"/>
          <w:sz w:val="20"/>
        </w:rPr>
        <w:t>決算期: 4月末（本決算発表: 2026年6月頃予定）</w:t>
      </w:r>
    </w:p>
    <w:p>
      <w:pPr>
        <w:pStyle w:val="ListBullet"/>
      </w:pPr>
      <w:r>
        <w:rPr>
          <w:rFonts w:ascii="Meiryo UI" w:hAnsi="Meiryo UI"/>
          <w:sz w:val="20"/>
        </w:rPr>
        <w:t>今日の開示: 「通期連結業績予想の修正（再上方修正）及び配当予想の修正（増配）」18:15発表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フロンティアインターナショナルは、企業・団体のマーケティング活動支援に特化したプロモーションカンパニー。イベント企画から店頭販促・デジタルマーケティングまで一気通貫のワンストップ体制が強み。</w:t>
      </w:r>
    </w:p>
    <w:p/>
    <w:p>
      <w:r>
        <w:rPr>
          <w:rFonts w:ascii="Meiryo UI" w:hAnsi="Meiryo UI"/>
          <w:sz w:val="20"/>
        </w:rPr>
        <w:t xml:space="preserve">代表事業: Tokyo Girls Collection（TGC）主催・運営  </w:t>
      </w:r>
    </w:p>
    <w:p>
      <w:r>
        <w:rPr>
          <w:rFonts w:ascii="Meiryo UI" w:hAnsi="Meiryo UI"/>
          <w:sz w:val="20"/>
        </w:rPr>
        <w:t xml:space="preserve">6機能: イベント / キャンペーン / PR / スペースプロデュース / デジタル / 店頭販売支援  </w:t>
      </w:r>
    </w:p>
    <w:p>
      <w:r>
        <w:rPr>
          <w:rFonts w:ascii="Meiryo UI" w:hAnsi="Meiryo UI"/>
          <w:sz w:val="20"/>
        </w:rPr>
        <w:t xml:space="preserve">海外拠点: 中国（上海）・インドネシア  </w:t>
      </w:r>
    </w:p>
    <w:p>
      <w:r>
        <w:rPr>
          <w:rFonts w:ascii="Meiryo UI" w:hAnsi="Meiryo UI"/>
          <w:sz w:val="20"/>
        </w:rPr>
        <w:t>セグメント: プロモーション事業（単一）</w:t>
      </w:r>
    </w:p>
    <w:p/>
    <w:p>
      <w:r>
        <w:rPr>
          <w:rFonts w:ascii="Meiryo UI" w:hAnsi="Meiryo UI"/>
          <w:sz w:val="20"/>
        </w:rPr>
        <w:t>M&amp;A拡張戦略（2024-2025）</w:t>
      </w:r>
    </w:p>
    <w:p>
      <w:pPr>
        <w:pStyle w:val="ListBullet"/>
      </w:pPr>
      <w:r>
        <w:rPr>
          <w:rFonts w:ascii="Meiryo UI" w:hAnsi="Meiryo UI"/>
          <w:sz w:val="20"/>
        </w:rPr>
        <w:t>2025/03: ヴァンクラフト、KT Partner等を買収</w:t>
      </w:r>
    </w:p>
    <w:p>
      <w:pPr>
        <w:pStyle w:val="ListBullet"/>
      </w:pPr>
      <w:r>
        <w:rPr>
          <w:rFonts w:ascii="Meiryo UI" w:hAnsi="Meiryo UI"/>
          <w:sz w:val="20"/>
        </w:rPr>
        <w:t>2025/08: NPU株式会社を子会社化</w:t>
      </w:r>
    </w:p>
    <w:p>
      <w:r>
        <w:rPr>
          <w:rFonts w:ascii="Meiryo UI" w:hAnsi="Meiryo UI"/>
          <w:sz w:val="20"/>
        </w:rPr>
        <w:t>→ 連続M&amp;Aによる機能補完・人員増強が売上急拡大の主因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今日の上方修正カタリスト（2026-04-17）</w:t>
      </w:r>
    </w:p>
    <w:p/>
    <w:p>
      <w:pPr>
        <w:pStyle w:val="Heading3"/>
      </w:pPr>
      <w:r>
        <w:rPr>
          <w:rFonts w:ascii="Meiryo UI" w:hAnsi="Meiryo UI"/>
          <w:color w:val="2E74B5"/>
        </w:rPr>
        <w:t>修正サマリー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初回予想(7/2025)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第1回修正(12/2025)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本日修正(4/2026)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1,574百万円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1,820百万円 (+43.6%)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≈2,106百万円 (+66.2%)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増益幅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+66.2%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+実質増額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再増配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3Q時点での業績進捗（3Q修正を正当化する根拠）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 (5-7月)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240百万円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 (5-10月)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1,133百万円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3Q累計 (5-1月)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1,923百万円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105.7%</w:t>
            </w:r>
          </w:p>
        </w:tc>
      </w:tr>
    </w:tbl>
    <w:p/>
    <w:p>
      <w:r>
        <w:rPr>
          <w:rFonts w:ascii="Meiryo UI" w:hAnsi="Meiryo UI"/>
          <w:sz w:val="20"/>
        </w:rPr>
        <w:t xml:space="preserve">→ 3Qで既に通期計画(1,820百万円)を超過。残4Q(2-4月)が上乗せ。  </w:t>
      </w:r>
    </w:p>
    <w:p>
      <w:r>
        <w:rPr>
          <w:rFonts w:ascii="Meiryo UI" w:hAnsi="Meiryo UI"/>
          <w:sz w:val="20"/>
        </w:rPr>
        <w:t>→ 再上方修正2,106百万円は現実的（4Qで183百万円追加が必要 = 前期4Q実績比保守的）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業績・財務分析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FY2023/4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17,048百万円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1,875百万円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1,865百万円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1,302百万円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FY2024/4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16,945百万円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1,210百万円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1,232百万円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488百万円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FY2025/4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20,335百万円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1,277百万円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1,267百万円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876百万円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FY2026/4E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28,500百万円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≈2,100百万円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≈2,106百万円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≈1,369百万円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≈7.4%</w:t>
            </w:r>
          </w:p>
        </w:tc>
      </w:tr>
    </w:tbl>
    <w:p/>
    <w:p>
      <w:r>
        <w:rPr>
          <w:rFonts w:ascii="Meiryo UI" w:hAnsi="Meiryo UI"/>
          <w:sz w:val="20"/>
        </w:rPr>
        <w:t>注: FY2026/4E数値は本日再上方修正（経常+66.2%）から深井推定</w:t>
      </w:r>
    </w:p>
    <w:p/>
    <w:p>
      <w:pPr>
        <w:pStyle w:val="Heading3"/>
      </w:pPr>
      <w:r>
        <w:rPr>
          <w:rFonts w:ascii="Meiryo UI" w:hAnsi="Meiryo UI"/>
          <w:color w:val="2E74B5"/>
        </w:rPr>
        <w:t>売上急拡大の要因（FY25→26: +40%）</w:t>
      </w:r>
    </w:p>
    <w:p>
      <w:pPr>
        <w:pStyle w:val="ListBullet"/>
      </w:pPr>
      <w:r>
        <w:rPr>
          <w:rFonts w:ascii="Meiryo UI" w:hAnsi="Meiryo UI"/>
          <w:sz w:val="20"/>
        </w:rPr>
        <w:t>M&amp;A（ヴァンクラフト・KT Partner・NPU）による連結規模拡大</w:t>
      </w:r>
    </w:p>
    <w:p>
      <w:pPr>
        <w:pStyle w:val="ListBullet"/>
      </w:pPr>
      <w:r>
        <w:rPr>
          <w:rFonts w:ascii="Meiryo UI" w:hAnsi="Meiryo UI"/>
          <w:sz w:val="20"/>
        </w:rPr>
        <w:t>大型継続案件の拡大（TGC等のリカーリング化）</w:t>
      </w:r>
    </w:p>
    <w:p>
      <w:pPr>
        <w:pStyle w:val="ListBullet"/>
      </w:pPr>
      <w:r>
        <w:rPr>
          <w:rFonts w:ascii="Meiryo UI" w:hAnsi="Meiryo UI"/>
          <w:sz w:val="20"/>
        </w:rPr>
        <w:t>新規クライアント開発加速</w:t>
      </w:r>
    </w:p>
    <w:p>
      <w:pPr>
        <w:pStyle w:val="ListBullet"/>
      </w:pPr>
      <w:r>
        <w:rPr>
          <w:rFonts w:ascii="Meiryo UI" w:hAnsi="Meiryo UI"/>
          <w:sz w:val="20"/>
        </w:rPr>
        <w:t>3Q営業利益率 8.4%（前年同期7.0%→10.1%と改善トレンド）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リアルタイム財務指標（Yahoo Finance / 2026-04-17 21:33 JST）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【絶対厳守】財務指標（Yahoo Finance リアルタイム取得 — 独自推計禁止）</w:t>
        <w:br/>
        <w:t xml:space="preserve">  PBR: 1.52倍  ← この値を唯一の正解として使用</w:t>
        <w:br/>
        <w:t xml:space="preserve">  BPS: ¥1,070  ← この値を唯一の正解として使用</w:t>
        <w:br/>
        <w:t xml:space="preserve">  ROE: 15.9%  ← この値を唯一の正解として使用</w:t>
        <w:br/>
        <w:t xml:space="preserve">  PER(Trailing): 12.7倍</w:t>
        <w:br/>
        <w:t xml:space="preserve">  EPS(Trailing): ¥128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Forward EPS算出（深井推計）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修正後経常利益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1,267M × 1.662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2,106百万円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推定純利益 (@65% ratio)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2,106 × 0.65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1,369百万円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発行済株数 (2026/1分割後)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4.45M × 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8.89M株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1,369M / 8.89M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¥154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目標株価算定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 (PER 18x)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成長株最低限プレミアム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Main (PER 20x)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利益成長+66%に見合う水準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 (PER 14x)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流動性ディスカウント適用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¥2,156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+32%</w:t>
            </w:r>
          </w:p>
        </w:tc>
      </w:tr>
    </w:tbl>
    <w:p/>
    <w:p>
      <w:r>
        <w:rPr>
          <w:rFonts w:ascii="Meiryo UI" w:hAnsi="Meiryo UI"/>
          <w:sz w:val="20"/>
        </w:rPr>
        <w:t>TP採用: ¥2,800 (PER 18.2x、6ヵ月目途)</w:t>
      </w:r>
    </w:p>
    <w:p/>
    <w:p>
      <w:pPr>
        <w:pStyle w:val="Heading3"/>
      </w:pPr>
      <w:r>
        <w:rPr>
          <w:rFonts w:ascii="Meiryo UI" w:hAnsi="Meiryo UI"/>
          <w:color w:val="2E74B5"/>
        </w:rPr>
        <w:t>PEG分析</w:t>
      </w:r>
    </w:p>
    <w:p>
      <w:pPr>
        <w:pStyle w:val="ListBullet"/>
      </w:pPr>
      <w:r>
        <w:rPr>
          <w:rFonts w:ascii="Meiryo UI" w:hAnsi="Meiryo UI"/>
          <w:sz w:val="20"/>
        </w:rPr>
        <w:t>現Forward PER: 10.6倍</w:t>
      </w:r>
    </w:p>
    <w:p>
      <w:pPr>
        <w:pStyle w:val="ListBullet"/>
      </w:pPr>
      <w:r>
        <w:rPr>
          <w:rFonts w:ascii="Meiryo UI" w:hAnsi="Meiryo UI"/>
          <w:sz w:val="20"/>
        </w:rPr>
        <w:t>利益成長率: +66.2%</w:t>
      </w:r>
    </w:p>
    <w:p>
      <w:pPr>
        <w:pStyle w:val="ListBullet"/>
      </w:pPr>
      <w:r>
        <w:rPr>
          <w:rFonts w:ascii="Meiryo UI" w:hAnsi="Meiryo UI"/>
          <w:sz w:val="20"/>
        </w:rPr>
        <w:t>PEG: 0.16 → PEG 1.0未満は「成長対比割安」の標準基準。0.16は歴史的に割安圏</w:t>
      </w:r>
    </w:p>
    <w:p/>
    <w:p>
      <w:pPr>
        <w:pStyle w:val="Heading3"/>
      </w:pPr>
      <w:r>
        <w:rPr>
          <w:rFonts w:ascii="Meiryo UI" w:hAnsi="Meiryo UI"/>
          <w:color w:val="2E74B5"/>
        </w:rPr>
        <w:t>ROE-PBR整合</w:t>
      </w:r>
    </w:p>
    <w:p>
      <w:pPr>
        <w:pStyle w:val="ListBullet"/>
      </w:pPr>
      <w:r>
        <w:rPr>
          <w:rFonts w:ascii="Meiryo UI" w:hAnsi="Meiryo UI"/>
          <w:sz w:val="20"/>
        </w:rPr>
        <w:t>ROE 15.9%、COE推定8.0% → ROE-COEスプレッド: +7.9%</w:t>
      </w:r>
    </w:p>
    <w:p>
      <w:pPr>
        <w:pStyle w:val="ListBullet"/>
      </w:pPr>
      <w:r>
        <w:rPr>
          <w:rFonts w:ascii="Meiryo UI" w:hAnsi="Meiryo UI"/>
          <w:sz w:val="20"/>
        </w:rPr>
        <w:t>スプレッド正: 理論上PBR&gt;1.0が正当化される</w:t>
      </w:r>
    </w:p>
    <w:p>
      <w:pPr>
        <w:pStyle w:val="ListBullet"/>
      </w:pPr>
      <w:r>
        <w:rPr>
          <w:rFonts w:ascii="Meiryo UI" w:hAnsi="Meiryo UI"/>
          <w:sz w:val="20"/>
        </w:rPr>
        <w:t>現PBR 1.52倍は低い。ROEが20%超に上昇すればPBR 2.5-3.0倍余地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4Q YoY逆転問題（格下げ根拠）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 Q4単体（2-4月）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494百万円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Q4 implied（2-4月）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183百万円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▲63%</w:t>
            </w:r>
          </w:p>
        </w:tc>
      </w:tr>
    </w:tbl>
    <w:p/>
    <w:p>
      <w:r>
        <w:rPr>
          <w:rFonts w:ascii="Meiryo UI" w:hAnsi="Meiryo UI"/>
          <w:sz w:val="20"/>
        </w:rPr>
        <w:t>→ Q1(240) &gt; Q4 implied(183): 最終四半期が開示以来最低水準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なぜ4Qだけ急落するのか（仮説と確率）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仮説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保守ガイド（3Q超過後に残り目標を最小化）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本決算の着地が183を大きく上回るか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M&amp;A統合コスト（のれん償却・PMI費用がQ4に集中）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決算短信の特別損失・販管費率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季節性構造変化（M&amp;A後にH1/Q3集中型に変質）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 Q4のガイダンス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実態悪化（受注パイプライン細り・契約終了）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受注残・クライアント動向コメント</w:t>
            </w:r>
          </w:p>
        </w:tc>
      </w:tr>
    </w:tbl>
    <w:p/>
    <w:p>
      <w:r>
        <w:rPr>
          <w:rFonts w:ascii="Meiryo UI" w:hAnsi="Meiryo UI"/>
          <w:sz w:val="20"/>
        </w:rPr>
        <w:t>投資判断への影響: Q4が保守ガイドで実際に300-400百万円着地 → 即BUY復帰。183百万円通りなら FY27 Q4 比較も引き続き苦しく、HOLD継続。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リスクシナリオ（定量化）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シナリオ①（ベース）: BUY継続</w:t>
      </w:r>
    </w:p>
    <w:p>
      <w:pPr>
        <w:pStyle w:val="ListBullet"/>
      </w:pPr>
      <w:r>
        <w:rPr>
          <w:rFonts w:ascii="Meiryo UI" w:hAnsi="Meiryo UI"/>
          <w:sz w:val="20"/>
        </w:rPr>
        <w:t>FY26 経常利益 2,100百万円達成</w:t>
      </w:r>
    </w:p>
    <w:p>
      <w:pPr>
        <w:pStyle w:val="ListBullet"/>
      </w:pPr>
      <w:r>
        <w:rPr>
          <w:rFonts w:ascii="Meiryo UI" w:hAnsi="Meiryo UI"/>
          <w:sz w:val="20"/>
        </w:rPr>
        <w:t>TP ¥2,800 (+72%)</w:t>
      </w:r>
    </w:p>
    <w:p>
      <w:pPr>
        <w:pStyle w:val="ListBullet"/>
      </w:pPr>
      <w:r>
        <w:rPr>
          <w:rFonts w:ascii="Meiryo UI" w:hAnsi="Meiryo UI"/>
          <w:sz w:val="20"/>
        </w:rPr>
        <w:t>確率: 55%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シナリオ②（強気）: 強含み</w:t>
      </w:r>
    </w:p>
    <w:p>
      <w:pPr>
        <w:pStyle w:val="ListBullet"/>
      </w:pPr>
      <w:r>
        <w:rPr>
          <w:rFonts w:ascii="Meiryo UI" w:hAnsi="Meiryo UI"/>
          <w:sz w:val="20"/>
        </w:rPr>
        <w:t>M&amp;A シナジー顕在化 → FY27 経常利益 2,800百万円</w:t>
      </w:r>
    </w:p>
    <w:p>
      <w:pPr>
        <w:pStyle w:val="ListBullet"/>
      </w:pPr>
      <w:r>
        <w:rPr>
          <w:rFonts w:ascii="Meiryo UI" w:hAnsi="Meiryo UI"/>
          <w:sz w:val="20"/>
        </w:rPr>
        <w:t>TP ¥3,500 (+115%)</w:t>
      </w:r>
    </w:p>
    <w:p>
      <w:pPr>
        <w:pStyle w:val="ListBullet"/>
      </w:pPr>
      <w:r>
        <w:rPr>
          <w:rFonts w:ascii="Meiryo UI" w:hAnsi="Meiryo UI"/>
          <w:sz w:val="20"/>
        </w:rPr>
        <w:t>確率: 20%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シナリオ③（弱気）: Hold</w:t>
      </w:r>
    </w:p>
    <w:p>
      <w:pPr>
        <w:pStyle w:val="ListBullet"/>
      </w:pPr>
      <w:r>
        <w:rPr>
          <w:rFonts w:ascii="Meiryo UI" w:hAnsi="Meiryo UI"/>
          <w:sz w:val="20"/>
        </w:rPr>
        <w:t>大型クライアント離脱・M&amp;A統合遅延</w:t>
      </w:r>
    </w:p>
    <w:p>
      <w:pPr>
        <w:pStyle w:val="ListBullet"/>
      </w:pPr>
      <w:r>
        <w:rPr>
          <w:rFonts w:ascii="Meiryo UI" w:hAnsi="Meiryo UI"/>
          <w:sz w:val="20"/>
        </w:rPr>
        <w:t>FY26 経常利益 1,700百万円 (修正未達)</w:t>
      </w:r>
    </w:p>
    <w:p>
      <w:pPr>
        <w:pStyle w:val="ListBullet"/>
      </w:pPr>
      <w:r>
        <w:rPr>
          <w:rFonts w:ascii="Meiryo UI" w:hAnsi="Meiryo UI"/>
          <w:sz w:val="20"/>
        </w:rPr>
        <w:t>下値 ¥1,300 (-20%)</w:t>
      </w:r>
    </w:p>
    <w:p>
      <w:pPr>
        <w:pStyle w:val="ListBullet"/>
      </w:pPr>
      <w:r>
        <w:rPr>
          <w:rFonts w:ascii="Meiryo UI" w:hAnsi="Meiryo UI"/>
          <w:sz w:val="20"/>
        </w:rPr>
        <w:t>確率: 20%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シナリオ④（テールリスク）: Sell</w:t>
      </w:r>
    </w:p>
    <w:p>
      <w:pPr>
        <w:pStyle w:val="ListBullet"/>
      </w:pPr>
      <w:r>
        <w:rPr>
          <w:rFonts w:ascii="Meiryo UI" w:hAnsi="Meiryo UI"/>
          <w:sz w:val="20"/>
        </w:rPr>
        <w:t>景気後退によるプロモーション予算大幅削減</w:t>
      </w:r>
    </w:p>
    <w:p>
      <w:pPr>
        <w:pStyle w:val="ListBullet"/>
      </w:pPr>
      <w:r>
        <w:rPr>
          <w:rFonts w:ascii="Meiryo UI" w:hAnsi="Meiryo UI"/>
          <w:sz w:val="20"/>
        </w:rPr>
        <w:t>FY26 経常利益 1,000百万円回帰（FY24水準）</w:t>
      </w:r>
    </w:p>
    <w:p>
      <w:pPr>
        <w:pStyle w:val="ListBullet"/>
      </w:pPr>
      <w:r>
        <w:rPr>
          <w:rFonts w:ascii="Meiryo UI" w:hAnsi="Meiryo UI"/>
          <w:sz w:val="20"/>
        </w:rPr>
        <w:t>下値 ¥800-900 (-45%)</w:t>
      </w:r>
    </w:p>
    <w:p>
      <w:pPr>
        <w:pStyle w:val="ListBullet"/>
      </w:pPr>
      <w:r>
        <w:rPr>
          <w:rFonts w:ascii="Meiryo UI" w:hAnsi="Meiryo UI"/>
          <w:sz w:val="20"/>
        </w:rPr>
        <w:t>確率: 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Q-1定性変化（直近四半期の質的変化）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7.0% → 10.1%（3Q単体）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⬆⬆ POSITIVEサプライズ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リカーリング比率上昇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大型継続案件比率増加（決算資料記載）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⬆ 収益安定性向上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M&amp;A統合加速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NPU子会社化（2025/08）後3Qで収益貢献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⬆ 想定より早い統合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株式分割効果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2026/01実施 → 流動性改善（但し依然薄い）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 中立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</w:t>
      </w:r>
    </w:p>
    <w:p/>
    <w:p>
      <w:r>
        <w:rPr>
          <w:rFonts w:ascii="Meiryo UI" w:hAnsi="Meiryo UI"/>
          <w:sz w:val="20"/>
        </w:rPr>
        <w:t>今日の再上方修正（2回目）の意義:</w:t>
      </w:r>
    </w:p>
    <w:p>
      <w:pPr>
        <w:pStyle w:val="ListBullet"/>
      </w:pPr>
      <w:r>
        <w:rPr>
          <w:rFonts w:ascii="Meiryo UI" w:hAnsi="Meiryo UI"/>
          <w:sz w:val="20"/>
        </w:rPr>
        <w:t>初回修正(12月): 2Q段階での上振れ確認 → 定性的な安心感</w:t>
      </w:r>
    </w:p>
    <w:p>
      <w:pPr>
        <w:pStyle w:val="ListBullet"/>
      </w:pPr>
      <w:r>
        <w:rPr>
          <w:rFonts w:ascii="Meiryo UI" w:hAnsi="Meiryo UI"/>
          <w:sz w:val="20"/>
        </w:rPr>
        <w:t>今回修正(4月): 3Qで既に通期超過(105.7%) → ほぼ確実な着地</w:t>
      </w:r>
    </w:p>
    <w:p>
      <w:pPr>
        <w:pStyle w:val="ListBullet"/>
      </w:pPr>
      <w:r>
        <w:rPr>
          <w:rFonts w:ascii="Meiryo UI" w:hAnsi="Meiryo UI"/>
          <w:sz w:val="20"/>
        </w:rPr>
        <w:t>残4Q(2-4月)の最低必要貢献: 183百万円 = 前期4Q実績の参考水準比かなり保守的</w:t>
      </w:r>
    </w:p>
    <w:p/>
    <w:p>
      <w:r>
        <w:rPr>
          <w:rFonts w:ascii="Meiryo UI" w:hAnsi="Meiryo UI"/>
          <w:sz w:val="20"/>
        </w:rPr>
        <w:t>FY27ガイダンス注目点（本決算 6月）:</w:t>
      </w:r>
    </w:p>
    <w:p>
      <w:pPr>
        <w:pStyle w:val="ListBullet"/>
      </w:pPr>
      <w:r>
        <w:rPr>
          <w:rFonts w:ascii="Meiryo UI" w:hAnsi="Meiryo UI"/>
          <w:sz w:val="20"/>
        </w:rPr>
        <w:t>来期成長率の提示がTPの再評価トリガー</w:t>
      </w:r>
    </w:p>
    <w:p>
      <w:pPr>
        <w:pStyle w:val="ListBullet"/>
      </w:pPr>
      <w:r>
        <w:rPr>
          <w:rFonts w:ascii="Meiryo UI" w:hAnsi="Meiryo UI"/>
          <w:sz w:val="20"/>
        </w:rPr>
        <w:t>M&amp;Aパイプラインの追加があれば+20-30%成長継続の可能性</w:t>
      </w:r>
    </w:p>
    <w:p>
      <w:pPr>
        <w:pStyle w:val="ListBullet"/>
      </w:pPr>
      <w:r>
        <w:rPr>
          <w:rFonts w:ascii="Meiryo UI" w:hAnsi="Meiryo UI"/>
          <w:sz w:val="20"/>
        </w:rPr>
        <w:t>利益率: 来期10%超の営業利益率定着が見えれば評価大幅上昇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不動産含み益考察（全DeepResearch必須）</w:t>
      </w:r>
    </w:p>
    <w:p/>
    <w:p>
      <w:r>
        <w:rPr>
          <w:rFonts w:ascii="Meiryo UI" w:hAnsi="Meiryo UI"/>
          <w:sz w:val="20"/>
        </w:rPr>
        <w:t>プロモーション事業会社であり、不動産保有は実質的にゼロと判断。</w:t>
      </w:r>
    </w:p>
    <w:p>
      <w:pPr>
        <w:pStyle w:val="ListBullet"/>
      </w:pPr>
      <w:r>
        <w:rPr>
          <w:rFonts w:ascii="Meiryo UI" w:hAnsi="Meiryo UI"/>
          <w:sz w:val="20"/>
        </w:rPr>
        <w:t>本社: 東京（賃貸と推定）</w:t>
      </w:r>
    </w:p>
    <w:p>
      <w:pPr>
        <w:pStyle w:val="ListBullet"/>
      </w:pPr>
      <w:r>
        <w:rPr>
          <w:rFonts w:ascii="Meiryo UI" w:hAnsi="Meiryo UI"/>
          <w:sz w:val="20"/>
        </w:rPr>
        <w:t>M&amp;A先各社: スタジオ・倉庫等の軽装備型が中心</w:t>
      </w:r>
    </w:p>
    <w:p>
      <w:pPr>
        <w:pStyle w:val="ListBullet"/>
      </w:pPr>
      <w:r>
        <w:rPr>
          <w:rFonts w:ascii="Meiryo UI" w:hAnsi="Meiryo UI"/>
          <w:sz w:val="20"/>
        </w:rPr>
        <w:t>NAV算出: 対象外（サービス業のため）</w:t>
      </w:r>
    </w:p>
    <w:p>
      <w:pPr>
        <w:pStyle w:val="ListBullet"/>
      </w:pPr>
      <w:r>
        <w:rPr>
          <w:rFonts w:ascii="Meiryo UI" w:hAnsi="Meiryo UI"/>
          <w:sz w:val="20"/>
        </w:rPr>
        <w:t>含み益: 該当なし → 純粋なEPS成長・ROE改善でのバリュエーション評価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推奨アクション（執行命令）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¥1,600-1,650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BPS¥1,070×1.5倍=下値メド。今日の引け¥1,627は圏内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積み増し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¥1,500-1,550 割れ込み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BPS×1.4倍水準。ここは強気で追加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¥2,400-2,500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16倍水準。半分以上を利確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 Forward EPS¥154 × PER 18倍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BPS×1.26倍割れ。想定外の業績悪化シグナル</w:t>
            </w:r>
          </w:p>
        </w:tc>
      </w:tr>
    </w:tbl>
    <w:p/>
    <w:p>
      <w:r>
        <w:rPr>
          <w:rFonts w:ascii="Meiryo UI" w:hAnsi="Meiryo UI"/>
          <w:sz w:val="20"/>
        </w:rPr>
        <w:t xml:space="preserve">流動性注意: 1日出来高23,300株 × ¥1,627 = 売買代金 約3,800万円/日  </w:t>
      </w:r>
    </w:p>
    <w:p>
      <w:r>
        <w:rPr>
          <w:rFonts w:ascii="Meiryo UI" w:hAnsi="Meiryo UI"/>
          <w:sz w:val="20"/>
        </w:rPr>
        <w:t>→ 1回の執行は500株（約81万円）以下が現実的。分散して数週間かけて買い付け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本日の市場文脈との整合</w:t>
      </w:r>
    </w:p>
    <w:p/>
    <w:p>
      <w:pPr>
        <w:pStyle w:val="ListBullet"/>
      </w:pPr>
      <w:r>
        <w:rPr>
          <w:rFonts w:ascii="Meiryo UI" w:hAnsi="Meiryo UI"/>
          <w:sz w:val="20"/>
        </w:rPr>
        <w:t>ホルムズ/原油: プロモーション会社はエネルギーコスト影響ほぼゼロ → ホルムズリスクのヘッジ銘柄として機能</w:t>
      </w:r>
    </w:p>
    <w:p>
      <w:pPr>
        <w:pStyle w:val="ListBullet"/>
      </w:pPr>
      <w:r>
        <w:rPr>
          <w:rFonts w:ascii="Meiryo UI" w:hAnsi="Meiryo UI"/>
          <w:sz w:val="20"/>
        </w:rPr>
        <w:t>円高リスク: 国内単一セグメント主体 → 為替感応度低い → 円高局面での相対的強さ</w:t>
      </w:r>
    </w:p>
    <w:p>
      <w:pPr>
        <w:pStyle w:val="ListBullet"/>
      </w:pPr>
      <w:r>
        <w:rPr>
          <w:rFonts w:ascii="Meiryo UI" w:hAnsi="Meiryo UI"/>
          <w:sz w:val="20"/>
        </w:rPr>
        <w:t>景気後退: 唯一の懸念。プロモーション予算は企業の広告費に連動。ただし今決算では需要旺盛を確認</w:t>
      </w:r>
    </w:p>
    <w:p>
      <w:pPr>
        <w:pStyle w:val="ListBullet"/>
      </w:pPr>
      <w:r>
        <w:rPr>
          <w:rFonts w:ascii="Meiryo UI" w:hAnsi="Meiryo UI"/>
          <w:sz w:val="20"/>
        </w:rPr>
        <w:t>グロース市場: 全体的に下値圧力があるが、業績確認済み銘柄は下値限定的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Deep Research作成: 深井 / 2026-04-17  </w:t>
      </w:r>
    </w:p>
    <w:p>
      <w:r>
        <w:rPr>
          <w:rFonts w:ascii="Meiryo UI" w:hAnsi="Meiryo UI"/>
          <w:sz w:val="20"/>
        </w:rPr>
        <w:t>データソース: Yahoo Finance (株価・財務指標リアルタイム), 株探, IFIS株予報, disclosure.tokyo, 公式IR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