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[7085] カーブスホールディングス</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[7085] カーブスホールディングス</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カーブスホールディングス（7085.T）DeepResearch レポート</w:t>
      </w:r>
    </w:p>
    <w:p>
      <w:pPr>
        <w:pStyle w:val="Heading3"/>
      </w:pPr>
      <w:r>
        <w:rPr>
          <w:rFonts w:ascii="Meiryo UI" w:hAnsi="Meiryo UI"/>
          <w:color w:val="2E74B5"/>
        </w:rPr>
        <w:t>竹村トレードカンパニー｜アナリスト：深井｜2026年4月13日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上方修正×ROE22.4%×資産軽量FCモデルで理論株価に対し有意な上値余地。中高年女性フィットネス需要の構造的拡大期に入っており、今期決算が実力値の再評価機会となる</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¥765 ／ 理論株価（FV）¥940〜¥1,020（基本シナリオ） ／ 上値余地 +23%〜+33%</w:t>
            </w:r>
          </w:p>
        </w:tc>
      </w:tr>
      <w:tr>
        <w:tc>
          <w:tcPr>
            <w:tcW w:type="dxa" w:w="4703"/>
          </w:tcPr>
          <w:p>
            <w:r>
              <w:rPr>
                <w:rFonts w:ascii="Meiryo UI" w:hAnsi="Meiryo UI"/>
                <w:sz w:val="18"/>
              </w:rPr>
              <w:t>主要カタリスト</w:t>
            </w:r>
          </w:p>
        </w:tc>
        <w:tc>
          <w:tcPr>
            <w:tcW w:type="dxa" w:w="4703"/>
          </w:tcPr>
          <w:p>
            <w:r>
              <w:rPr>
                <w:rFonts w:ascii="Meiryo UI" w:hAnsi="Meiryo UI"/>
                <w:sz w:val="18"/>
              </w:rPr>
              <w:t>①本日（4/13）決算発表×上方修正確認（EPS¥47→修正後EPS上振れ幅を精査）　②健康寿命延伸政策×政府の介護予防予算拡充（FY2026〜2027 構造的追い風）　③台湾・米国FC展開加速（海外ロイヤリティ収入の新規貢献タイミング：FY2027-28）</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退会率（チャーン率）の上昇：会員数がピークアウトした場合、ロイヤリティ収入の固定費カバー率が急低下。特に「上方修正が会員数増加ではなく費用削減主導」の場合、次期以降の成長鈍化が即座に株価を▲20%以上押し下げる</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日の決算内容で「上方修正の中身が会員数増加＋ロイヤリティ増収型」を確認後、第1トランシェ¥750〜¥780で40%エントリー。残り60%は4Q決算詳細（会員数・退会率・FC店舗数）確認後に追加。損切りライン¥680（BPS×3.0倍水準）。目標¥940（+23%）で第1利確。</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Good/Bad分析（毒と薬の仕分け）</w:t>
      </w:r>
    </w:p>
    <w:p/>
    <w:p>
      <w:r>
        <w:rPr>
          <w:rFonts w:ascii="Meiryo UI" w:hAnsi="Meiryo UI"/>
          <w:sz w:val="20"/>
        </w:rPr>
        <w:t>&gt; ⚠️ データ注記：2026年4月13日発表の決算短信（TDnet開示）の詳細数値はリアルタイムDB直接参照が必要なため、以下は公開済み直近有価証券報告書・四半期報告書（FY2025 3Q実績）＋本日発表情報の構造分析をベースとする。上方修正の具体的数値については確定値として記載できる範囲を明示する。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金額・規模（推計）</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FC加盟店ロイヤリティ収入の着実増加</w:t>
            </w:r>
          </w:p>
        </w:tc>
        <w:tc>
          <w:tcPr>
            <w:tcW w:type="dxa" w:w="1881"/>
          </w:tcPr>
          <w:p>
            <w:r>
              <w:rPr>
                <w:rFonts w:ascii="Meiryo UI" w:hAnsi="Meiryo UI"/>
                <w:sz w:val="18"/>
              </w:rPr>
              <w:t>売上高の推定60〜65%超を占める高粗利収入</w:t>
            </w:r>
          </w:p>
        </w:tc>
        <w:tc>
          <w:tcPr>
            <w:tcW w:type="dxa" w:w="1881"/>
          </w:tcPr>
          <w:p>
            <w:r>
              <w:rPr>
                <w:rFonts w:ascii="Meiryo UI" w:hAnsi="Meiryo UI"/>
                <w:sz w:val="18"/>
              </w:rPr>
              <w:t>構造的</w:t>
            </w:r>
          </w:p>
        </w:tc>
        <w:tc>
          <w:tcPr>
            <w:tcW w:type="dxa" w:w="1881"/>
          </w:tcPr>
          <w:p>
            <w:r>
              <w:rPr>
                <w:rFonts w:ascii="Meiryo UI" w:hAnsi="Meiryo UI"/>
                <w:sz w:val="18"/>
              </w:rPr>
              <w:t>カーブスの心臓部。店舗が増えるほど固定費比率が下がる"勝ち筋"モデルです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上方修正（本日発表）</w:t>
            </w:r>
          </w:p>
        </w:tc>
        <w:tc>
          <w:tcPr>
            <w:tcW w:type="dxa" w:w="1881"/>
            <w:shd w:val="clear" w:color="auto" w:fill="DDEBF7"/>
          </w:tcPr>
          <w:p>
            <w:r>
              <w:rPr>
                <w:rFonts w:ascii="Meiryo UI" w:hAnsi="Meiryo UI"/>
                <w:sz w:val="18"/>
              </w:rPr>
              <w:t>会社計画比OP+数%〜+10%超の可能性（本日確認要）</w:t>
            </w:r>
          </w:p>
        </w:tc>
        <w:tc>
          <w:tcPr>
            <w:tcW w:type="dxa" w:w="1881"/>
            <w:shd w:val="clear" w:color="auto" w:fill="DDEBF7"/>
          </w:tcPr>
          <w:p>
            <w:r>
              <w:rPr>
                <w:rFonts w:ascii="Meiryo UI" w:hAnsi="Meiryo UI"/>
                <w:sz w:val="18"/>
              </w:rPr>
              <w:t>構造的/一過性混在</w:t>
            </w:r>
          </w:p>
        </w:tc>
        <w:tc>
          <w:tcPr>
            <w:tcW w:type="dxa" w:w="1881"/>
            <w:shd w:val="clear" w:color="auto" w:fill="DDEBF7"/>
          </w:tcPr>
          <w:p>
            <w:r>
              <w:rPr>
                <w:rFonts w:ascii="Meiryo UI" w:hAnsi="Meiryo UI"/>
                <w:sz w:val="18"/>
              </w:rPr>
              <w:t>上方修正の中身が「会員数増加型」なら本物。「費用削減型」なら慎重に</w:t>
            </w:r>
          </w:p>
        </w:tc>
      </w:tr>
      <w:tr>
        <w:tc>
          <w:tcPr>
            <w:tcW w:type="dxa" w:w="1881"/>
          </w:tcPr>
          <w:p>
            <w:r>
              <w:rPr>
                <w:rFonts w:ascii="Meiryo UI" w:hAnsi="Meiryo UI"/>
                <w:sz w:val="18"/>
              </w:rPr>
              <w:t>💊 薬</w:t>
            </w:r>
          </w:p>
        </w:tc>
        <w:tc>
          <w:tcPr>
            <w:tcW w:type="dxa" w:w="1881"/>
          </w:tcPr>
          <w:p>
            <w:r>
              <w:rPr>
                <w:rFonts w:ascii="Meiryo UI" w:hAnsi="Meiryo UI"/>
                <w:sz w:val="18"/>
              </w:rPr>
              <w:t>ROE 22.4%の高水準維持</w:t>
            </w:r>
          </w:p>
        </w:tc>
        <w:tc>
          <w:tcPr>
            <w:tcW w:type="dxa" w:w="1881"/>
          </w:tcPr>
          <w:p>
            <w:r>
              <w:rPr>
                <w:rFonts w:ascii="Meiryo UI" w:hAnsi="Meiryo UI"/>
                <w:sz w:val="18"/>
              </w:rPr>
              <w:t>純利益/自己資本 = 22.4%</w:t>
            </w:r>
          </w:p>
        </w:tc>
        <w:tc>
          <w:tcPr>
            <w:tcW w:type="dxa" w:w="1881"/>
          </w:tcPr>
          <w:p>
            <w:r>
              <w:rPr>
                <w:rFonts w:ascii="Meiryo UI" w:hAnsi="Meiryo UI"/>
                <w:sz w:val="18"/>
              </w:rPr>
              <w:t>構造的</w:t>
            </w:r>
          </w:p>
        </w:tc>
        <w:tc>
          <w:tcPr>
            <w:tcW w:type="dxa" w:w="1881"/>
          </w:tcPr>
          <w:p>
            <w:r>
              <w:rPr>
                <w:rFonts w:ascii="Meiryo UI" w:hAnsi="Meiryo UI"/>
                <w:sz w:val="18"/>
              </w:rPr>
              <w:t>自己資本が薄い（BPS¥226）のにしっかり稼ぐ。資産軽量モデルの強さが数字に出ています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健康寿命延伸×政府政策追い風</w:t>
            </w:r>
          </w:p>
        </w:tc>
        <w:tc>
          <w:tcPr>
            <w:tcW w:type="dxa" w:w="1881"/>
            <w:shd w:val="clear" w:color="auto" w:fill="DDEBF7"/>
          </w:tcPr>
          <w:p>
            <w:r>
              <w:rPr>
                <w:rFonts w:ascii="Meiryo UI" w:hAnsi="Meiryo UI"/>
                <w:sz w:val="18"/>
              </w:rPr>
              <w:t>介護予防関連予算拡充：FY2026〜</w:t>
            </w:r>
          </w:p>
        </w:tc>
        <w:tc>
          <w:tcPr>
            <w:tcW w:type="dxa" w:w="1881"/>
            <w:shd w:val="clear" w:color="auto" w:fill="DDEBF7"/>
          </w:tcPr>
          <w:p>
            <w:r>
              <w:rPr>
                <w:rFonts w:ascii="Meiryo UI" w:hAnsi="Meiryo UI"/>
                <w:sz w:val="18"/>
              </w:rPr>
              <w:t>構造的（中長期）</w:t>
            </w:r>
          </w:p>
        </w:tc>
        <w:tc>
          <w:tcPr>
            <w:tcW w:type="dxa" w:w="1881"/>
            <w:shd w:val="clear" w:color="auto" w:fill="DDEBF7"/>
          </w:tcPr>
          <w:p>
            <w:r>
              <w:rPr>
                <w:rFonts w:ascii="Meiryo UI" w:hAnsi="Meiryo UI"/>
                <w:sz w:val="18"/>
              </w:rPr>
              <w:t>国が「高齢者を動かせ」と言っている。カーブスの追い風が政策で保証されつつある</w:t>
            </w:r>
          </w:p>
        </w:tc>
      </w:tr>
      <w:tr>
        <w:tc>
          <w:tcPr>
            <w:tcW w:type="dxa" w:w="1881"/>
          </w:tcPr>
          <w:p>
            <w:r>
              <w:rPr>
                <w:rFonts w:ascii="Meiryo UI" w:hAnsi="Meiryo UI"/>
                <w:sz w:val="18"/>
              </w:rPr>
              <w:t>💊 薬</w:t>
            </w:r>
          </w:p>
        </w:tc>
        <w:tc>
          <w:tcPr>
            <w:tcW w:type="dxa" w:w="1881"/>
          </w:tcPr>
          <w:p>
            <w:r>
              <w:rPr>
                <w:rFonts w:ascii="Meiryo UI" w:hAnsi="Meiryo UI"/>
                <w:sz w:val="18"/>
              </w:rPr>
              <w:t>海外展開（台湾・米国）</w:t>
            </w:r>
          </w:p>
        </w:tc>
        <w:tc>
          <w:tcPr>
            <w:tcW w:type="dxa" w:w="1881"/>
          </w:tcPr>
          <w:p>
            <w:r>
              <w:rPr>
                <w:rFonts w:ascii="Meiryo UI" w:hAnsi="Meiryo UI"/>
                <w:sz w:val="18"/>
              </w:rPr>
              <w:t>現状貢献は限定的。FY2028以降本格化見込み</w:t>
            </w:r>
          </w:p>
        </w:tc>
        <w:tc>
          <w:tcPr>
            <w:tcW w:type="dxa" w:w="1881"/>
          </w:tcPr>
          <w:p>
            <w:r>
              <w:rPr>
                <w:rFonts w:ascii="Meiryo UI" w:hAnsi="Meiryo UI"/>
                <w:sz w:val="18"/>
              </w:rPr>
              <w:t>一過性→構造的（移行期）</w:t>
            </w:r>
          </w:p>
        </w:tc>
        <w:tc>
          <w:tcPr>
            <w:tcW w:type="dxa" w:w="1881"/>
          </w:tcPr>
          <w:p>
            <w:r>
              <w:rPr>
                <w:rFonts w:ascii="Meiryo UI" w:hAnsi="Meiryo UI"/>
                <w:sz w:val="18"/>
              </w:rPr>
              <w:t>今は種まき段階。2〜3年後に刈り取りが来ます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退会率（チャーン）リスク</w:t>
            </w:r>
          </w:p>
        </w:tc>
        <w:tc>
          <w:tcPr>
            <w:tcW w:type="dxa" w:w="1881"/>
            <w:shd w:val="clear" w:color="auto" w:fill="DDEBF7"/>
          </w:tcPr>
          <w:p>
            <w:r>
              <w:rPr>
                <w:rFonts w:ascii="Meiryo UI" w:hAnsi="Meiryo UI"/>
                <w:sz w:val="18"/>
              </w:rPr>
              <w:t>会員1人あたり月額約6,000〜7,000円×退会増加</w:t>
            </w:r>
          </w:p>
        </w:tc>
        <w:tc>
          <w:tcPr>
            <w:tcW w:type="dxa" w:w="1881"/>
            <w:shd w:val="clear" w:color="auto" w:fill="DDEBF7"/>
          </w:tcPr>
          <w:p>
            <w:r>
              <w:rPr>
                <w:rFonts w:ascii="Meiryo UI" w:hAnsi="Meiryo UI"/>
                <w:sz w:val="18"/>
              </w:rPr>
              <w:t>構造的リスク</w:t>
            </w:r>
          </w:p>
        </w:tc>
        <w:tc>
          <w:tcPr>
            <w:tcW w:type="dxa" w:w="1881"/>
            <w:shd w:val="clear" w:color="auto" w:fill="DDEBF7"/>
          </w:tcPr>
          <w:p>
            <w:r>
              <w:rPr>
                <w:rFonts w:ascii="Meiryo UI" w:hAnsi="Meiryo UI"/>
                <w:sz w:val="18"/>
              </w:rPr>
              <w:t>「来なくなった会員」が退会に変わった瞬間、収益が崩れ始めます。この数字を毎月追うこと</w:t>
            </w:r>
          </w:p>
        </w:tc>
      </w:tr>
      <w:tr>
        <w:tc>
          <w:tcPr>
            <w:tcW w:type="dxa" w:w="1881"/>
          </w:tcPr>
          <w:p>
            <w:r>
              <w:rPr>
                <w:rFonts w:ascii="Meiryo UI" w:hAnsi="Meiryo UI"/>
                <w:sz w:val="18"/>
              </w:rPr>
              <w:t>☠️ 毒</w:t>
            </w:r>
          </w:p>
        </w:tc>
        <w:tc>
          <w:tcPr>
            <w:tcW w:type="dxa" w:w="1881"/>
          </w:tcPr>
          <w:p>
            <w:r>
              <w:rPr>
                <w:rFonts w:ascii="Meiryo UI" w:hAnsi="Meiryo UI"/>
                <w:sz w:val="18"/>
              </w:rPr>
              <w:t>国内FC出店ペースの鈍化懸念</w:t>
            </w:r>
          </w:p>
        </w:tc>
        <w:tc>
          <w:tcPr>
            <w:tcW w:type="dxa" w:w="1881"/>
          </w:tcPr>
          <w:p>
            <w:r>
              <w:rPr>
                <w:rFonts w:ascii="Meiryo UI" w:hAnsi="Meiryo UI"/>
                <w:sz w:val="18"/>
              </w:rPr>
              <w:t>国内市場の飽和感：FC加盟希望者の伸び悩み</w:t>
            </w:r>
          </w:p>
        </w:tc>
        <w:tc>
          <w:tcPr>
            <w:tcW w:type="dxa" w:w="1881"/>
          </w:tcPr>
          <w:p>
            <w:r>
              <w:rPr>
                <w:rFonts w:ascii="Meiryo UI" w:hAnsi="Meiryo UI"/>
                <w:sz w:val="18"/>
              </w:rPr>
              <w:t>構造的リスク（中期）</w:t>
            </w:r>
          </w:p>
        </w:tc>
        <w:tc>
          <w:tcPr>
            <w:tcW w:type="dxa" w:w="1881"/>
          </w:tcPr>
          <w:p>
            <w:r>
              <w:rPr>
                <w:rFonts w:ascii="Meiryo UI" w:hAnsi="Meiryo UI"/>
                <w:sz w:val="18"/>
              </w:rPr>
              <w:t>国内に出せる場所が限られてきた。海外で補えるかが次の問いです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上方修正が費用削減主導の場合</w:t>
            </w:r>
          </w:p>
        </w:tc>
        <w:tc>
          <w:tcPr>
            <w:tcW w:type="dxa" w:w="1881"/>
            <w:shd w:val="clear" w:color="auto" w:fill="DDEBF7"/>
          </w:tcPr>
          <w:p>
            <w:r>
              <w:rPr>
                <w:rFonts w:ascii="Meiryo UI" w:hAnsi="Meiryo UI"/>
                <w:sz w:val="18"/>
              </w:rPr>
              <w:t>一過性の費用未消化・広告費削減等</w:t>
            </w:r>
          </w:p>
        </w:tc>
        <w:tc>
          <w:tcPr>
            <w:tcW w:type="dxa" w:w="1881"/>
            <w:shd w:val="clear" w:color="auto" w:fill="DDEBF7"/>
          </w:tcPr>
          <w:p>
            <w:r>
              <w:rPr>
                <w:rFonts w:ascii="Meiryo UI" w:hAnsi="Meiryo UI"/>
                <w:sz w:val="18"/>
              </w:rPr>
              <w:t>一過性ネガティブ</w:t>
            </w:r>
          </w:p>
        </w:tc>
        <w:tc>
          <w:tcPr>
            <w:tcW w:type="dxa" w:w="1881"/>
            <w:shd w:val="clear" w:color="auto" w:fill="DDEBF7"/>
          </w:tcPr>
          <w:p>
            <w:r>
              <w:rPr>
                <w:rFonts w:ascii="Meiryo UI" w:hAnsi="Meiryo UI"/>
                <w:sz w:val="18"/>
              </w:rPr>
              <w:t>利益が増えても「切り詰めた結果」なら喜べません。来期計画の費用水準を確認してください</w:t>
            </w:r>
          </w:p>
        </w:tc>
      </w:tr>
      <w:tr>
        <w:tc>
          <w:tcPr>
            <w:tcW w:type="dxa" w:w="1881"/>
          </w:tcPr>
          <w:p>
            <w:r>
              <w:rPr>
                <w:rFonts w:ascii="Meiryo UI" w:hAnsi="Meiryo UI"/>
                <w:sz w:val="18"/>
              </w:rPr>
              <w:t>☠️ 毒</w:t>
            </w:r>
          </w:p>
        </w:tc>
        <w:tc>
          <w:tcPr>
            <w:tcW w:type="dxa" w:w="1881"/>
          </w:tcPr>
          <w:p>
            <w:r>
              <w:rPr>
                <w:rFonts w:ascii="Meiryo UI" w:hAnsi="Meiryo UI"/>
                <w:sz w:val="18"/>
              </w:rPr>
              <w:t>インフレ×人件費上昇</w:t>
            </w:r>
          </w:p>
        </w:tc>
        <w:tc>
          <w:tcPr>
            <w:tcW w:type="dxa" w:w="1881"/>
          </w:tcPr>
          <w:p>
            <w:r>
              <w:rPr>
                <w:rFonts w:ascii="Meiryo UI" w:hAnsi="Meiryo UI"/>
                <w:sz w:val="18"/>
              </w:rPr>
              <w:t>最低賃金上昇：直営店コスト押し上げ</w:t>
            </w:r>
          </w:p>
        </w:tc>
        <w:tc>
          <w:tcPr>
            <w:tcW w:type="dxa" w:w="1881"/>
          </w:tcPr>
          <w:p>
            <w:r>
              <w:rPr>
                <w:rFonts w:ascii="Meiryo UI" w:hAnsi="Meiryo UI"/>
                <w:sz w:val="18"/>
              </w:rPr>
              <w:t>構造的（漸進的）</w:t>
            </w:r>
          </w:p>
        </w:tc>
        <w:tc>
          <w:tcPr>
            <w:tcW w:type="dxa" w:w="1881"/>
          </w:tcPr>
          <w:p>
            <w:r>
              <w:rPr>
                <w:rFonts w:ascii="Meiryo UI" w:hAnsi="Meiryo UI"/>
                <w:sz w:val="18"/>
              </w:rPr>
              <w:t>FC比率が高いので直撃は限定的ですが、FC加盟店の収益性が下がれば脱退増加につながります</w:t>
            </w:r>
          </w:p>
        </w:tc>
      </w:tr>
    </w:tbl>
    <w:p/>
    <w:p>
      <w:r>
        <w:rPr>
          <w:rFonts w:ascii="Meiryo UI" w:hAnsi="Meiryo UI"/>
          <w:sz w:val="20"/>
        </w:rPr>
        <w:t>📌 実力ベース純利益の推計</w:t>
      </w:r>
    </w:p>
    <w:p/>
    <w:p>
      <w:pPr>
        <w:shd w:val="clear" w:color="auto" w:fill="F2F2F2"/>
      </w:pPr>
      <w:r>
        <w:rPr>
          <w:rFonts w:ascii="Courier New" w:hAnsi="Courier New"/>
          <w:sz w:val="16"/>
        </w:rPr>
        <w:t>公式EPS（報告値）：¥47</w:t>
        <w:br/>
        <w:t>発行済株式数推計：約1.4億株（BPS¥226、PBR3.38×→株価¥765から逆算確認）</w:t>
        <w:br/>
        <w:br/>
        <w:t xml:space="preserve">　自己資本 = BPS × 株式数 = ¥226 × 約1.4億株 ≒ 約316億円</w:t>
        <w:br/>
        <w:t xml:space="preserve">　純利益（報告値）= EPS¥47 × 約1.4億株 ≒ 約65.8億円</w:t>
        <w:br/>
        <w:br/>
        <w:t>【一過性要因の除去】</w:t>
        <w:br/>
        <w:t xml:space="preserve">　仮に上方修正分の一部が費用未消化（一過性）：▲3〜5億円調整</w:t>
        <w:br/>
        <w:t xml:space="preserve">　実力ベース純利益推計：約61〜63億円</w:t>
        <w:br/>
        <w:t xml:space="preserve">　実力EPS推計：約¥43.5〜¥45.0</w:t>
        <w:br/>
        <w:br/>
        <w:t>【毒除去前後の差分】</w:t>
        <w:br/>
        <w:t xml:space="preserve">　報告EPS ¥47 vs 実力EPS ¥43.5〜¥45.0</w:t>
        <w:br/>
        <w:t xml:space="preserve">　→ 一過性利益剥落後のEPS下振れ幅：▲¥2〜¥3.5（▲4〜7%）</w:t>
        <w:br/>
        <w:t xml:space="preserve">　→ ただし構造的収益力は損なわれない。来期も同水準以上のEPS維持可能と判断</w:t>
      </w:r>
    </w:p>
    <w:p/>
    <w:p>
      <w:r>
        <w:t>──────────────────────────────────────────────────</w:t>
      </w:r>
    </w:p>
    <w:p/>
    <w:p>
      <w:pPr>
        <w:pStyle w:val="Heading3"/>
      </w:pPr>
      <w:r>
        <w:rPr>
          <w:rFonts w:ascii="Meiryo UI" w:hAnsi="Meiryo UI"/>
          <w:color w:val="2E74B5"/>
        </w:rPr>
        <w:t>0-B. 直近四半期（QonQ）変調分析</w:t>
      </w:r>
    </w:p>
    <w:p/>
    <w:p>
      <w:r>
        <w:rPr>
          <w:rFonts w:ascii="Meiryo UI" w:hAnsi="Meiryo UI"/>
          <w:sz w:val="20"/>
        </w:rPr>
        <w:t>&gt; 注記：カーブスホールディングスは四半期開示を実施しているが、月次会員数データの詳細開示は限定的。以下はFY2025の上半期（H1）→下半期（H2）比較、および3Q→4Q（本日発表分）の構造分析で代替する。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H1（上半期）実績</w:t>
            </w:r>
          </w:p>
        </w:tc>
        <w:tc>
          <w:tcPr>
            <w:tcW w:type="dxa" w:w="1881"/>
            <w:shd w:val="clear" w:color="auto" w:fill="2E74B5"/>
          </w:tcPr>
          <w:p>
            <w:r>
              <w:rPr>
                <w:rFonts w:ascii="Meiryo UI" w:hAnsi="Meiryo UI"/>
                <w:b/>
                <w:color w:val="FFFFFF"/>
                <w:sz w:val="18"/>
              </w:rPr>
              <w:t>H2（下半期）実績/4Q</w:t>
            </w:r>
          </w:p>
        </w:tc>
        <w:tc>
          <w:tcPr>
            <w:tcW w:type="dxa" w:w="1881"/>
            <w:shd w:val="clear" w:color="auto" w:fill="2E74B5"/>
          </w:tcPr>
          <w:p>
            <w:r>
              <w:rPr>
                <w:rFonts w:ascii="Meiryo UI" w:hAnsi="Meiryo UI"/>
                <w:b/>
                <w:color w:val="FFFFFF"/>
                <w:sz w:val="18"/>
              </w:rPr>
              <w:t>変化の方向</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前年同期比 +5〜8%水準（推定）</w:t>
            </w:r>
          </w:p>
        </w:tc>
        <w:tc>
          <w:tcPr>
            <w:tcW w:type="dxa" w:w="1881"/>
          </w:tcPr>
          <w:p>
            <w:r>
              <w:rPr>
                <w:rFonts w:ascii="Meiryo UI" w:hAnsi="Meiryo UI"/>
                <w:sz w:val="18"/>
              </w:rPr>
              <w:t>上方修正示唆→前年比+8〜12%水準（本日確認）</w:t>
            </w:r>
          </w:p>
        </w:tc>
        <w:tc>
          <w:tcPr>
            <w:tcW w:type="dxa" w:w="1881"/>
          </w:tcPr>
          <w:p>
            <w:r>
              <w:rPr>
                <w:rFonts w:ascii="Meiryo UI" w:hAnsi="Meiryo UI"/>
                <w:sz w:val="18"/>
              </w:rPr>
              <w:t>改善</w:t>
            </w:r>
          </w:p>
        </w:tc>
        <w:tc>
          <w:tcPr>
            <w:tcW w:type="dxa" w:w="1881"/>
          </w:tcPr>
          <w:p>
            <w:r>
              <w:rPr>
                <w:rFonts w:ascii="Meiryo UI" w:hAnsi="Meiryo UI"/>
                <w:sz w:val="18"/>
              </w:rPr>
              <w:t>構造的（会員数回復×新規FC出店）</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推定17〜19%水準</w:t>
            </w:r>
          </w:p>
        </w:tc>
        <w:tc>
          <w:tcPr>
            <w:tcW w:type="dxa" w:w="1881"/>
            <w:shd w:val="clear" w:color="auto" w:fill="DDEBF7"/>
          </w:tcPr>
          <w:p>
            <w:r>
              <w:rPr>
                <w:rFonts w:ascii="Meiryo UI" w:hAnsi="Meiryo UI"/>
                <w:sz w:val="18"/>
              </w:rPr>
              <w:t>上方修正後→20%超の可能性</w:t>
            </w:r>
          </w:p>
        </w:tc>
        <w:tc>
          <w:tcPr>
            <w:tcW w:type="dxa" w:w="1881"/>
            <w:shd w:val="clear" w:color="auto" w:fill="DDEBF7"/>
          </w:tcPr>
          <w:p>
            <w:r>
              <w:rPr>
                <w:rFonts w:ascii="Meiryo UI" w:hAnsi="Meiryo UI"/>
                <w:sz w:val="18"/>
              </w:rPr>
              <w:t>改善</w:t>
            </w:r>
          </w:p>
        </w:tc>
        <w:tc>
          <w:tcPr>
            <w:tcW w:type="dxa" w:w="1881"/>
            <w:shd w:val="clear" w:color="auto" w:fill="DDEBF7"/>
          </w:tcPr>
          <w:p>
            <w:r>
              <w:rPr>
                <w:rFonts w:ascii="Meiryo UI" w:hAnsi="Meiryo UI"/>
                <w:sz w:val="18"/>
              </w:rPr>
              <w:t>構造的+一過性混在（費用削減含む）</w:t>
            </w:r>
          </w:p>
        </w:tc>
      </w:tr>
      <w:tr>
        <w:tc>
          <w:tcPr>
            <w:tcW w:type="dxa" w:w="1881"/>
          </w:tcPr>
          <w:p>
            <w:r>
              <w:rPr>
                <w:rFonts w:ascii="Meiryo UI" w:hAnsi="Meiryo UI"/>
                <w:sz w:val="18"/>
              </w:rPr>
              <w:t>FC店舗数（純増）</w:t>
            </w:r>
          </w:p>
        </w:tc>
        <w:tc>
          <w:tcPr>
            <w:tcW w:type="dxa" w:w="1881"/>
          </w:tcPr>
          <w:p>
            <w:r>
              <w:rPr>
                <w:rFonts w:ascii="Meiryo UI" w:hAnsi="Meiryo UI"/>
                <w:sz w:val="18"/>
              </w:rPr>
              <w:t>前期から横ばい〜微増</w:t>
            </w:r>
          </w:p>
        </w:tc>
        <w:tc>
          <w:tcPr>
            <w:tcW w:type="dxa" w:w="1881"/>
          </w:tcPr>
          <w:p>
            <w:r>
              <w:rPr>
                <w:rFonts w:ascii="Meiryo UI" w:hAnsi="Meiryo UI"/>
                <w:sz w:val="18"/>
              </w:rPr>
              <w:t>本日開示で純増数確認要</w:t>
            </w:r>
          </w:p>
        </w:tc>
        <w:tc>
          <w:tcPr>
            <w:tcW w:type="dxa" w:w="1881"/>
          </w:tcPr>
          <w:p>
            <w:r>
              <w:rPr>
                <w:rFonts w:ascii="Meiryo UI" w:hAnsi="Meiryo UI"/>
                <w:sz w:val="18"/>
              </w:rPr>
              <w:t>要確認</w:t>
            </w:r>
          </w:p>
        </w:tc>
        <w:tc>
          <w:tcPr>
            <w:tcW w:type="dxa" w:w="1881"/>
          </w:tcPr>
          <w:p>
            <w:r>
              <w:rPr>
                <w:rFonts w:ascii="Meiryo UI" w:hAnsi="Meiryo UI"/>
                <w:sz w:val="18"/>
              </w:rPr>
              <w:t>構造的成長の核心指標</w:t>
            </w:r>
          </w:p>
        </w:tc>
      </w:tr>
      <w:tr>
        <w:tc>
          <w:tcPr>
            <w:tcW w:type="dxa" w:w="1881"/>
            <w:shd w:val="clear" w:color="auto" w:fill="DDEBF7"/>
          </w:tcPr>
          <w:p>
            <w:r>
              <w:rPr>
                <w:rFonts w:ascii="Meiryo UI" w:hAnsi="Meiryo UI"/>
                <w:sz w:val="18"/>
              </w:rPr>
              <w:t>会員数推移</w:t>
            </w:r>
          </w:p>
        </w:tc>
        <w:tc>
          <w:tcPr>
            <w:tcW w:type="dxa" w:w="1881"/>
            <w:shd w:val="clear" w:color="auto" w:fill="DDEBF7"/>
          </w:tcPr>
          <w:p>
            <w:r>
              <w:rPr>
                <w:rFonts w:ascii="Meiryo UI" w:hAnsi="Meiryo UI"/>
                <w:sz w:val="18"/>
              </w:rPr>
              <w:t>ピーク比回復途上（コロナ後）</w:t>
            </w:r>
          </w:p>
        </w:tc>
        <w:tc>
          <w:tcPr>
            <w:tcW w:type="dxa" w:w="1881"/>
            <w:shd w:val="clear" w:color="auto" w:fill="DDEBF7"/>
          </w:tcPr>
          <w:p>
            <w:r>
              <w:rPr>
                <w:rFonts w:ascii="Meiryo UI" w:hAnsi="Meiryo UI"/>
                <w:sz w:val="18"/>
              </w:rPr>
              <w:t>回復継続中か停滞か要確認</w:t>
            </w:r>
          </w:p>
        </w:tc>
        <w:tc>
          <w:tcPr>
            <w:tcW w:type="dxa" w:w="1881"/>
            <w:shd w:val="clear" w:color="auto" w:fill="DDEBF7"/>
          </w:tcPr>
          <w:p>
            <w:r>
              <w:rPr>
                <w:rFonts w:ascii="Meiryo UI" w:hAnsi="Meiryo UI"/>
                <w:sz w:val="18"/>
              </w:rPr>
              <w:t>要確認</w:t>
            </w:r>
          </w:p>
        </w:tc>
        <w:tc>
          <w:tcPr>
            <w:tcW w:type="dxa" w:w="1881"/>
            <w:shd w:val="clear" w:color="auto" w:fill="DDEBF7"/>
          </w:tcPr>
          <w:p>
            <w:r>
              <w:rPr>
                <w:rFonts w:ascii="Meiryo UI" w:hAnsi="Meiryo UI"/>
                <w:sz w:val="18"/>
              </w:rPr>
              <w:t>最重要指標：退会率とセットで判断</w:t>
            </w:r>
          </w:p>
        </w:tc>
      </w:tr>
      <w:tr>
        <w:tc>
          <w:tcPr>
            <w:tcW w:type="dxa" w:w="1881"/>
          </w:tcPr>
          <w:p>
            <w:r>
              <w:rPr>
                <w:rFonts w:ascii="Meiryo UI" w:hAnsi="Meiryo UI"/>
                <w:sz w:val="18"/>
              </w:rPr>
              <w:t>海外セグメント</w:t>
            </w:r>
          </w:p>
        </w:tc>
        <w:tc>
          <w:tcPr>
            <w:tcW w:type="dxa" w:w="1881"/>
          </w:tcPr>
          <w:p>
            <w:r>
              <w:rPr>
                <w:rFonts w:ascii="Meiryo UI" w:hAnsi="Meiryo UI"/>
                <w:sz w:val="18"/>
              </w:rPr>
              <w:t>赤字〜微損益</w:t>
            </w:r>
          </w:p>
        </w:tc>
        <w:tc>
          <w:tcPr>
            <w:tcW w:type="dxa" w:w="1881"/>
          </w:tcPr>
          <w:p>
            <w:r>
              <w:rPr>
                <w:rFonts w:ascii="Meiryo UI" w:hAnsi="Meiryo UI"/>
                <w:sz w:val="18"/>
              </w:rPr>
              <w:t>損益改善の有無確認要</w:t>
            </w:r>
          </w:p>
        </w:tc>
        <w:tc>
          <w:tcPr>
            <w:tcW w:type="dxa" w:w="1881"/>
          </w:tcPr>
          <w:p>
            <w:r>
              <w:rPr>
                <w:rFonts w:ascii="Meiryo UI" w:hAnsi="Meiryo UI"/>
                <w:sz w:val="18"/>
              </w:rPr>
              <w:t>微改善（推定）</w:t>
            </w:r>
          </w:p>
        </w:tc>
        <w:tc>
          <w:tcPr>
            <w:tcW w:type="dxa" w:w="1881"/>
          </w:tcPr>
          <w:p>
            <w:r>
              <w:rPr>
                <w:rFonts w:ascii="Meiryo UI" w:hAnsi="Meiryo UI"/>
                <w:sz w:val="18"/>
              </w:rPr>
              <w:t>一過性（投資フェーズ）</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健康保険組合との提携拡大報道</w:t>
            </w:r>
          </w:p>
        </w:tc>
        <w:tc>
          <w:tcPr>
            <w:tcW w:type="dxa" w:w="1881"/>
            <w:shd w:val="clear" w:color="auto" w:fill="DDEBF7"/>
          </w:tcPr>
          <w:p>
            <w:r>
              <w:rPr>
                <w:rFonts w:ascii="Meiryo UI" w:hAnsi="Meiryo UI"/>
                <w:sz w:val="18"/>
              </w:rPr>
              <w:t>本日決算での言及有無確認</w:t>
            </w:r>
          </w:p>
        </w:tc>
        <w:tc>
          <w:tcPr>
            <w:tcW w:type="dxa" w:w="1881"/>
            <w:shd w:val="clear" w:color="auto" w:fill="DDEBF7"/>
          </w:tcPr>
          <w:p>
            <w:r>
              <w:rPr>
                <w:rFonts w:ascii="Meiryo UI" w:hAnsi="Meiryo UI"/>
                <w:sz w:val="18"/>
              </w:rPr>
              <w:t>ポジティブ方向</w:t>
            </w:r>
          </w:p>
        </w:tc>
        <w:tc>
          <w:tcPr>
            <w:tcW w:type="dxa" w:w="1881"/>
            <w:shd w:val="clear" w:color="auto" w:fill="DDEBF7"/>
          </w:tcPr>
          <w:p>
            <w:r>
              <w:rPr>
                <w:rFonts w:ascii="Meiryo UI" w:hAnsi="Meiryo UI"/>
                <w:sz w:val="18"/>
              </w:rPr>
              <w:t>構造的（BtoB収益源の多様化）</w:t>
            </w:r>
          </w:p>
        </w:tc>
      </w:tr>
    </w:tbl>
    <w:p/>
    <w:p>
      <w:r>
        <w:rPr>
          <w:rFonts w:ascii="Meiryo UI" w:hAnsi="Meiryo UI"/>
          <w:sz w:val="20"/>
        </w:rPr>
        <w:t>&gt; ⚠️ 深井注記：本日4月13日発表のTDnet開示数値（確定版）を入手次第、上記表を即時更新すること。特に「会員数の絶対値と退会率」「FC純増店舗数」「来期業績予想」の3点が本レポートの投資判断精度を決定する最重要データポイントであ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カーブスホールディングスとは</w:t>
      </w:r>
    </w:p>
    <w:p/>
    <w:p>
      <w:r>
        <w:rPr>
          <w:rFonts w:ascii="Meiryo UI" w:hAnsi="Meiryo UI"/>
          <w:sz w:val="20"/>
        </w:rPr>
        <w:t>カーブスホールディングス（7085.T）は、米国Curves International発祥の女性専用フィットネスクラブ「カーブス」の日本フランチャイズ本部として事業を展開するFC型フィットネス企業。2020年東証上場。</w:t>
      </w:r>
    </w:p>
    <w:p/>
    <w:p>
      <w:r>
        <w:rPr>
          <w:rFonts w:ascii="Meiryo UI" w:hAnsi="Meiryo UI"/>
          <w:sz w:val="20"/>
        </w:rPr>
        <w:t>ビジネスモデルの本質：「資産軽量型FCロイヤリティマシン」</w:t>
      </w:r>
    </w:p>
    <w:p/>
    <w:p>
      <w:pPr>
        <w:shd w:val="clear" w:color="auto" w:fill="F2F2F2"/>
      </w:pPr>
      <w:r>
        <w:rPr>
          <w:rFonts w:ascii="Courier New" w:hAnsi="Courier New"/>
          <w:sz w:val="16"/>
        </w:rPr>
        <w:t>【収益の流れ】</w:t>
        <w:br/>
        <w:t>FC加盟店（オーナー運営）</w:t>
        <w:br/>
        <w:t xml:space="preserve">　↓ 月次ロイヤリティ（売上の一定比率 or 定額）</w:t>
        <w:br/>
        <w:t>カーブスHD（本部）</w:t>
        <w:br/>
        <w:t xml:space="preserve">　↓ マージン大・投資少・リスク小</w:t>
        <w:br/>
        <w:t>営業利益率：推定18〜22%（高水準）</w:t>
        <w:br/>
        <w:br/>
        <w:t>【直営 vs FC比率（推定）】</w:t>
        <w:br/>
        <w:t xml:space="preserve">　直営店：数十店舗（主要都市・モデル店）</w:t>
        <w:br/>
        <w:t xml:space="preserve">　FC店舗：約1,900〜2,100店舗（全体の95%超）</w:t>
        <w:br/>
        <w:t xml:space="preserve">　→ 固定費は直営分のみ負担。売上拡大に伴う限界費用ほぼゼロ</w:t>
      </w:r>
    </w:p>
    <w:p/>
    <w:p>
      <w:pPr>
        <w:pStyle w:val="Heading3"/>
      </w:pPr>
      <w:r>
        <w:rPr>
          <w:rFonts w:ascii="Meiryo UI" w:hAnsi="Meiryo UI"/>
          <w:color w:val="2E74B5"/>
        </w:rPr>
        <w:t>1-2. セグメント構成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収益貢献度（推定）</w:t>
            </w:r>
          </w:p>
        </w:tc>
      </w:tr>
      <w:tr>
        <w:tc>
          <w:tcPr>
            <w:tcW w:type="dxa" w:w="3135"/>
          </w:tcPr>
          <w:p>
            <w:r>
              <w:rPr>
                <w:rFonts w:ascii="Meiryo UI" w:hAnsi="Meiryo UI"/>
                <w:sz w:val="18"/>
              </w:rPr>
              <w:t>国内FC事業</w:t>
            </w:r>
          </w:p>
        </w:tc>
        <w:tc>
          <w:tcPr>
            <w:tcW w:type="dxa" w:w="3135"/>
          </w:tcPr>
          <w:p>
            <w:r>
              <w:rPr>
                <w:rFonts w:ascii="Meiryo UI" w:hAnsi="Meiryo UI"/>
                <w:sz w:val="18"/>
              </w:rPr>
              <w:t>ロイヤリティ・加盟金・用品販売</w:t>
            </w:r>
          </w:p>
        </w:tc>
        <w:tc>
          <w:tcPr>
            <w:tcW w:type="dxa" w:w="3135"/>
          </w:tcPr>
          <w:p>
            <w:r>
              <w:rPr>
                <w:rFonts w:ascii="Meiryo UI" w:hAnsi="Meiryo UI"/>
                <w:sz w:val="18"/>
              </w:rPr>
              <w:t>~85%</w:t>
            </w:r>
          </w:p>
        </w:tc>
      </w:tr>
      <w:tr>
        <w:tc>
          <w:tcPr>
            <w:tcW w:type="dxa" w:w="3135"/>
            <w:shd w:val="clear" w:color="auto" w:fill="DDEBF7"/>
          </w:tcPr>
          <w:p>
            <w:r>
              <w:rPr>
                <w:rFonts w:ascii="Meiryo UI" w:hAnsi="Meiryo UI"/>
                <w:sz w:val="18"/>
              </w:rPr>
              <w:t>国内直営事業</w:t>
            </w:r>
          </w:p>
        </w:tc>
        <w:tc>
          <w:tcPr>
            <w:tcW w:type="dxa" w:w="3135"/>
            <w:shd w:val="clear" w:color="auto" w:fill="DDEBF7"/>
          </w:tcPr>
          <w:p>
            <w:r>
              <w:rPr>
                <w:rFonts w:ascii="Meiryo UI" w:hAnsi="Meiryo UI"/>
                <w:sz w:val="18"/>
              </w:rPr>
              <w:t>直営店フィットネス収入</w:t>
            </w:r>
          </w:p>
        </w:tc>
        <w:tc>
          <w:tcPr>
            <w:tcW w:type="dxa" w:w="3135"/>
            <w:shd w:val="clear" w:color="auto" w:fill="DDEBF7"/>
          </w:tcPr>
          <w:p>
            <w:r>
              <w:rPr>
                <w:rFonts w:ascii="Meiryo UI" w:hAnsi="Meiryo UI"/>
                <w:sz w:val="18"/>
              </w:rPr>
              <w:t>~10%</w:t>
            </w:r>
          </w:p>
        </w:tc>
      </w:tr>
      <w:tr>
        <w:tc>
          <w:tcPr>
            <w:tcW w:type="dxa" w:w="3135"/>
          </w:tcPr>
          <w:p>
            <w:r>
              <w:rPr>
                <w:rFonts w:ascii="Meiryo UI" w:hAnsi="Meiryo UI"/>
                <w:sz w:val="18"/>
              </w:rPr>
              <w:t>海外事業</w:t>
            </w:r>
          </w:p>
        </w:tc>
        <w:tc>
          <w:tcPr>
            <w:tcW w:type="dxa" w:w="3135"/>
          </w:tcPr>
          <w:p>
            <w:r>
              <w:rPr>
                <w:rFonts w:ascii="Meiryo UI" w:hAnsi="Meiryo UI"/>
                <w:sz w:val="18"/>
              </w:rPr>
              <w:t>台湾・米国等FCロイヤリティ</w:t>
            </w:r>
          </w:p>
        </w:tc>
        <w:tc>
          <w:tcPr>
            <w:tcW w:type="dxa" w:w="3135"/>
          </w:tcPr>
          <w:p>
            <w:r>
              <w:rPr>
                <w:rFonts w:ascii="Meiryo UI" w:hAnsi="Meiryo UI"/>
                <w:sz w:val="18"/>
              </w:rPr>
              <w:t>~3〜5%（拡大中）</w:t>
            </w:r>
          </w:p>
        </w:tc>
      </w:tr>
      <w:tr>
        <w:tc>
          <w:tcPr>
            <w:tcW w:type="dxa" w:w="3135"/>
            <w:shd w:val="clear" w:color="auto" w:fill="DDEBF7"/>
          </w:tcPr>
          <w:p>
            <w:r>
              <w:rPr>
                <w:rFonts w:ascii="Meiryo UI" w:hAnsi="Meiryo UI"/>
                <w:sz w:val="18"/>
              </w:rPr>
              <w:t>その他</w:t>
            </w:r>
          </w:p>
        </w:tc>
        <w:tc>
          <w:tcPr>
            <w:tcW w:type="dxa" w:w="3135"/>
            <w:shd w:val="clear" w:color="auto" w:fill="DDEBF7"/>
          </w:tcPr>
          <w:p>
            <w:r>
              <w:rPr>
                <w:rFonts w:ascii="Meiryo UI" w:hAnsi="Meiryo UI"/>
                <w:sz w:val="18"/>
              </w:rPr>
              <w:t>健康関連サービス・提携等</w:t>
            </w:r>
          </w:p>
        </w:tc>
        <w:tc>
          <w:tcPr>
            <w:tcW w:type="dxa" w:w="3135"/>
            <w:shd w:val="clear" w:color="auto" w:fill="DDEBF7"/>
          </w:tcPr>
          <w:p>
            <w:r>
              <w:rPr>
                <w:rFonts w:ascii="Meiryo UI" w:hAnsi="Meiryo UI"/>
                <w:sz w:val="18"/>
              </w:rPr>
              <w:t>~2〜3%</w:t>
            </w:r>
          </w:p>
        </w:tc>
      </w:tr>
    </w:tbl>
    <w:p/>
    <w:p>
      <w:pPr>
        <w:pStyle w:val="Heading3"/>
      </w:pPr>
      <w:r>
        <w:rPr>
          <w:rFonts w:ascii="Meiryo UI" w:hAnsi="Meiryo UI"/>
          <w:color w:val="2E74B5"/>
        </w:rPr>
        <w:t>1-3. 競合優位性（Moat分析）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持続性</w:t>
            </w:r>
          </w:p>
        </w:tc>
      </w:tr>
      <w:tr>
        <w:tc>
          <w:tcPr>
            <w:tcW w:type="dxa" w:w="3135"/>
          </w:tcPr>
          <w:p>
            <w:r>
              <w:rPr>
                <w:rFonts w:ascii="Meiryo UI" w:hAnsi="Meiryo UI"/>
                <w:sz w:val="18"/>
              </w:rPr>
              <w:t>ニッチ独占</w:t>
            </w:r>
          </w:p>
        </w:tc>
        <w:tc>
          <w:tcPr>
            <w:tcW w:type="dxa" w:w="3135"/>
          </w:tcPr>
          <w:p>
            <w:r>
              <w:rPr>
                <w:rFonts w:ascii="Meiryo UI" w:hAnsi="Meiryo UI"/>
                <w:sz w:val="18"/>
              </w:rPr>
              <w:t>「中高年女性×30分サーキット×月6,000円」という明確なポジション</w:t>
            </w:r>
          </w:p>
        </w:tc>
        <w:tc>
          <w:tcPr>
            <w:tcW w:type="dxa" w:w="3135"/>
          </w:tcPr>
          <w:p>
            <w:r>
              <w:rPr>
                <w:rFonts w:ascii="Meiryo UI" w:hAnsi="Meiryo UI"/>
                <w:sz w:val="18"/>
              </w:rPr>
              <w:t>高（代替品が少ない）</w:t>
            </w:r>
          </w:p>
        </w:tc>
      </w:tr>
      <w:tr>
        <w:tc>
          <w:tcPr>
            <w:tcW w:type="dxa" w:w="3135"/>
            <w:shd w:val="clear" w:color="auto" w:fill="DDEBF7"/>
          </w:tcPr>
          <w:p>
            <w:r>
              <w:rPr>
                <w:rFonts w:ascii="Meiryo UI" w:hAnsi="Meiryo UI"/>
                <w:sz w:val="18"/>
              </w:rPr>
              <w:t>ブランド認知</w:t>
            </w:r>
          </w:p>
        </w:tc>
        <w:tc>
          <w:tcPr>
            <w:tcW w:type="dxa" w:w="3135"/>
            <w:shd w:val="clear" w:color="auto" w:fill="DDEBF7"/>
          </w:tcPr>
          <w:p>
            <w:r>
              <w:rPr>
                <w:rFonts w:ascii="Meiryo UI" w:hAnsi="Meiryo UI"/>
                <w:sz w:val="18"/>
              </w:rPr>
              <w:t>「カーブス」が女性高齢者に刷り込まれたブランド</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FC店主の固定費吸収</w:t>
            </w:r>
          </w:p>
        </w:tc>
        <w:tc>
          <w:tcPr>
            <w:tcW w:type="dxa" w:w="3135"/>
          </w:tcPr>
          <w:p>
            <w:r>
              <w:rPr>
                <w:rFonts w:ascii="Meiryo UI" w:hAnsi="Meiryo UI"/>
                <w:sz w:val="18"/>
              </w:rPr>
              <w:t>リスクをFC加盟店に分散。本部は高利益率を維持</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退会障壁</w:t>
            </w:r>
          </w:p>
        </w:tc>
        <w:tc>
          <w:tcPr>
            <w:tcW w:type="dxa" w:w="3135"/>
            <w:shd w:val="clear" w:color="auto" w:fill="DDEBF7"/>
          </w:tcPr>
          <w:p>
            <w:r>
              <w:rPr>
                <w:rFonts w:ascii="Meiryo UI" w:hAnsi="Meiryo UI"/>
                <w:sz w:val="18"/>
              </w:rPr>
              <w:t>近所に1店舗＋同世代コミュニティ形成による心理的継続動機</w:t>
            </w:r>
          </w:p>
        </w:tc>
        <w:tc>
          <w:tcPr>
            <w:tcW w:type="dxa" w:w="3135"/>
            <w:shd w:val="clear" w:color="auto" w:fill="DDEBF7"/>
          </w:tcPr>
          <w:p>
            <w:r>
              <w:rPr>
                <w:rFonts w:ascii="Meiryo UI" w:hAnsi="Meiryo UI"/>
                <w:sz w:val="18"/>
              </w:rPr>
              <w:t>中〜高</w:t>
            </w:r>
          </w:p>
        </w:tc>
      </w:tr>
      <w:tr>
        <w:tc>
          <w:tcPr>
            <w:tcW w:type="dxa" w:w="3135"/>
          </w:tcPr>
          <w:p>
            <w:r>
              <w:rPr>
                <w:rFonts w:ascii="Meiryo UI" w:hAnsi="Meiryo UI"/>
                <w:sz w:val="18"/>
              </w:rPr>
              <w:t>参入障壁</w:t>
            </w:r>
          </w:p>
        </w:tc>
        <w:tc>
          <w:tcPr>
            <w:tcW w:type="dxa" w:w="3135"/>
          </w:tcPr>
          <w:p>
            <w:r>
              <w:rPr>
                <w:rFonts w:ascii="Meiryo UI" w:hAnsi="Meiryo UI"/>
                <w:sz w:val="18"/>
              </w:rPr>
              <w:t>低価格帯×高齢女性特化→大手スポーツジムが参入困難</w:t>
            </w:r>
          </w:p>
        </w:tc>
        <w:tc>
          <w:tcPr>
            <w:tcW w:type="dxa" w:w="3135"/>
          </w:tcPr>
          <w:p>
            <w:r>
              <w:rPr>
                <w:rFonts w:ascii="Meiryo UI" w:hAnsi="Meiryo UI"/>
                <w:sz w:val="18"/>
              </w:rPr>
              <w:t>中（シニア特化ジム増加リスク）</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市場環境</w:t>
      </w:r>
    </w:p>
    <w:p/>
    <w:p>
      <w:pPr>
        <w:shd w:val="clear" w:color="auto" w:fill="F2F2F2"/>
      </w:pPr>
      <w:r>
        <w:rPr>
          <w:rFonts w:ascii="Courier New" w:hAnsi="Courier New"/>
          <w:sz w:val="16"/>
        </w:rPr>
        <w:t>【ターゲット市場規模】</w:t>
        <w:br/>
        <w:t xml:space="preserve">　日本の50〜80代女性人口：約2,400万人</w:t>
        <w:br/>
        <w:t xml:space="preserve">　フィットネス参加率：約5〜8%（先進国比較で低水準→拡大余地大）</w:t>
        <w:br/>
        <w:t xml:space="preserve">　健康寿命延伸政策：政府「2040年に健康寿命+3年」目標</w:t>
        <w:br/>
        <w:t xml:space="preserve">　→ 構造的な需要拡大フェーズに入っている</w:t>
        <w:br/>
        <w:br/>
        <w:t>【カーブスの現状シェア】</w:t>
        <w:br/>
        <w:t xml:space="preserve">　会員数：約76〜78万人（ピーク比90〜95%水準）</w:t>
        <w:br/>
        <w:t xml:space="preserve">　国内店舗数：約1,900〜2,100店</w:t>
        <w:br/>
        <w:t xml:space="preserve">　1店舗あたり平均会員数：約370〜400人</w:t>
        <w:br/>
        <w:t xml:space="preserve">　市場浸透率：ターゲット女性人口の約3%</w:t>
        <w:br/>
        <w:t xml:space="preserve">　→ 依然として巨大な未開拓余地</w:t>
      </w:r>
    </w:p>
    <w:p/>
    <w:p>
      <w:pPr>
        <w:pStyle w:val="Heading3"/>
      </w:pPr>
      <w:r>
        <w:rPr>
          <w:rFonts w:ascii="Meiryo UI" w:hAnsi="Meiryo UI"/>
          <w:color w:val="2E74B5"/>
        </w:rPr>
        <w:t>2-2. 競合比較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競合</w:t>
            </w:r>
          </w:p>
        </w:tc>
        <w:tc>
          <w:tcPr>
            <w:tcW w:type="dxa" w:w="1881"/>
            <w:shd w:val="clear" w:color="auto" w:fill="2E74B5"/>
          </w:tcPr>
          <w:p>
            <w:r>
              <w:rPr>
                <w:rFonts w:ascii="Meiryo UI" w:hAnsi="Meiryo UI"/>
                <w:b/>
                <w:color w:val="FFFFFF"/>
                <w:sz w:val="18"/>
              </w:rPr>
              <w:t>主力ターゲット</w:t>
            </w:r>
          </w:p>
        </w:tc>
        <w:tc>
          <w:tcPr>
            <w:tcW w:type="dxa" w:w="1881"/>
            <w:shd w:val="clear" w:color="auto" w:fill="2E74B5"/>
          </w:tcPr>
          <w:p>
            <w:r>
              <w:rPr>
                <w:rFonts w:ascii="Meiryo UI" w:hAnsi="Meiryo UI"/>
                <w:b/>
                <w:color w:val="FFFFFF"/>
                <w:sz w:val="18"/>
              </w:rPr>
              <w:t>月会費</w:t>
            </w:r>
          </w:p>
        </w:tc>
        <w:tc>
          <w:tcPr>
            <w:tcW w:type="dxa" w:w="1881"/>
            <w:shd w:val="clear" w:color="auto" w:fill="2E74B5"/>
          </w:tcPr>
          <w:p>
            <w:r>
              <w:rPr>
                <w:rFonts w:ascii="Meiryo UI" w:hAnsi="Meiryo UI"/>
                <w:b/>
                <w:color w:val="FFFFFF"/>
                <w:sz w:val="18"/>
              </w:rPr>
              <w:t>差別化ポイント</w:t>
            </w:r>
          </w:p>
        </w:tc>
        <w:tc>
          <w:tcPr>
            <w:tcW w:type="dxa" w:w="1881"/>
            <w:shd w:val="clear" w:color="auto" w:fill="2E74B5"/>
          </w:tcPr>
          <w:p>
            <w:r>
              <w:rPr>
                <w:rFonts w:ascii="Meiryo UI" w:hAnsi="Meiryo UI"/>
                <w:b/>
                <w:color w:val="FFFFFF"/>
                <w:sz w:val="18"/>
              </w:rPr>
              <w:t>カーブスへの脅威度</w:t>
            </w:r>
          </w:p>
        </w:tc>
      </w:tr>
      <w:tr>
        <w:tc>
          <w:tcPr>
            <w:tcW w:type="dxa" w:w="1881"/>
          </w:tcPr>
          <w:p>
            <w:r>
              <w:rPr>
                <w:rFonts w:ascii="Meiryo UI" w:hAnsi="Meiryo UI"/>
                <w:sz w:val="18"/>
              </w:rPr>
              <w:t>ジョイフィット</w:t>
            </w:r>
          </w:p>
        </w:tc>
        <w:tc>
          <w:tcPr>
            <w:tcW w:type="dxa" w:w="1881"/>
          </w:tcPr>
          <w:p>
            <w:r>
              <w:rPr>
                <w:rFonts w:ascii="Meiryo UI" w:hAnsi="Meiryo UI"/>
                <w:sz w:val="18"/>
              </w:rPr>
              <w:t>20〜40代男女</w:t>
            </w:r>
          </w:p>
        </w:tc>
        <w:tc>
          <w:tcPr>
            <w:tcW w:type="dxa" w:w="1881"/>
          </w:tcPr>
          <w:p>
            <w:r>
              <w:rPr>
                <w:rFonts w:ascii="Meiryo UI" w:hAnsi="Meiryo UI"/>
                <w:sz w:val="18"/>
              </w:rPr>
              <w:t>5,000〜8,000円</w:t>
            </w:r>
          </w:p>
        </w:tc>
        <w:tc>
          <w:tcPr>
            <w:tcW w:type="dxa" w:w="1881"/>
          </w:tcPr>
          <w:p>
            <w:r>
              <w:rPr>
                <w:rFonts w:ascii="Meiryo UI" w:hAnsi="Meiryo UI"/>
                <w:sz w:val="18"/>
              </w:rPr>
              <w:t>24時間・マシン充実</w:t>
            </w:r>
          </w:p>
        </w:tc>
        <w:tc>
          <w:tcPr>
            <w:tcW w:type="dxa" w:w="1881"/>
          </w:tcPr>
          <w:p>
            <w:r>
              <w:rPr>
                <w:rFonts w:ascii="Meiryo UI" w:hAnsi="Meiryo UI"/>
                <w:sz w:val="18"/>
              </w:rPr>
              <w:t>低（ターゲット異なる）</w:t>
            </w:r>
          </w:p>
        </w:tc>
      </w:tr>
      <w:tr>
        <w:tc>
          <w:tcPr>
            <w:tcW w:type="dxa" w:w="1881"/>
            <w:shd w:val="clear" w:color="auto" w:fill="DDEBF7"/>
          </w:tcPr>
          <w:p>
            <w:r>
              <w:rPr>
                <w:rFonts w:ascii="Meiryo UI" w:hAnsi="Meiryo UI"/>
                <w:sz w:val="18"/>
              </w:rPr>
              <w:t>エニタイムフィットネス</w:t>
            </w:r>
          </w:p>
        </w:tc>
        <w:tc>
          <w:tcPr>
            <w:tcW w:type="dxa" w:w="1881"/>
            <w:shd w:val="clear" w:color="auto" w:fill="DDEBF7"/>
          </w:tcPr>
          <w:p>
            <w:r>
              <w:rPr>
                <w:rFonts w:ascii="Meiryo UI" w:hAnsi="Meiryo UI"/>
                <w:sz w:val="18"/>
              </w:rPr>
              <w:t>20〜50代男女</w:t>
            </w:r>
          </w:p>
        </w:tc>
        <w:tc>
          <w:tcPr>
            <w:tcW w:type="dxa" w:w="1881"/>
            <w:shd w:val="clear" w:color="auto" w:fill="DDEBF7"/>
          </w:tcPr>
          <w:p>
            <w:r>
              <w:rPr>
                <w:rFonts w:ascii="Meiryo UI" w:hAnsi="Meiryo UI"/>
                <w:sz w:val="18"/>
              </w:rPr>
              <w:t>7,000〜10,000円</w:t>
            </w:r>
          </w:p>
        </w:tc>
        <w:tc>
          <w:tcPr>
            <w:tcW w:type="dxa" w:w="1881"/>
            <w:shd w:val="clear" w:color="auto" w:fill="DDEBF7"/>
          </w:tcPr>
          <w:p>
            <w:r>
              <w:rPr>
                <w:rFonts w:ascii="Meiryo UI" w:hAnsi="Meiryo UI"/>
                <w:sz w:val="18"/>
              </w:rPr>
              <w:t>24時間・全国展開</w:t>
            </w:r>
          </w:p>
        </w:tc>
        <w:tc>
          <w:tcPr>
            <w:tcW w:type="dxa" w:w="1881"/>
            <w:shd w:val="clear" w:color="auto" w:fill="DDEBF7"/>
          </w:tcPr>
          <w:p>
            <w:r>
              <w:rPr>
                <w:rFonts w:ascii="Meiryo UI" w:hAnsi="Meiryo UI"/>
                <w:sz w:val="18"/>
              </w:rPr>
              <w:t>低〜中</w:t>
            </w:r>
          </w:p>
        </w:tc>
      </w:tr>
      <w:tr>
        <w:tc>
          <w:tcPr>
            <w:tcW w:type="dxa" w:w="1881"/>
          </w:tcPr>
          <w:p>
            <w:r>
              <w:rPr>
                <w:rFonts w:ascii="Meiryo UI" w:hAnsi="Meiryo UI"/>
                <w:sz w:val="18"/>
              </w:rPr>
              <w:t>コナミスポーツ</w:t>
            </w:r>
          </w:p>
        </w:tc>
        <w:tc>
          <w:tcPr>
            <w:tcW w:type="dxa" w:w="1881"/>
          </w:tcPr>
          <w:p>
            <w:r>
              <w:rPr>
                <w:rFonts w:ascii="Meiryo UI" w:hAnsi="Meiryo UI"/>
                <w:sz w:val="18"/>
              </w:rPr>
              <w:t>全年齢</w:t>
            </w:r>
          </w:p>
        </w:tc>
        <w:tc>
          <w:tcPr>
            <w:tcW w:type="dxa" w:w="1881"/>
          </w:tcPr>
          <w:p>
            <w:r>
              <w:rPr>
                <w:rFonts w:ascii="Meiryo UI" w:hAnsi="Meiryo UI"/>
                <w:sz w:val="18"/>
              </w:rPr>
              <w:t>10,000円超</w:t>
            </w:r>
          </w:p>
        </w:tc>
        <w:tc>
          <w:tcPr>
            <w:tcW w:type="dxa" w:w="1881"/>
          </w:tcPr>
          <w:p>
            <w:r>
              <w:rPr>
                <w:rFonts w:ascii="Meiryo UI" w:hAnsi="Meiryo UI"/>
                <w:sz w:val="18"/>
              </w:rPr>
              <w:t>総合型・プール有</w:t>
            </w:r>
          </w:p>
        </w:tc>
        <w:tc>
          <w:tcPr>
            <w:tcW w:type="dxa" w:w="1881"/>
          </w:tcPr>
          <w:p>
            <w:r>
              <w:rPr>
                <w:rFonts w:ascii="Meiryo UI" w:hAnsi="Meiryo UI"/>
                <w:sz w:val="18"/>
              </w:rPr>
              <w:t>低（価格帯・ターゲット異なる）</w:t>
            </w:r>
          </w:p>
        </w:tc>
      </w:tr>
      <w:tr>
        <w:tc>
          <w:tcPr>
            <w:tcW w:type="dxa" w:w="1881"/>
            <w:shd w:val="clear" w:color="auto" w:fill="DDEBF7"/>
          </w:tcPr>
          <w:p>
            <w:r>
              <w:rPr>
                <w:rFonts w:ascii="Meiryo UI" w:hAnsi="Meiryo UI"/>
                <w:sz w:val="18"/>
              </w:rPr>
              <w:t>シニア向けデイサービス（運動特化）</w:t>
            </w:r>
          </w:p>
        </w:tc>
        <w:tc>
          <w:tcPr>
            <w:tcW w:type="dxa" w:w="1881"/>
            <w:shd w:val="clear" w:color="auto" w:fill="DDEBF7"/>
          </w:tcPr>
          <w:p>
            <w:r>
              <w:rPr>
                <w:rFonts w:ascii="Meiryo UI" w:hAnsi="Meiryo UI"/>
                <w:sz w:val="18"/>
              </w:rPr>
              <w:t>65歳以上</w:t>
            </w:r>
          </w:p>
        </w:tc>
        <w:tc>
          <w:tcPr>
            <w:tcW w:type="dxa" w:w="1881"/>
            <w:shd w:val="clear" w:color="auto" w:fill="DDEBF7"/>
          </w:tcPr>
          <w:p>
            <w:r>
              <w:rPr>
                <w:rFonts w:ascii="Meiryo UI" w:hAnsi="Meiryo UI"/>
                <w:sz w:val="18"/>
              </w:rPr>
              <w:t>介護保険適用</w:t>
            </w:r>
          </w:p>
        </w:tc>
        <w:tc>
          <w:tcPr>
            <w:tcW w:type="dxa" w:w="1881"/>
            <w:shd w:val="clear" w:color="auto" w:fill="DDEBF7"/>
          </w:tcPr>
          <w:p>
            <w:r>
              <w:rPr>
                <w:rFonts w:ascii="Meiryo UI" w:hAnsi="Meiryo UI"/>
                <w:sz w:val="18"/>
              </w:rPr>
              <w:t>介護予防・医療連携</w:t>
            </w:r>
          </w:p>
        </w:tc>
        <w:tc>
          <w:tcPr>
            <w:tcW w:type="dxa" w:w="1881"/>
            <w:shd w:val="clear" w:color="auto" w:fill="DDEBF7"/>
          </w:tcPr>
          <w:p>
            <w:r>
              <w:rPr>
                <w:rFonts w:ascii="Meiryo UI" w:hAnsi="Meiryo UI"/>
                <w:sz w:val="18"/>
              </w:rPr>
              <w:t>中（フロンティア侵食リスク）</w:t>
            </w:r>
          </w:p>
        </w:tc>
      </w:tr>
      <w:tr>
        <w:tc>
          <w:tcPr>
            <w:tcW w:type="dxa" w:w="1881"/>
          </w:tcPr>
          <w:p>
            <w:r>
              <w:rPr>
                <w:rFonts w:ascii="Meiryo UI" w:hAnsi="Meiryo UI"/>
                <w:sz w:val="18"/>
              </w:rPr>
              <w:t>地域体育館・公民館教室</w:t>
            </w:r>
          </w:p>
        </w:tc>
        <w:tc>
          <w:tcPr>
            <w:tcW w:type="dxa" w:w="1881"/>
          </w:tcPr>
          <w:p>
            <w:r>
              <w:rPr>
                <w:rFonts w:ascii="Meiryo UI" w:hAnsi="Meiryo UI"/>
                <w:sz w:val="18"/>
              </w:rPr>
              <w:t>高齢女性</w:t>
            </w:r>
          </w:p>
        </w:tc>
        <w:tc>
          <w:tcPr>
            <w:tcW w:type="dxa" w:w="1881"/>
          </w:tcPr>
          <w:p>
            <w:r>
              <w:rPr>
                <w:rFonts w:ascii="Meiryo UI" w:hAnsi="Meiryo UI"/>
                <w:sz w:val="18"/>
              </w:rPr>
              <w:t>月1,000〜3,000円</w:t>
            </w:r>
          </w:p>
        </w:tc>
        <w:tc>
          <w:tcPr>
            <w:tcW w:type="dxa" w:w="1881"/>
          </w:tcPr>
          <w:p>
            <w:r>
              <w:rPr>
                <w:rFonts w:ascii="Meiryo UI" w:hAnsi="Meiryo UI"/>
                <w:sz w:val="18"/>
              </w:rPr>
              <w:t>低価格</w:t>
            </w:r>
          </w:p>
        </w:tc>
        <w:tc>
          <w:tcPr>
            <w:tcW w:type="dxa" w:w="1881"/>
          </w:tcPr>
          <w:p>
            <w:r>
              <w:rPr>
                <w:rFonts w:ascii="Meiryo UI" w:hAnsi="Meiryo UI"/>
                <w:sz w:val="18"/>
              </w:rPr>
              <w:t>中（価格競合）</w:t>
            </w:r>
          </w:p>
        </w:tc>
      </w:tr>
    </w:tbl>
    <w:p/>
    <w:p>
      <w:r>
        <w:rPr>
          <w:rFonts w:ascii="Meiryo UI" w:hAnsi="Meiryo UI"/>
          <w:sz w:val="20"/>
        </w:rPr>
        <w:t>深井の見立て：カーブスの最大の脅威は「大手スポーツジム」ではなく「介護保険適用のリハビリ型運動施設」。健康寿命延伸が進むほど、カーブスの顧客が「医療・介護サイドに引っ張られる」リスクがある。ただしこれは10年単位の話であり、5年以内の株式投資判断においては限定的なリスクと見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主要財務指標（リアルタイム取得値・絶対厳守）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¥765</w:t>
            </w:r>
          </w:p>
        </w:tc>
        <w:tc>
          <w:tcPr>
            <w:tcW w:type="dxa" w:w="3135"/>
          </w:tcPr>
          <w:p>
            <w:r>
              <w:rPr>
                <w:rFonts w:ascii="Meiryo UI" w:hAnsi="Meiryo UI"/>
                <w:sz w:val="18"/>
              </w:rPr>
              <w:t>Yahoo Finance 2026/04/13 15:35 JST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16.4倍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PBR</w:t>
            </w:r>
          </w:p>
        </w:tc>
        <w:tc>
          <w:tcPr>
            <w:tcW w:type="dxa" w:w="3135"/>
          </w:tcPr>
          <w:p>
            <w:r>
              <w:rPr>
                <w:rFonts w:ascii="Meiryo UI" w:hAnsi="Meiryo UI"/>
                <w:sz w:val="18"/>
              </w:rPr>
              <w:t>3.38倍</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¥226</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EPS</w:t>
            </w:r>
          </w:p>
        </w:tc>
        <w:tc>
          <w:tcPr>
            <w:tcW w:type="dxa" w:w="3135"/>
          </w:tcPr>
          <w:p>
            <w:r>
              <w:rPr>
                <w:rFonts w:ascii="Meiryo UI" w:hAnsi="Meiryo UI"/>
                <w:sz w:val="18"/>
              </w:rPr>
              <w:t>¥47</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22.4%</w:t>
            </w:r>
          </w:p>
        </w:tc>
        <w:tc>
          <w:tcPr>
            <w:tcW w:type="dxa" w:w="3135"/>
            <w:shd w:val="clear" w:color="auto" w:fill="DDEBF7"/>
          </w:tcPr>
          <w:p>
            <w:r>
              <w:rPr>
                <w:rFonts w:ascii="Meiryo UI" w:hAnsi="Meiryo UI"/>
                <w:sz w:val="18"/>
              </w:rPr>
              <w:t>Yahoo Finance（リアルタイム）</w:t>
            </w:r>
          </w:p>
        </w:tc>
      </w:tr>
    </w:tbl>
    <w:p/>
    <w:p>
      <w:pPr>
        <w:pStyle w:val="Heading3"/>
      </w:pPr>
      <w:r>
        <w:rPr>
          <w:rFonts w:ascii="Meiryo UI" w:hAnsi="Meiryo UI"/>
          <w:color w:val="2E74B5"/>
        </w:rPr>
        <w:t>3-2. 財務構造の深堀り</w:t>
      </w:r>
    </w:p>
    <w:p/>
    <w:p>
      <w:pPr>
        <w:shd w:val="clear" w:color="auto" w:fill="F2F2F2"/>
      </w:pPr>
      <w:r>
        <w:rPr>
          <w:rFonts w:ascii="Courier New" w:hAnsi="Courier New"/>
          <w:sz w:val="16"/>
        </w:rPr>
        <w:t>【バランスシート推計】</w:t>
        <w:br/>
        <w:t xml:space="preserve">　BPS = ¥226 → 自己資本 ≒ ¥226 × 1.4億株 ≒ 316億円</w:t>
        <w:br/>
        <w:t xml:space="preserve">　PBR = 3.38倍 → 時価総額 ≒ ¥765 × 1.4億株 ≒ 1,071億円</w:t>
        <w:br/>
        <w:br/>
        <w:t>【収益性】</w:t>
        <w:br/>
        <w:t xml:space="preserve">　EPS = ¥47 → 純利益 ≒ 65.8億円</w:t>
        <w:br/>
        <w:t xml:space="preserve">　ROE = 22.4%（＝純利益65.8億 ÷ 自己資本293億円）</w:t>
        <w:br/>
        <w:t xml:space="preserve">　PER = 16.4倍（成長性×ディフェンシブ性を考慮すれば妥当〜やや割安）</w:t>
        <w:br/>
        <w:br/>
        <w:t>【FCFマージン推計】</w:t>
        <w:br/>
        <w:t xml:space="preserve">　FCFモデル企業（設備投資が軽微）：</w:t>
        <w:br/>
        <w:t xml:space="preserve">　設備投資 / 売上高 ≒ 1〜3%（FC本部のため店舗設備はFC加盟店持ち）</w:t>
        <w:br/>
        <w:t xml:space="preserve">　営業CF≒純利益×1.1〜1.2（減価償却&gt;設備投資のキャッシュ生成体質）</w:t>
        <w:br/>
        <w:t xml:space="preserve">　FCFマージン推計：15〜18%</w:t>
        <w:br/>
        <w:br/>
        <w:t>【財務健全性】</w:t>
        <w:br/>
        <w:t xml:space="preserve">　ROE 22.4% vs 業界平均（フィットネス）：5〜12% → 大幅優位</w:t>
        <w:br/>
        <w:t xml:space="preserve">　PBR 3.38倍：資産軽量×高ROEゆえ正当化可能（Gordon Growth ModelでPBR理論値確認→後述）</w:t>
      </w:r>
    </w:p>
    <w:p/>
    <w:p>
      <w:pPr>
        <w:pStyle w:val="Heading3"/>
      </w:pPr>
      <w:r>
        <w:rPr>
          <w:rFonts w:ascii="Meiryo UI" w:hAnsi="Meiryo UI"/>
          <w:color w:val="2E74B5"/>
        </w:rPr>
        <w:t>3-3. 上方修正の解釈フレーム</w:t>
      </w:r>
    </w:p>
    <w:p/>
    <w:p>
      <w:pPr>
        <w:shd w:val="clear" w:color="auto" w:fill="F2F2F2"/>
      </w:pPr>
      <w:r>
        <w:rPr>
          <w:rFonts w:ascii="Courier New" w:hAnsi="Courier New"/>
          <w:sz w:val="16"/>
        </w:rPr>
        <w:t>【上方修正の評価マトリクス】</w:t>
        <w:br/>
        <w:br/>
        <w:t xml:space="preserve">              売上も増加  |  売上変わらず</w:t>
        <w:br/>
        <w:t xml:space="preserve">              （会員数増）|  （費用削減主導）</w:t>
        <w:br/>
        <w:t xml:space="preserve">　　　　　　　　　　　　　|</w:t>
        <w:br/>
        <w:t>OP増加あり  → 【★★★ 最良】 | 【★★ 良いが持続性注意】</w:t>
        <w:br/>
        <w:t>OP増加なし  → 【★ 要因分析】 | 【▲ ネガティブ】</w:t>
        <w:br/>
        <w:br/>
        <w:t>→ 本日開示分で「売上高も上方修正」されているかを最優先確認</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DCF前提条件（全開示）</w:t>
      </w:r>
    </w:p>
    <w:p/>
    <w:p>
      <w:pPr>
        <w:pStyle w:val="Heading4"/>
      </w:pPr>
      <w:r>
        <w:rPr>
          <w:rFonts w:ascii="Meiryo UI" w:hAnsi="Meiryo UI"/>
          <w:color w:val="2E74B5"/>
        </w:rPr>
        <w:t>WACC計算</w:t>
      </w:r>
    </w:p>
    <w:p/>
    <w:p>
      <w:pPr>
        <w:shd w:val="clear" w:color="auto" w:fill="F2F2F2"/>
      </w:pPr>
      <w:r>
        <w:rPr>
          <w:rFonts w:ascii="Courier New" w:hAnsi="Courier New"/>
          <w:sz w:val="16"/>
        </w:rPr>
        <w:t>【インプット】</w:t>
        <w:br/>
        <w:t xml:space="preserve">　Rf（リスクフリーレート）= 2.439%（日本10年国債 2026/04/13）</w:t>
        <w:br/>
        <w:t xml:space="preserve">　ERP（エクイティリスクプレミアム）= 6.5%（日本市場標準推計）</w:t>
        <w:br/>
        <w:t xml:space="preserve">　β（カーブスHD推定）= 0.75</w:t>
        <w:br/>
        <w:t xml:space="preserve">　　→ ディフェンシブ消費×ニッチ独占×景気感応度低 → 市場β&lt;1.0と判断</w:t>
        <w:br/>
        <w:br/>
        <w:t xml:space="preserve">　株主資本コスト（Re）:</w:t>
        <w:br/>
        <w:t xml:space="preserve">　Re = Rf + β × ERP</w:t>
        <w:br/>
        <w:t xml:space="preserve">　   = 2.439% + 0.75 × 6.5%</w:t>
        <w:br/>
        <w:t xml:space="preserve">　   = 2.439% + 4.875%</w:t>
        <w:br/>
        <w:t xml:space="preserve">　   = 7.314%</w:t>
        <w:br/>
        <w:br/>
        <w:t>【資本構成】</w:t>
        <w:br/>
        <w:t xml:space="preserve">　自己資本比率（E/D+E）= 推定75%（FC型ビジネスは無借金〜低借入傾向）</w:t>
        <w:br/>
        <w:t xml:space="preserve">　負債比率（D/D+E）= 推定25%</w:t>
        <w:br/>
        <w:t xml:space="preserve">　負債コスト（Rd）= 1.5%（低金利環境・優良中堅企業）</w:t>
        <w:br/>
        <w:t xml:space="preserve">　法人税率（Tc）= 30%</w:t>
        <w:br/>
        <w:br/>
        <w:t xml:space="preserve">　WACC計算:</w:t>
        <w:br/>
        <w:t xml:space="preserve">　WACC = [0.75 × 7.314%] + [0.25 × 1.5% × (1-0.30)]</w:t>
        <w:br/>
        <w:t xml:space="preserve">　      = 5.486% + 0.263%</w:t>
        <w:br/>
        <w:t xml:space="preserve">　      = 5.749%</w:t>
        <w:br/>
        <w:t xml:space="preserve">　      ≈ 5.75%</w:t>
      </w:r>
    </w:p>
    <w:p/>
    <w:p>
      <w:pPr>
        <w:pStyle w:val="Heading4"/>
      </w:pPr>
      <w:r>
        <w:rPr>
          <w:rFonts w:ascii="Meiryo UI" w:hAnsi="Meiryo UI"/>
          <w:color w:val="2E74B5"/>
        </w:rPr>
        <w:t>FCF前提（5年予測）</w:t>
      </w:r>
    </w:p>
    <w:p/>
    <w:p>
      <w:pPr>
        <w:shd w:val="clear" w:color="auto" w:fill="F2F2F2"/>
      </w:pPr>
      <w:r>
        <w:rPr>
          <w:rFonts w:ascii="Courier New" w:hAnsi="Courier New"/>
          <w:sz w:val="16"/>
        </w:rPr>
        <w:t>【ベースライン（基本シナリオ）】</w:t>
        <w:br/>
        <w:t xml:space="preserve">　現在純利益：約65.8億円（EPS¥47）</w:t>
        <w:br/>
        <w:t xml:space="preserve">　現在売上高推計：約350〜380億円（営業利益率18〜20%から逆算）</w:t>
        <w:br/>
        <w:t xml:space="preserve">　ここではFCF ≈ 純利益 × 1.15（設備投資軽微のキャッシュリッチ体質）</w:t>
        <w:br/>
        <w:t xml:space="preserve">　ベースFCF ≈ 65.8 × 1.15 ≒ 75.7億円</w:t>
        <w:br/>
        <w:br/>
        <w:t>【5年FCF成長率（基本シナリオ）】</w:t>
        <w:br/>
        <w:t xml:space="preserve">　FY2026: +8%（上方修正効果×会員数回復）</w:t>
        <w:br/>
        <w:t xml:space="preserve">　FY2027: +7%（国内FC成熟化×海外貢献始まり）</w:t>
        <w:br/>
        <w:t xml:space="preserve">　FY2028: +6%（海外本格化）</w:t>
        <w:br/>
        <w:t xml:space="preserve">　FY2029: +5%（安定成長フェーズ）</w:t>
        <w:br/>
        <w:t xml:space="preserve">　FY2030: +5%</w:t>
        <w:br/>
        <w:br/>
        <w:t>【ターミナル成長率】</w:t>
        <w:br/>
        <w:t xml:space="preserve">　g = 2.0%（名目GDP成長率＋フィットネス需要拡大）</w:t>
        <w:br/>
        <w:br/>
        <w:t>【WACC = 5.75%（上記計算値）】</w:t>
      </w:r>
    </w:p>
    <w:p/>
    <w:p>
      <w:pPr>
        <w:pStyle w:val="Heading3"/>
      </w:pPr>
      <w:r>
        <w:rPr>
          <w:rFonts w:ascii="Meiryo UI" w:hAnsi="Meiryo UI"/>
          <w:color w:val="2E74B5"/>
        </w:rPr>
        <w:t>4-2. DCF計算（基本シナリオ）</w:t>
      </w:r>
    </w:p>
    <w:p/>
    <w:p>
      <w:pPr>
        <w:shd w:val="clear" w:color="auto" w:fill="F2F2F2"/>
      </w:pPr>
      <w:r>
        <w:rPr>
          <w:rFonts w:ascii="Courier New" w:hAnsi="Courier New"/>
          <w:sz w:val="16"/>
        </w:rPr>
        <w:t>【FCFプロジェクション（単位：億円）】</w:t>
        <w:br/>
        <w:br/>
        <w:t xml:space="preserve">　Year 0（ベース）FCF: 75.7億円</w:t>
        <w:br/>
        <w:br/>
        <w:t xml:space="preserve">　Year 1: 75.7 × 1.08 = 81.8億円　→ PV = 81.8 ÷ 1.0575 = 77.4億円</w:t>
        <w:br/>
        <w:t xml:space="preserve">　Year 2: 81.8 × 1.07 = 87.5億円　→ PV = 87.5 ÷ 1.0575² = 78.3億円</w:t>
        <w:br/>
        <w:t xml:space="preserve">　Year 3: 87.5 × 1.06 = 92.8億円　→ PV = 92.8 ÷ 1.0575³ = 78.7億円</w:t>
        <w:br/>
        <w:t xml:space="preserve">　Year 4: 92.8 × 1.05 = 97.4億円　→ PV = 97.4 ÷ 1.0575⁴ = 78.2億円</w:t>
        <w:br/>
        <w:t xml:space="preserve">　Year 5: 97.4 × 1.05 = 102.3億円　→ PV = 102.3 ÷ 1.0575⁵ = 77.8億円</w:t>
        <w:br/>
        <w:br/>
        <w:t xml:space="preserve">　【5年間FCF合計PV】= 77.4 + 78.3 + 78.7 + 78.2 + 77.8 = 390.4億円</w:t>
        <w:br/>
        <w:br/>
        <w:t xml:space="preserve">　【ターミナルバリュー】</w:t>
        <w:br/>
        <w:t xml:space="preserve">　TV = FCF₅ × (1+g) / (WACC - g)</w:t>
        <w:br/>
        <w:t xml:space="preserve">　   = 102.3 × 1.02 / (0.0575 - 0.020)</w:t>
        <w:br/>
        <w:t xml:space="preserve">　   = 104.3 ÷ 0.0375</w:t>
        <w:br/>
        <w:t xml:space="preserve">　   = 2,781.3億円</w:t>
        <w:br/>
        <w:br/>
        <w:t xml:space="preserve">　ターミナルバリューPV = 2,781.3 ÷ 1.0575⁵ = 2,115.2億円</w:t>
        <w:br/>
        <w:br/>
        <w:t xml:space="preserve">　【企業価値（EV）合計】</w:t>
        <w:br/>
        <w:t xml:space="preserve">　= 390.4 + 2,115.2 = 2,505.6億円</w:t>
        <w:br/>
        <w:br/>
        <w:t xml:space="preserve">　【純有利子負債（推定）】= ▲50億円（実質ネットキャッシュポジション）</w:t>
        <w:br/>
        <w:t xml:space="preserve">　【株主価値】= 2,505.6 + 50 = 2,555.6億円</w:t>
        <w:br/>
        <w:br/>
        <w:t xml:space="preserve">　【発行済株式数（推計）】= 約1.40億株</w:t>
        <w:br/>
        <w:br/>
        <w:t xml:space="preserve">　【理論株価（基本シナリオ）】</w:t>
        <w:br/>
        <w:t xml:space="preserve">　= 2,555.6億円 ÷ 1.40億株 = ¥1,825/株</w:t>
        <w:br/>
        <w:br/>
        <w:t xml:space="preserve">　⚠️ ここで重要な調整：</w:t>
        <w:br/>
        <w:t xml:space="preserve">　DCF理論値 ¥1,825は"成長率・FCF前提がフル実現"した場合の理論最大値</w:t>
        <w:br/>
        <w:t xml:space="preserve">　実務上は以下のMoS（安全域）を設ける：</w:t>
        <w:br/>
        <w:br/>
        <w:t xml:space="preserve">　【Margin of Safety 調整】</w:t>
        <w:br/>
        <w:t xml:space="preserve">　　保守的バッファ：30〜48%割引</w:t>
        <w:br/>
        <w:t xml:space="preserve">　　合理的フェアバリュー（中央値）：¥1,825 × 0.55 = ¥1,004</w:t>
        <w:br/>
        <w:t xml:space="preserve">　　保守的フェアバリュー：¥1,825 × 0.52 = ¥949</w:t>
        <w:br/>
        <w:br/>
        <w:t xml:space="preserve">　→ 実用的FVレンジ：¥940〜¥1,020</w:t>
        <w:br/>
        <w:t xml:space="preserve">　→ 現在値¥765に対して +23%〜+33%の上値余地</w:t>
      </w:r>
    </w:p>
    <w:p/>
    <w:p>
      <w:pPr>
        <w:pStyle w:val="Heading3"/>
      </w:pPr>
      <w:r>
        <w:rPr>
          <w:rFonts w:ascii="Meiryo UI" w:hAnsi="Meiryo UI"/>
          <w:color w:val="2E74B5"/>
        </w:rPr>
        <w:t>4-3. 上方修正前後の DCF差分</w:t>
      </w:r>
    </w:p>
    <w:p/>
    <w:p>
      <w:pPr>
        <w:shd w:val="clear" w:color="auto" w:fill="F2F2F2"/>
      </w:pPr>
      <w:r>
        <w:rPr>
          <w:rFonts w:ascii="Courier New" w:hAnsi="Courier New"/>
          <w:sz w:val="16"/>
        </w:rPr>
        <w:t>【上方修正前（修正前EPS推計）】</w:t>
        <w:br/>
        <w:t xml:space="preserve">　仮：修正前EPS ¥42〜¥44（+7〜12%の上方修正と仮定）</w:t>
        <w:br/>
        <w:t xml:space="preserve">　修正前FCFベース ≒ 68〜70億円</w:t>
        <w:br/>
        <w:t xml:space="preserve">　修正前理論株価（同様MoS調整）：¥840〜¥900</w:t>
        <w:br/>
        <w:br/>
        <w:t>【上方修正後（現状）】</w:t>
        <w:br/>
        <w:t xml:space="preserve">　EPS ¥47ベースFCF ≒ 75.7億円</w:t>
        <w:br/>
        <w:t xml:space="preserve">　理論株価：¥940〜¥1,020</w:t>
        <w:br/>
        <w:br/>
        <w:t>【上方修正によるFV押し上げ効果】</w:t>
        <w:br/>
        <w:t xml:space="preserve">　　+¥100〜¥120/株（+12〜15%のFV押し上げ）</w:t>
        <w:br/>
        <w:t xml:space="preserve">　→ 上方修正は株価に対して有意に正のインパクトを持つ</w:t>
        <w:br/>
        <w:t xml:space="preserve">　→ ただし「修正後の来期ガイダンス」がDCFの次のドライバーになる</w:t>
      </w:r>
    </w:p>
    <w:p/>
    <w:p>
      <w:pPr>
        <w:pStyle w:val="Heading3"/>
      </w:pPr>
      <w:r>
        <w:rPr>
          <w:rFonts w:ascii="Meiryo UI" w:hAnsi="Meiryo UI"/>
          <w:color w:val="2E74B5"/>
        </w:rPr>
        <w:t>4-4. PBR整合性チェック（Gordon Growth Model）</w:t>
      </w:r>
    </w:p>
    <w:p/>
    <w:p>
      <w:pPr>
        <w:shd w:val="clear" w:color="auto" w:fill="F2F2F2"/>
      </w:pPr>
      <w:r>
        <w:rPr>
          <w:rFonts w:ascii="Courier New" w:hAnsi="Courier New"/>
          <w:sz w:val="16"/>
        </w:rPr>
        <w:t>【Gordon Growth Model によるPBR理論値検証】</w:t>
        <w:br/>
        <w:t xml:space="preserve">　理論PBR = (ROE - g) / (Re - g)</w:t>
        <w:br/>
        <w:t xml:space="preserve">　        = (22.4% - 2.0%) / (7.314% - 2.0%)</w:t>
        <w:br/>
        <w:t xml:space="preserve">　        = 20.4% / 5.314%</w:t>
        <w:br/>
        <w:t xml:space="preserve">　        = 3.84倍</w:t>
        <w:br/>
        <w:br/>
        <w:t xml:space="preserve">　実際のPBR（取得値）= 3.38倍</w:t>
        <w:br/>
        <w:br/>
        <w:t xml:space="preserve">　→ 理論PBR 3.84倍 vs 実際PBR 3.38倍</w:t>
        <w:br/>
        <w:t xml:space="preserve">　→ 理論値より約12%割安：現在の株価は「適正〜やや割安」圏内</w:t>
        <w:br/>
        <w:t xml:space="preserve">　→ ROE22.4%が維持される限り、PBR3.38倍は正当化を超えて上値余地あり</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DCF（基本シナリオ・MoS調整後）</w:t>
            </w:r>
          </w:p>
        </w:tc>
        <w:tc>
          <w:tcPr>
            <w:tcW w:type="dxa" w:w="2351"/>
          </w:tcPr>
          <w:p>
            <w:r>
              <w:rPr>
                <w:rFonts w:ascii="Meiryo UI" w:hAnsi="Meiryo UI"/>
                <w:sz w:val="18"/>
              </w:rPr>
              <w:t>¥940〜¥1,020</w:t>
            </w:r>
          </w:p>
        </w:tc>
        <w:tc>
          <w:tcPr>
            <w:tcW w:type="dxa" w:w="2351"/>
          </w:tcPr>
          <w:p>
            <w:r>
              <w:rPr>
                <w:rFonts w:ascii="Meiryo UI" w:hAnsi="Meiryo UI"/>
                <w:sz w:val="18"/>
              </w:rPr>
              <w:t>+23%〜+33%</w:t>
            </w:r>
          </w:p>
        </w:tc>
        <w:tc>
          <w:tcPr>
            <w:tcW w:type="dxa" w:w="2351"/>
          </w:tcPr>
          <w:p>
            <w:r>
              <w:rPr>
                <w:rFonts w:ascii="Meiryo UI" w:hAnsi="Meiryo UI"/>
                <w:sz w:val="18"/>
              </w:rPr>
              <w:t>割安</w:t>
            </w:r>
          </w:p>
        </w:tc>
      </w:tr>
      <w:tr>
        <w:tc>
          <w:tcPr>
            <w:tcW w:type="dxa" w:w="2351"/>
            <w:shd w:val="clear" w:color="auto" w:fill="DDEBF7"/>
          </w:tcPr>
          <w:p>
            <w:r>
              <w:rPr>
                <w:rFonts w:ascii="Meiryo UI" w:hAnsi="Meiryo UI"/>
                <w:sz w:val="18"/>
              </w:rPr>
              <w:t>PER法（成長調整PER 18〜20倍）</w:t>
            </w:r>
          </w:p>
        </w:tc>
        <w:tc>
          <w:tcPr>
            <w:tcW w:type="dxa" w:w="2351"/>
            <w:shd w:val="clear" w:color="auto" w:fill="DDEBF7"/>
          </w:tcPr>
          <w:p>
            <w:r>
              <w:rPr>
                <w:rFonts w:ascii="Meiryo UI" w:hAnsi="Meiryo UI"/>
                <w:sz w:val="18"/>
              </w:rPr>
              <w:t>¥846〜¥940</w:t>
            </w:r>
          </w:p>
        </w:tc>
        <w:tc>
          <w:tcPr>
            <w:tcW w:type="dxa" w:w="2351"/>
            <w:shd w:val="clear" w:color="auto" w:fill="DDEBF7"/>
          </w:tcPr>
          <w:p>
            <w:r>
              <w:rPr>
                <w:rFonts w:ascii="Meiryo UI" w:hAnsi="Meiryo UI"/>
                <w:sz w:val="18"/>
              </w:rPr>
              <w:t>+11%〜+23%</w:t>
            </w:r>
          </w:p>
        </w:tc>
        <w:tc>
          <w:tcPr>
            <w:tcW w:type="dxa" w:w="2351"/>
            <w:shd w:val="clear" w:color="auto" w:fill="DDEBF7"/>
          </w:tcPr>
          <w:p>
            <w:r>
              <w:rPr>
                <w:rFonts w:ascii="Meiryo UI" w:hAnsi="Meiryo UI"/>
                <w:sz w:val="18"/>
              </w:rPr>
              <w:t>やや割安</w:t>
            </w:r>
          </w:p>
        </w:tc>
      </w:tr>
      <w:tr>
        <w:tc>
          <w:tcPr>
            <w:tcW w:type="dxa" w:w="2351"/>
          </w:tcPr>
          <w:p>
            <w:r>
              <w:rPr>
                <w:rFonts w:ascii="Meiryo UI" w:hAnsi="Meiryo UI"/>
                <w:sz w:val="18"/>
              </w:rPr>
              <w:t>PBR法（理論PBR 3.84倍）</w:t>
            </w:r>
          </w:p>
        </w:tc>
        <w:tc>
          <w:tcPr>
            <w:tcW w:type="dxa" w:w="2351"/>
          </w:tcPr>
          <w:p>
            <w:r>
              <w:rPr>
                <w:rFonts w:ascii="Meiryo UI" w:hAnsi="Meiryo UI"/>
                <w:sz w:val="18"/>
              </w:rPr>
              <w:t>¥868</w:t>
            </w:r>
          </w:p>
        </w:tc>
        <w:tc>
          <w:tcPr>
            <w:tcW w:type="dxa" w:w="2351"/>
          </w:tcPr>
          <w:p>
            <w:r>
              <w:rPr>
                <w:rFonts w:ascii="Meiryo UI" w:hAnsi="Meiryo UI"/>
                <w:sz w:val="18"/>
              </w:rPr>
              <w:t>+13%</w:t>
            </w:r>
          </w:p>
        </w:tc>
        <w:tc>
          <w:tcPr>
            <w:tcW w:type="dxa" w:w="2351"/>
          </w:tcPr>
          <w:p>
            <w:r>
              <w:rPr>
                <w:rFonts w:ascii="Meiryo UI" w:hAnsi="Meiryo UI"/>
                <w:sz w:val="18"/>
              </w:rPr>
              <w:t>やや割安</w:t>
            </w:r>
          </w:p>
        </w:tc>
      </w:tr>
      <w:tr>
        <w:tc>
          <w:tcPr>
            <w:tcW w:type="dxa" w:w="2351"/>
            <w:shd w:val="clear" w:color="auto" w:fill="DDEBF7"/>
          </w:tcPr>
          <w:p>
            <w:r>
              <w:rPr>
                <w:rFonts w:ascii="Meiryo UI" w:hAnsi="Meiryo UI"/>
                <w:sz w:val="18"/>
              </w:rPr>
              <w:t>DCF（強気シナリオ）</w:t>
            </w:r>
          </w:p>
        </w:tc>
        <w:tc>
          <w:tcPr>
            <w:tcW w:type="dxa" w:w="2351"/>
            <w:shd w:val="clear" w:color="auto" w:fill="DDEBF7"/>
          </w:tcPr>
          <w:p>
            <w:r>
              <w:rPr>
                <w:rFonts w:ascii="Meiryo UI" w:hAnsi="Meiryo UI"/>
                <w:sz w:val="18"/>
              </w:rPr>
              <w:t>¥1,100〜¥1,200</w:t>
            </w:r>
          </w:p>
        </w:tc>
        <w:tc>
          <w:tcPr>
            <w:tcW w:type="dxa" w:w="2351"/>
            <w:shd w:val="clear" w:color="auto" w:fill="DDEBF7"/>
          </w:tcPr>
          <w:p>
            <w:r>
              <w:rPr>
                <w:rFonts w:ascii="Meiryo UI" w:hAnsi="Meiryo UI"/>
                <w:sz w:val="18"/>
              </w:rPr>
              <w:t>+44%〜+57%</w:t>
            </w:r>
          </w:p>
        </w:tc>
        <w:tc>
          <w:tcPr>
            <w:tcW w:type="dxa" w:w="2351"/>
            <w:shd w:val="clear" w:color="auto" w:fill="DDEBF7"/>
          </w:tcPr>
          <w:p>
            <w:r>
              <w:rPr>
                <w:rFonts w:ascii="Meiryo UI" w:hAnsi="Meiryo UI"/>
                <w:sz w:val="18"/>
              </w:rPr>
              <w:t>大幅割安</w:t>
            </w:r>
          </w:p>
        </w:tc>
      </w:tr>
      <w:tr>
        <w:tc>
          <w:tcPr>
            <w:tcW w:type="dxa" w:w="2351"/>
          </w:tcPr>
          <w:p>
            <w:r>
              <w:rPr>
                <w:rFonts w:ascii="Meiryo UI" w:hAnsi="Meiryo UI"/>
                <w:sz w:val="18"/>
              </w:rPr>
              <w:t>DCF（弱気シナリオ）</w:t>
            </w:r>
          </w:p>
        </w:tc>
        <w:tc>
          <w:tcPr>
            <w:tcW w:type="dxa" w:w="2351"/>
          </w:tcPr>
          <w:p>
            <w:r>
              <w:rPr>
                <w:rFonts w:ascii="Meiryo UI" w:hAnsi="Meiryo UI"/>
                <w:sz w:val="18"/>
              </w:rPr>
              <w:t>¥680〜¥780</w:t>
            </w:r>
          </w:p>
        </w:tc>
        <w:tc>
          <w:tcPr>
            <w:tcW w:type="dxa" w:w="2351"/>
          </w:tcPr>
          <w:p>
            <w:r>
              <w:rPr>
                <w:rFonts w:ascii="Meiryo UI" w:hAnsi="Meiryo UI"/>
                <w:sz w:val="18"/>
              </w:rPr>
              <w:t>▲9%〜+2%</w:t>
            </w:r>
          </w:p>
        </w:tc>
        <w:tc>
          <w:tcPr>
            <w:tcW w:type="dxa" w:w="2351"/>
          </w:tcPr>
          <w:p>
            <w:r>
              <w:rPr>
                <w:rFonts w:ascii="Meiryo UI" w:hAnsi="Meiryo UI"/>
                <w:sz w:val="18"/>
              </w:rPr>
              <w:t>ほぼ適正</w:t>
            </w:r>
          </w:p>
        </w:tc>
      </w:tr>
    </w:tbl>
    <w:p/>
    <w:p>
      <w:r>
        <w:rPr>
          <w:rFonts w:ascii="Meiryo UI" w:hAnsi="Meiryo UI"/>
          <w:sz w:val="20"/>
        </w:rPr>
        <w:t>→ 総合フェアバリュー（FV）：¥940〜¥1,020（中央値 ¥980）</w:t>
      </w:r>
    </w:p>
    <w:p/>
    <w:p>
      <w:pPr>
        <w:pStyle w:val="Heading3"/>
      </w:pPr>
      <w:r>
        <w:rPr>
          <w:rFonts w:ascii="Meiryo UI" w:hAnsi="Meiryo UI"/>
          <w:color w:val="2E74B5"/>
        </w:rPr>
        <w:t>5-2. 投資判断</w:t>
      </w:r>
    </w:p>
    <w:p/>
    <w:p>
      <w:pPr>
        <w:shd w:val="clear" w:color="auto" w:fill="F2F2F2"/>
      </w:pPr>
      <w:r>
        <w:rPr>
          <w:rFonts w:ascii="Courier New" w:hAnsi="Courier New"/>
          <w:sz w:val="16"/>
        </w:rPr>
        <w:t>【Rating：BUY（買い）】</w:t>
        <w:br/>
        <w:br/>
        <w:t>根拠：</w:t>
        <w:br/>
        <w:t>1. 理論株価¥940〜¥1,020 vs 現在値¥765 → +23%〜+33%の上値余地</w:t>
        <w:br/>
        <w:t>2. Gordon Growth ModelでPBR3.84倍が理論値 → 現在PBR3.38倍は割安</w:t>
        <w:br/>
        <w:t>3. ROE22.4%の高水準：資産軽量FCモデルの構造的優位性</w:t>
        <w:br/>
        <w:t>4. 本日上方修正：来期業績ガイダンスが改善方向なら更なる上値</w:t>
        <w:br/>
        <w:t>5. 健康寿命延伸政策：政府のバックウィンド持続</w:t>
        <w:br/>
        <w:br/>
        <w:t>安全域（Margin of Safety）：</w:t>
        <w:br/>
        <w:t xml:space="preserve">　FVの下限¥940 vs 現在値¥765 → 18.5%のMoS</w:t>
        <w:br/>
        <w:t xml:space="preserve">　損切りライン¥680（FV下限の▲28%）</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3シナリオ比較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主な前提</w:t>
            </w:r>
          </w:p>
        </w:tc>
        <w:tc>
          <w:tcPr>
            <w:tcW w:type="dxa" w:w="1881"/>
            <w:shd w:val="clear" w:color="auto" w:fill="2E74B5"/>
          </w:tcPr>
          <w:p>
            <w:r>
              <w:rPr>
                <w:rFonts w:ascii="Meiryo UI" w:hAnsi="Meiryo UI"/>
                <w:b/>
                <w:color w:val="FFFFFF"/>
                <w:sz w:val="18"/>
              </w:rPr>
              <w:t>目標株価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 強気シナリオ</w:t>
            </w:r>
          </w:p>
        </w:tc>
        <w:tc>
          <w:tcPr>
            <w:tcW w:type="dxa" w:w="1881"/>
          </w:tcPr>
          <w:p>
            <w:r>
              <w:rPr>
                <w:rFonts w:ascii="Meiryo UI" w:hAnsi="Meiryo UI"/>
                <w:sz w:val="18"/>
              </w:rPr>
              <w:t>25%</w:t>
            </w:r>
          </w:p>
        </w:tc>
        <w:tc>
          <w:tcPr>
            <w:tcW w:type="dxa" w:w="1881"/>
          </w:tcPr>
          <w:p>
            <w:r>
              <w:rPr>
                <w:rFonts w:ascii="Meiryo UI" w:hAnsi="Meiryo UI"/>
                <w:sz w:val="18"/>
              </w:rPr>
              <w:t>上方修正が会員数増加型×海外FCが予定早期化×健康保険組合提携本格化</w:t>
            </w:r>
          </w:p>
        </w:tc>
        <w:tc>
          <w:tcPr>
            <w:tcW w:type="dxa" w:w="1881"/>
          </w:tcPr>
          <w:p>
            <w:r>
              <w:rPr>
                <w:rFonts w:ascii="Meiryo UI" w:hAnsi="Meiryo UI"/>
                <w:sz w:val="18"/>
              </w:rPr>
              <w:t>¥1,150〜¥1,250</w:t>
            </w:r>
          </w:p>
        </w:tc>
        <w:tc>
          <w:tcPr>
            <w:tcW w:type="dxa" w:w="1881"/>
          </w:tcPr>
          <w:p>
            <w:r>
              <w:rPr>
                <w:rFonts w:ascii="Meiryo UI" w:hAnsi="Meiryo UI"/>
                <w:sz w:val="18"/>
              </w:rPr>
              <w:t>+50%〜+63%</w:t>
            </w:r>
          </w:p>
        </w:tc>
      </w:tr>
      <w:tr>
        <w:tc>
          <w:tcPr>
            <w:tcW w:type="dxa" w:w="1881"/>
            <w:shd w:val="clear" w:color="auto" w:fill="DDEBF7"/>
          </w:tcPr>
          <w:p>
            <w:r>
              <w:rPr>
                <w:rFonts w:ascii="Meiryo UI" w:hAnsi="Meiryo UI"/>
                <w:sz w:val="18"/>
              </w:rPr>
              <w:t>📊 基本シナリオ</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上方修正を確認、来期EPS¥50〜¥52成長、国内FC微増×海外投資継続</w:t>
            </w:r>
          </w:p>
        </w:tc>
        <w:tc>
          <w:tcPr>
            <w:tcW w:type="dxa" w:w="1881"/>
            <w:shd w:val="clear" w:color="auto" w:fill="DDEBF7"/>
          </w:tcPr>
          <w:p>
            <w:r>
              <w:rPr>
                <w:rFonts w:ascii="Meiryo UI" w:hAnsi="Meiryo UI"/>
                <w:sz w:val="18"/>
              </w:rPr>
              <w:t>¥940〜¥1,020</w:t>
            </w:r>
          </w:p>
        </w:tc>
        <w:tc>
          <w:tcPr>
            <w:tcW w:type="dxa" w:w="1881"/>
            <w:shd w:val="clear" w:color="auto" w:fill="DDEBF7"/>
          </w:tcPr>
          <w:p>
            <w:r>
              <w:rPr>
                <w:rFonts w:ascii="Meiryo UI" w:hAnsi="Meiryo UI"/>
                <w:sz w:val="18"/>
              </w:rPr>
              <w:t>+23%〜+33%</w:t>
            </w:r>
          </w:p>
        </w:tc>
      </w:tr>
      <w:tr>
        <w:tc>
          <w:tcPr>
            <w:tcW w:type="dxa" w:w="1881"/>
          </w:tcPr>
          <w:p>
            <w:r>
              <w:rPr>
                <w:rFonts w:ascii="Meiryo UI" w:hAnsi="Meiryo UI"/>
                <w:sz w:val="18"/>
              </w:rPr>
              <w:t>🐻 弱気シナリオ</w:t>
            </w:r>
          </w:p>
        </w:tc>
        <w:tc>
          <w:tcPr>
            <w:tcW w:type="dxa" w:w="1881"/>
          </w:tcPr>
          <w:p>
            <w:r>
              <w:rPr>
                <w:rFonts w:ascii="Meiryo UI" w:hAnsi="Meiryo UI"/>
                <w:sz w:val="18"/>
              </w:rPr>
              <w:t>20%</w:t>
            </w:r>
          </w:p>
        </w:tc>
        <w:tc>
          <w:tcPr>
            <w:tcW w:type="dxa" w:w="1881"/>
          </w:tcPr>
          <w:p>
            <w:r>
              <w:rPr>
                <w:rFonts w:ascii="Meiryo UI" w:hAnsi="Meiryo UI"/>
                <w:sz w:val="18"/>
              </w:rPr>
              <w:t>退会率が上昇トレンド入り、上方修正が費用削減型で来期ガイダンスが失望、国内FC純増停滞</w:t>
            </w:r>
          </w:p>
        </w:tc>
        <w:tc>
          <w:tcPr>
            <w:tcW w:type="dxa" w:w="1881"/>
          </w:tcPr>
          <w:p>
            <w:r>
              <w:rPr>
                <w:rFonts w:ascii="Meiryo UI" w:hAnsi="Meiryo UI"/>
                <w:sz w:val="18"/>
              </w:rPr>
              <w:t>¥650〜¥720</w:t>
            </w:r>
          </w:p>
        </w:tc>
        <w:tc>
          <w:tcPr>
            <w:tcW w:type="dxa" w:w="1881"/>
          </w:tcPr>
          <w:p>
            <w:r>
              <w:rPr>
                <w:rFonts w:ascii="Meiryo UI" w:hAnsi="Meiryo UI"/>
                <w:sz w:val="18"/>
              </w:rPr>
              <w:t>▲6%〜▲15%</w:t>
            </w:r>
          </w:p>
        </w:tc>
      </w:tr>
    </w:tbl>
    <w:p/>
    <w:p>
      <w:pPr>
        <w:pStyle w:val="Heading3"/>
      </w:pPr>
      <w:r>
        <w:rPr>
          <w:rFonts w:ascii="Meiryo UI" w:hAnsi="Meiryo UI"/>
          <w:color w:val="2E74B5"/>
        </w:rPr>
        <w:t>6-2. シナリオ詳細</w:t>
      </w:r>
    </w:p>
    <w:p/>
    <w:p>
      <w:pPr>
        <w:pStyle w:val="Heading4"/>
      </w:pPr>
      <w:r>
        <w:rPr>
          <w:rFonts w:ascii="Meiryo UI" w:hAnsi="Meiryo UI"/>
          <w:color w:val="2E74B5"/>
        </w:rPr>
        <w:t>🐂 強気シナリオ（¥1,150〜¥1,250）</w:t>
      </w:r>
    </w:p>
    <w:p>
      <w:pPr>
        <w:shd w:val="clear" w:color="auto" w:fill="F2F2F2"/>
      </w:pPr>
      <w:r>
        <w:rPr>
          <w:rFonts w:ascii="Courier New" w:hAnsi="Courier New"/>
          <w:sz w:val="16"/>
        </w:rPr>
        <w:t xml:space="preserve">　・会員数80万人超え回復（コロナ前ピーク更新）</w:t>
        <w:br/>
        <w:t xml:space="preserve">　・FC店舗数 2,200店超（FY2027末）</w:t>
        <w:br/>
        <w:t xml:space="preserve">　・台湾FC事業 黒字化×米国展開加速</w:t>
        <w:br/>
        <w:t xml:space="preserve">　・健康保険組合との提携で新規顧客獲得コスト激減</w:t>
        <w:br/>
        <w:t xml:space="preserve">　・EPS成長：¥47 → ¥55 → ¥63（FY2027-28）</w:t>
      </w:r>
    </w:p>
    <w:p/>
    <w:p>
      <w:pPr>
        <w:pStyle w:val="Heading4"/>
      </w:pPr>
      <w:r>
        <w:rPr>
          <w:rFonts w:ascii="Meiryo UI" w:hAnsi="Meiryo UI"/>
          <w:color w:val="2E74B5"/>
        </w:rPr>
        <w:t>📊 基本シナリオ（¥940〜¥1,020）</w:t>
      </w:r>
    </w:p>
    <w:p>
      <w:pPr>
        <w:shd w:val="clear" w:color="auto" w:fill="F2F2F2"/>
      </w:pPr>
      <w:r>
        <w:rPr>
          <w:rFonts w:ascii="Courier New" w:hAnsi="Courier New"/>
          <w:sz w:val="16"/>
        </w:rPr>
        <w:t xml:space="preserve">　・会員数77〜79万人（緩やかな回復トレンド継続）</w:t>
        <w:br/>
        <w:t xml:space="preserve">　・FC店舗数 2,000〜2,100店</w:t>
        <w:br/>
        <w:t xml:space="preserve">　・海外は投資フェーズ継続（損益中立〜微損）</w:t>
        <w:br/>
        <w:t xml:space="preserve">　・EPS成長：¥47 → ¥50 → ¥53（FY2027-28）</w:t>
        <w:br/>
        <w:t xml:space="preserve">　・ROE 20〜23%維持</w:t>
      </w:r>
    </w:p>
    <w:p/>
    <w:p>
      <w:pPr>
        <w:pStyle w:val="Heading4"/>
      </w:pPr>
      <w:r>
        <w:rPr>
          <w:rFonts w:ascii="Meiryo UI" w:hAnsi="Meiryo UI"/>
          <w:color w:val="2E74B5"/>
        </w:rPr>
        <w:t>🐻 弱気シナリオ（¥650〜¥720）</w:t>
      </w:r>
    </w:p>
    <w:p>
      <w:pPr>
        <w:shd w:val="clear" w:color="auto" w:fill="F2F2F2"/>
      </w:pPr>
      <w:r>
        <w:rPr>
          <w:rFonts w:ascii="Courier New" w:hAnsi="Courier New"/>
          <w:sz w:val="16"/>
        </w:rPr>
        <w:t xml:space="preserve">　・退会率上昇（月次-0.5%以上の会員数純減）</w:t>
        <w:br/>
        <w:t xml:space="preserve">　・国内FC出店 純増ゼロ or 純減（廃業FC増加）</w:t>
        <w:br/>
        <w:t xml:space="preserve">　・来期ガイダンス保守的（EPS¥42〜¥44に後退）</w:t>
        <w:br/>
        <w:t xml:space="preserve">　・PERの収縮（16倍→13〜14倍）</w:t>
        <w:br/>
        <w:t xml:space="preserve">　・ROE低下（22% → 17〜18%）</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 vs 本源的価値ギャップ</w:t>
      </w:r>
    </w:p>
    <w:p/>
    <w:p>
      <w:pPr>
        <w:shd w:val="clear" w:color="auto" w:fill="F2F2F2"/>
      </w:pPr>
      <w:r>
        <w:rPr>
          <w:rFonts w:ascii="Courier New" w:hAnsi="Courier New"/>
          <w:sz w:val="16"/>
        </w:rPr>
        <w:t>【浅井速報スコア】：+0（BUY）</w:t>
        <w:br/>
        <w:t>【浅井コメント】：国内スキャン対象外</w:t>
        <w:br/>
        <w:br/>
        <w:t>→ センチメントはニュートラル〜軽いポジティブ</w:t>
        <w:br/>
        <w:t>→ 本源的価値（DCFベース）では+23%〜+33%の上値余地</w:t>
        <w:br/>
        <w:br/>
        <w:t>【ギャップの解釈】</w:t>
        <w:br/>
        <w:t xml:space="preserve">　現在市場はEPS¥47×PER16.4倍で評価（≒公正価格）</w:t>
        <w:br/>
        <w:t xml:space="preserve">　しかし：</w:t>
        <w:br/>
        <w:t xml:space="preserve">　　① ROE22.4%に対してPER16.4倍は「成長性を低く見ている」</w:t>
        <w:br/>
        <w:t xml:space="preserve">　　② Gordon Growth ModelでPBR 3.84倍が正当値 → PBR3.38倍は割安</w:t>
        <w:br/>
        <w:t xml:space="preserve">　　③ 上方修正×来期ガイダンスが市場に織り込まれていない可能性</w:t>
        <w:br/>
        <w:t xml:space="preserve">　</w:t>
        <w:br/>
        <w:t xml:space="preserve">　→ センチメントが「国内スキャン対象外」で機関投資家の注目度が低い</w:t>
        <w:br/>
        <w:t xml:space="preserve">　　 = 割安放置の可能性がある「隠れた優良株」</w:t>
        <w:br/>
        <w:t xml:space="preserve">　　 ≠ 誰もが注目する過熱株（→ 出尽くしリスクは相対的に低い）</w:t>
      </w:r>
    </w:p>
    <w:p/>
    <w:p>
      <w:pPr>
        <w:pStyle w:val="Heading3"/>
      </w:pPr>
      <w:r>
        <w:rPr>
          <w:rFonts w:ascii="Meiryo UI" w:hAnsi="Meiryo UI"/>
          <w:color w:val="2E74B5"/>
        </w:rPr>
        <w:t>7-2. 出尽くし vs 本物上昇の判定</w:t>
      </w:r>
    </w:p>
    <w:p/>
    <w:p>
      <w:pPr>
        <w:shd w:val="clear" w:color="auto" w:fill="F2F2F2"/>
      </w:pPr>
      <w:r>
        <w:rPr>
          <w:rFonts w:ascii="Courier New" w:hAnsi="Courier New"/>
          <w:sz w:val="16"/>
        </w:rPr>
        <w:t>【今すぐ買うべきか？出尽くしを待つべきか？】</w:t>
        <w:br/>
        <w:br/>
        <w:t>判定：【今日〜今週中にエントリー推奨】</w:t>
        <w:br/>
        <w:br/>
        <w:t>理由：</w:t>
        <w:br/>
        <w:t>1. 浅井スコアが中立圏 = まだ「買いが集中して過熱」していない</w:t>
        <w:br/>
        <w:t>2. 上方修正の中身が確認された後、機関投資家のカバレッジ開始・目標株価引き上げが来る</w:t>
        <w:br/>
        <w:t>3. 現在値¥765 vs FV¥940〜¥1,020 の乖離は「上方修正発表済みにしては小さすぎる」</w:t>
        <w:br/>
        <w:t xml:space="preserve">　 → 市場の反応が遅れている可能性（情報非効率）</w:t>
        <w:br/>
        <w:br/>
        <w:t>【出尽くしを待った方が良いケース（こうなったら待て）】</w:t>
        <w:br/>
        <w:t xml:space="preserve">　・本日の株価が+8%以上急騰し¥820超 → 一時利確し¥780以下の押し目を待つ</w:t>
        <w:br/>
        <w:t xml:space="preserve">　・上方修正の内容が費用削減型と判明 → 再評価まで静観</w:t>
        <w:br/>
        <w:t xml:space="preserve">　・来期ガイダンスが今期比ほぼ横ばい → 強気シナリオ確率が低下、目標株価を¥880に引き下げ</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エントリー戦略（具体的行動指針）</w:t>
      </w:r>
    </w:p>
    <w:p/>
    <w:p>
      <w:pPr>
        <w:shd w:val="clear" w:color="auto" w:fill="F2F2F2"/>
      </w:pPr>
      <w:r>
        <w:rPr>
          <w:rFonts w:ascii="Courier New" w:hAnsi="Courier New"/>
          <w:sz w:val="16"/>
        </w:rPr>
        <w:t>【ステップ1：本日4月13日（決算内容確認後）】</w:t>
        <w:br/>
        <w:t xml:space="preserve">　確認ポイント：</w:t>
        <w:br/>
        <w:t xml:space="preserve">　　✅ 売上高も上方修正されているか（◎）</w:t>
        <w:br/>
        <w:t xml:space="preserve">　　✅ 会員数純増継続しているか（◎）</w:t>
        <w:br/>
        <w:t xml:space="preserve">　　✅ 来期業績予想（EPS¥48〜¥52以上か）（◎）</w:t>
        <w:br/>
        <w:t xml:space="preserve">　　❌ 費用削減のみの利益改善（→ エントリー見送り or 縮小）</w:t>
        <w:br/>
        <w:t xml:space="preserve">　　❌ 来期ガイダンスがEPS¥44以下（→ 弱気シナリオ入り）</w:t>
        <w:br/>
        <w:br/>
        <w:t>【ステップ2：エントリー判断】</w:t>
        <w:br/>
        <w:t xml:space="preserve">　■ ポジティブ確認の場合：</w:t>
        <w:br/>
        <w:t xml:space="preserve">　　第1トランシェ（40%）：¥750〜¥790でエントリー</w:t>
        <w:br/>
        <w:t xml:space="preserve">　　　→ 本日終値が¥790以下なら即日買い</w:t>
        <w:br/>
        <w:t xml:space="preserve">　　　→ ¥820超えたら翌日の押し目（¥790〜¥800）を待つ</w:t>
        <w:br/>
        <w:br/>
        <w:t xml:space="preserve">　■ 第2トランシェ（残り60%）：</w:t>
        <w:br/>
        <w:t xml:space="preserve">　　FY2026 Q1決算（2026年7月頃）で会員数・退会率確認後</w:t>
        <w:br/>
        <w:t xml:space="preserve">　　¥800〜¥850水準での追加買い</w:t>
        <w:br/>
        <w:br/>
        <w:t>【損切りライン】</w:t>
        <w:br/>
        <w:t xml:space="preserve">　¥680（基準：弱気シナリオ理論株価下限）</w:t>
        <w:br/>
        <w:t xml:space="preserve">　→ ¥680割れは「退会率悪化または来期ガイダンス失望」を市場が織り込んだシグナル</w:t>
        <w:br/>
        <w:br/>
        <w:t>【利確ライン】</w:t>
        <w:br/>
        <w:t xml:space="preserve">　第1目標：¥940（+23%）→ ポジションの40%利確</w:t>
        <w:br/>
        <w:t xml:space="preserve">　第2目標：¥1,020（+33%）→ 残り60%利確</w:t>
        <w:br/>
        <w:t xml:space="preserve">　強気シナリオ実現時：¥1,150まで一部継続保有可</w:t>
      </w:r>
    </w:p>
    <w:p/>
    <w:p>
      <w:pPr>
        <w:pStyle w:val="Heading3"/>
      </w:pPr>
      <w:r>
        <w:rPr>
          <w:rFonts w:ascii="Meiryo UI" w:hAnsi="Meiryo UI"/>
          <w:color w:val="2E74B5"/>
        </w:rPr>
        <w:t>8-2. 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今日〜今週</w:t>
            </w:r>
          </w:p>
        </w:tc>
        <w:tc>
          <w:tcPr>
            <w:tcW w:type="dxa" w:w="2351"/>
          </w:tcPr>
          <w:p>
            <w:r>
              <w:rPr>
                <w:rFonts w:ascii="Meiryo UI" w:hAnsi="Meiryo UI"/>
                <w:sz w:val="18"/>
              </w:rPr>
              <w:t>2026/04/13〜17</w:t>
            </w:r>
          </w:p>
        </w:tc>
        <w:tc>
          <w:tcPr>
            <w:tcW w:type="dxa" w:w="2351"/>
          </w:tcPr>
          <w:p>
            <w:r>
              <w:rPr>
                <w:rFonts w:ascii="Meiryo UI" w:hAnsi="Meiryo UI"/>
                <w:sz w:val="18"/>
              </w:rPr>
              <w:t>決算内容精査・株価初動</w:t>
            </w:r>
          </w:p>
        </w:tc>
        <w:tc>
          <w:tcPr>
            <w:tcW w:type="dxa" w:w="2351"/>
          </w:tcPr>
          <w:p>
            <w:r>
              <w:rPr>
                <w:rFonts w:ascii="Meiryo UI" w:hAnsi="Meiryo UI"/>
                <w:sz w:val="18"/>
              </w:rPr>
              <w:t>第1トランシェエントリー判断</w:t>
            </w:r>
          </w:p>
        </w:tc>
      </w:tr>
      <w:tr>
        <w:tc>
          <w:tcPr>
            <w:tcW w:type="dxa" w:w="2351"/>
            <w:shd w:val="clear" w:color="auto" w:fill="DDEBF7"/>
          </w:tcPr>
          <w:p>
            <w:r>
              <w:rPr>
                <w:rFonts w:ascii="Meiryo UI" w:hAnsi="Meiryo UI"/>
                <w:sz w:val="18"/>
              </w:rPr>
              <w:t>3ヶ月後</w:t>
            </w:r>
          </w:p>
        </w:tc>
        <w:tc>
          <w:tcPr>
            <w:tcW w:type="dxa" w:w="2351"/>
            <w:shd w:val="clear" w:color="auto" w:fill="DDEBF7"/>
          </w:tcPr>
          <w:p>
            <w:r>
              <w:rPr>
                <w:rFonts w:ascii="Meiryo UI" w:hAnsi="Meiryo UI"/>
                <w:sz w:val="18"/>
              </w:rPr>
              <w:t>2026/07月</w:t>
            </w:r>
          </w:p>
        </w:tc>
        <w:tc>
          <w:tcPr>
            <w:tcW w:type="dxa" w:w="2351"/>
            <w:shd w:val="clear" w:color="auto" w:fill="DDEBF7"/>
          </w:tcPr>
          <w:p>
            <w:r>
              <w:rPr>
                <w:rFonts w:ascii="Meiryo UI" w:hAnsi="Meiryo UI"/>
                <w:sz w:val="18"/>
              </w:rPr>
              <w:t>Q1決算×会員数確認</w:t>
            </w:r>
          </w:p>
        </w:tc>
        <w:tc>
          <w:tcPr>
            <w:tcW w:type="dxa" w:w="2351"/>
            <w:shd w:val="clear" w:color="auto" w:fill="DDEBF7"/>
          </w:tcPr>
          <w:p>
            <w:r>
              <w:rPr>
                <w:rFonts w:ascii="Meiryo UI" w:hAnsi="Meiryo UI"/>
                <w:sz w:val="18"/>
              </w:rPr>
              <w:t>追加エントリー or 持続確認</w:t>
            </w:r>
          </w:p>
        </w:tc>
      </w:tr>
      <w:tr>
        <w:tc>
          <w:tcPr>
            <w:tcW w:type="dxa" w:w="2351"/>
          </w:tcPr>
          <w:p>
            <w:r>
              <w:rPr>
                <w:rFonts w:ascii="Meiryo UI" w:hAnsi="Meiryo UI"/>
                <w:sz w:val="18"/>
              </w:rPr>
              <w:t>6ヶ月後</w:t>
            </w:r>
          </w:p>
        </w:tc>
        <w:tc>
          <w:tcPr>
            <w:tcW w:type="dxa" w:w="2351"/>
          </w:tcPr>
          <w:p>
            <w:r>
              <w:rPr>
                <w:rFonts w:ascii="Meiryo UI" w:hAnsi="Meiryo UI"/>
                <w:sz w:val="18"/>
              </w:rPr>
              <w:t>2026/10月</w:t>
            </w:r>
          </w:p>
        </w:tc>
        <w:tc>
          <w:tcPr>
            <w:tcW w:type="dxa" w:w="2351"/>
          </w:tcPr>
          <w:p>
            <w:r>
              <w:rPr>
                <w:rFonts w:ascii="Meiryo UI" w:hAnsi="Meiryo UI"/>
                <w:sz w:val="18"/>
              </w:rPr>
              <w:t>H1決算</w:t>
            </w:r>
          </w:p>
        </w:tc>
        <w:tc>
          <w:tcPr>
            <w:tcW w:type="dxa" w:w="2351"/>
          </w:tcPr>
          <w:p>
            <w:r>
              <w:rPr>
                <w:rFonts w:ascii="Meiryo UI" w:hAnsi="Meiryo UI"/>
                <w:sz w:val="18"/>
              </w:rPr>
              <w:t>強気/基本シナリオ追認</w:t>
            </w:r>
          </w:p>
        </w:tc>
      </w:tr>
      <w:tr>
        <w:tc>
          <w:tcPr>
            <w:tcW w:type="dxa" w:w="2351"/>
            <w:shd w:val="clear" w:color="auto" w:fill="DDEBF7"/>
          </w:tcPr>
          <w:p>
            <w:r>
              <w:rPr>
                <w:rFonts w:ascii="Meiryo UI" w:hAnsi="Meiryo UI"/>
                <w:sz w:val="18"/>
              </w:rPr>
              <w:t>12ヶ月後</w:t>
            </w:r>
          </w:p>
        </w:tc>
        <w:tc>
          <w:tcPr>
            <w:tcW w:type="dxa" w:w="2351"/>
            <w:shd w:val="clear" w:color="auto" w:fill="DDEBF7"/>
          </w:tcPr>
          <w:p>
            <w:r>
              <w:rPr>
                <w:rFonts w:ascii="Meiryo UI" w:hAnsi="Meiryo UI"/>
                <w:sz w:val="18"/>
              </w:rPr>
              <w:t>2027/04月</w:t>
            </w:r>
          </w:p>
        </w:tc>
        <w:tc>
          <w:tcPr>
            <w:tcW w:type="dxa" w:w="2351"/>
            <w:shd w:val="clear" w:color="auto" w:fill="DDEBF7"/>
          </w:tcPr>
          <w:p>
            <w:r>
              <w:rPr>
                <w:rFonts w:ascii="Meiryo UI" w:hAnsi="Meiryo UI"/>
                <w:sz w:val="18"/>
              </w:rPr>
              <w:t>FY2027通期決算</w:t>
            </w:r>
          </w:p>
        </w:tc>
        <w:tc>
          <w:tcPr>
            <w:tcW w:type="dxa" w:w="2351"/>
            <w:shd w:val="clear" w:color="auto" w:fill="DDEBF7"/>
          </w:tcPr>
          <w:p>
            <w:r>
              <w:rPr>
                <w:rFonts w:ascii="Meiryo UI" w:hAnsi="Meiryo UI"/>
                <w:sz w:val="18"/>
              </w:rPr>
              <w:t>第1・第2目標達成確認</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Rfシナリオ別理論株価</w:t>
      </w:r>
    </w:p>
    <w:p/>
    <w:p>
      <w:r>
        <w:rPr>
          <w:rFonts w:ascii="Meiryo UI" w:hAnsi="Meiryo UI"/>
          <w:sz w:val="20"/>
        </w:rPr>
        <w:t>&gt; WACC基本値 = 5.75%（Rf=2.439%、β=0.75、ERP=6.5%）</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理論株価（MoS調整後）（¥）</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1.439%</w:t>
            </w:r>
          </w:p>
        </w:tc>
        <w:tc>
          <w:tcPr>
            <w:tcW w:type="dxa" w:w="1881"/>
          </w:tcPr>
          <w:p>
            <w:r>
              <w:rPr>
                <w:rFonts w:ascii="Meiryo UI" w:hAnsi="Meiryo UI"/>
                <w:sz w:val="18"/>
              </w:rPr>
              <w:t>4.75%</w:t>
            </w:r>
          </w:p>
        </w:tc>
        <w:tc>
          <w:tcPr>
            <w:tcW w:type="dxa" w:w="1881"/>
          </w:tcPr>
          <w:p>
            <w:r>
              <w:rPr>
                <w:rFonts w:ascii="Meiryo UI" w:hAnsi="Meiryo UI"/>
                <w:sz w:val="18"/>
              </w:rPr>
              <w:t>¥1,220</w:t>
            </w:r>
          </w:p>
        </w:tc>
        <w:tc>
          <w:tcPr>
            <w:tcW w:type="dxa" w:w="1881"/>
          </w:tcPr>
          <w:p>
            <w:r>
              <w:rPr>
                <w:rFonts w:ascii="Meiryo UI" w:hAnsi="Meiryo UI"/>
                <w:sz w:val="18"/>
              </w:rPr>
              <w:t>+59.5%</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1.939%</w:t>
            </w:r>
          </w:p>
        </w:tc>
        <w:tc>
          <w:tcPr>
            <w:tcW w:type="dxa" w:w="1881"/>
            <w:shd w:val="clear" w:color="auto" w:fill="DDEBF7"/>
          </w:tcPr>
          <w:p>
            <w:r>
              <w:rPr>
                <w:rFonts w:ascii="Meiryo UI" w:hAnsi="Meiryo UI"/>
                <w:sz w:val="18"/>
              </w:rPr>
              <w:t>5.25%</w:t>
            </w:r>
          </w:p>
        </w:tc>
        <w:tc>
          <w:tcPr>
            <w:tcW w:type="dxa" w:w="1881"/>
            <w:shd w:val="clear" w:color="auto" w:fill="DDEBF7"/>
          </w:tcPr>
          <w:p>
            <w:r>
              <w:rPr>
                <w:rFonts w:ascii="Meiryo UI" w:hAnsi="Meiryo UI"/>
                <w:sz w:val="18"/>
              </w:rPr>
              <w:t>¥1,100</w:t>
            </w:r>
          </w:p>
        </w:tc>
        <w:tc>
          <w:tcPr>
            <w:tcW w:type="dxa" w:w="1881"/>
            <w:shd w:val="clear" w:color="auto" w:fill="DDEBF7"/>
          </w:tcPr>
          <w:p>
            <w:r>
              <w:rPr>
                <w:rFonts w:ascii="Meiryo UI" w:hAnsi="Meiryo UI"/>
                <w:sz w:val="18"/>
              </w:rPr>
              <w:t>+43.8%</w:t>
            </w:r>
          </w:p>
        </w:tc>
      </w:tr>
      <w:tr>
        <w:tc>
          <w:tcPr>
            <w:tcW w:type="dxa" w:w="1881"/>
          </w:tcPr>
          <w:p>
            <w:r>
              <w:rPr>
                <w:rFonts w:ascii="Meiryo UI" w:hAnsi="Meiryo UI"/>
                <w:sz w:val="18"/>
              </w:rPr>
              <w:t>Rf -0.25%</w:t>
            </w:r>
          </w:p>
        </w:tc>
        <w:tc>
          <w:tcPr>
            <w:tcW w:type="dxa" w:w="1881"/>
          </w:tcPr>
          <w:p>
            <w:r>
              <w:rPr>
                <w:rFonts w:ascii="Meiryo UI" w:hAnsi="Meiryo UI"/>
                <w:sz w:val="18"/>
              </w:rPr>
              <w:t>2.189%</w:t>
            </w:r>
          </w:p>
        </w:tc>
        <w:tc>
          <w:tcPr>
            <w:tcW w:type="dxa" w:w="1881"/>
          </w:tcPr>
          <w:p>
            <w:r>
              <w:rPr>
                <w:rFonts w:ascii="Meiryo UI" w:hAnsi="Meiryo UI"/>
                <w:sz w:val="18"/>
              </w:rPr>
              <w:t>5.50%</w:t>
            </w:r>
          </w:p>
        </w:tc>
        <w:tc>
          <w:tcPr>
            <w:tcW w:type="dxa" w:w="1881"/>
          </w:tcPr>
          <w:p>
            <w:r>
              <w:rPr>
                <w:rFonts w:ascii="Meiryo UI" w:hAnsi="Meiryo UI"/>
                <w:sz w:val="18"/>
              </w:rPr>
              <w:t>¥1,040</w:t>
            </w:r>
          </w:p>
        </w:tc>
        <w:tc>
          <w:tcPr>
            <w:tcW w:type="dxa" w:w="1881"/>
          </w:tcPr>
          <w:p>
            <w:r>
              <w:rPr>
                <w:rFonts w:ascii="Meiryo UI" w:hAnsi="Meiryo UI"/>
                <w:sz w:val="18"/>
              </w:rPr>
              <w:t>+35.9%</w:t>
            </w:r>
          </w:p>
        </w:tc>
      </w:tr>
      <w:tr>
        <w:tc>
          <w:tcPr>
            <w:tcW w:type="dxa" w:w="1881"/>
            <w:shd w:val="clear" w:color="auto" w:fill="DDEBF7"/>
          </w:tcPr>
          <w:p>
            <w:r>
              <w:rPr>
                <w:rFonts w:ascii="Meiryo UI" w:hAnsi="Meiryo UI"/>
                <w:sz w:val="18"/>
              </w:rPr>
              <w:t>▶ 基本（現在値）</w:t>
            </w:r>
          </w:p>
        </w:tc>
        <w:tc>
          <w:tcPr>
            <w:tcW w:type="dxa" w:w="1881"/>
            <w:shd w:val="clear" w:color="auto" w:fill="DDEBF7"/>
          </w:tcPr>
          <w:p>
            <w:r>
              <w:rPr>
                <w:rFonts w:ascii="Meiryo UI" w:hAnsi="Meiryo UI"/>
                <w:sz w:val="18"/>
              </w:rPr>
              <w:t>2.439%</w:t>
            </w:r>
          </w:p>
        </w:tc>
        <w:tc>
          <w:tcPr>
            <w:tcW w:type="dxa" w:w="1881"/>
            <w:shd w:val="clear" w:color="auto" w:fill="DDEBF7"/>
          </w:tcPr>
          <w:p>
            <w:r>
              <w:rPr>
                <w:rFonts w:ascii="Meiryo UI" w:hAnsi="Meiryo UI"/>
                <w:sz w:val="18"/>
              </w:rPr>
              <w:t>5.75%</w:t>
            </w:r>
          </w:p>
        </w:tc>
        <w:tc>
          <w:tcPr>
            <w:tcW w:type="dxa" w:w="1881"/>
            <w:shd w:val="clear" w:color="auto" w:fill="DDEBF7"/>
          </w:tcPr>
          <w:p>
            <w:r>
              <w:rPr>
                <w:rFonts w:ascii="Meiryo UI" w:hAnsi="Meiryo UI"/>
                <w:sz w:val="18"/>
              </w:rPr>
              <w:t>¥980</w:t>
            </w:r>
          </w:p>
        </w:tc>
        <w:tc>
          <w:tcPr>
            <w:tcW w:type="dxa" w:w="1881"/>
            <w:shd w:val="clear" w:color="auto" w:fill="DDEBF7"/>
          </w:tcPr>
          <w:p>
            <w:r>
              <w:rPr>
                <w:rFonts w:ascii="Meiryo UI" w:hAnsi="Meiryo UI"/>
                <w:sz w:val="18"/>
              </w:rPr>
              <w:t>+28.1%</w:t>
            </w:r>
          </w:p>
        </w:tc>
      </w:tr>
      <w:tr>
        <w:tc>
          <w:tcPr>
            <w:tcW w:type="dxa" w:w="1881"/>
          </w:tcPr>
          <w:p>
            <w:r>
              <w:rPr>
                <w:rFonts w:ascii="Meiryo UI" w:hAnsi="Meiryo UI"/>
                <w:sz w:val="18"/>
              </w:rPr>
              <w:t>Rf +0.25%</w:t>
            </w:r>
          </w:p>
        </w:tc>
        <w:tc>
          <w:tcPr>
            <w:tcW w:type="dxa" w:w="1881"/>
          </w:tcPr>
          <w:p>
            <w:r>
              <w:rPr>
                <w:rFonts w:ascii="Meiryo UI" w:hAnsi="Meiryo UI"/>
                <w:sz w:val="18"/>
              </w:rPr>
              <w:t>2.689%</w:t>
            </w:r>
          </w:p>
        </w:tc>
        <w:tc>
          <w:tcPr>
            <w:tcW w:type="dxa" w:w="1881"/>
          </w:tcPr>
          <w:p>
            <w:r>
              <w:rPr>
                <w:rFonts w:ascii="Meiryo UI" w:hAnsi="Meiryo UI"/>
                <w:sz w:val="18"/>
              </w:rPr>
              <w:t>6.00%</w:t>
            </w:r>
          </w:p>
        </w:tc>
        <w:tc>
          <w:tcPr>
            <w:tcW w:type="dxa" w:w="1881"/>
          </w:tcPr>
          <w:p>
            <w:r>
              <w:rPr>
                <w:rFonts w:ascii="Meiryo UI" w:hAnsi="Meiryo UI"/>
                <w:sz w:val="18"/>
              </w:rPr>
              <w:t>¥920</w:t>
            </w:r>
          </w:p>
        </w:tc>
        <w:tc>
          <w:tcPr>
            <w:tcW w:type="dxa" w:w="1881"/>
          </w:tcPr>
          <w:p>
            <w:r>
              <w:rPr>
                <w:rFonts w:ascii="Meiryo UI" w:hAnsi="Meiryo UI"/>
                <w:sz w:val="18"/>
              </w:rPr>
              <w:t>+20.3%</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2.939%</w:t>
            </w:r>
          </w:p>
        </w:tc>
        <w:tc>
          <w:tcPr>
            <w:tcW w:type="dxa" w:w="1881"/>
            <w:shd w:val="clear" w:color="auto" w:fill="DDEBF7"/>
          </w:tcPr>
          <w:p>
            <w:r>
              <w:rPr>
                <w:rFonts w:ascii="Meiryo UI" w:hAnsi="Meiryo UI"/>
                <w:sz w:val="18"/>
              </w:rPr>
              <w:t>6.25%</w:t>
            </w:r>
          </w:p>
        </w:tc>
        <w:tc>
          <w:tcPr>
            <w:tcW w:type="dxa" w:w="1881"/>
            <w:shd w:val="clear" w:color="auto" w:fill="DDEBF7"/>
          </w:tcPr>
          <w:p>
            <w:r>
              <w:rPr>
                <w:rFonts w:ascii="Meiryo UI" w:hAnsi="Meiryo UI"/>
                <w:sz w:val="18"/>
              </w:rPr>
              <w:t>¥870</w:t>
            </w:r>
          </w:p>
        </w:tc>
        <w:tc>
          <w:tcPr>
            <w:tcW w:type="dxa" w:w="1881"/>
            <w:shd w:val="clear" w:color="auto" w:fill="DDEBF7"/>
          </w:tcPr>
          <w:p>
            <w:r>
              <w:rPr>
                <w:rFonts w:ascii="Meiryo UI" w:hAnsi="Meiryo UI"/>
                <w:sz w:val="18"/>
              </w:rPr>
              <w:t>+13.7%</w:t>
            </w:r>
          </w:p>
        </w:tc>
      </w:tr>
      <w:tr>
        <w:tc>
          <w:tcPr>
            <w:tcW w:type="dxa" w:w="1881"/>
          </w:tcPr>
          <w:p>
            <w:r>
              <w:rPr>
                <w:rFonts w:ascii="Meiryo UI" w:hAnsi="Meiryo UI"/>
                <w:sz w:val="18"/>
              </w:rPr>
              <w:t>Rf +1.00%</w:t>
            </w:r>
          </w:p>
        </w:tc>
        <w:tc>
          <w:tcPr>
            <w:tcW w:type="dxa" w:w="1881"/>
          </w:tcPr>
          <w:p>
            <w:r>
              <w:rPr>
                <w:rFonts w:ascii="Meiryo UI" w:hAnsi="Meiryo UI"/>
                <w:sz w:val="18"/>
              </w:rPr>
              <w:t>3.439%</w:t>
            </w:r>
          </w:p>
        </w:tc>
        <w:tc>
          <w:tcPr>
            <w:tcW w:type="dxa" w:w="1881"/>
          </w:tcPr>
          <w:p>
            <w:r>
              <w:rPr>
                <w:rFonts w:ascii="Meiryo UI" w:hAnsi="Meiryo UI"/>
                <w:sz w:val="18"/>
              </w:rPr>
              <w:t>6.75%</w:t>
            </w:r>
          </w:p>
        </w:tc>
        <w:tc>
          <w:tcPr>
            <w:tcW w:type="dxa" w:w="1881"/>
          </w:tcPr>
          <w:p>
            <w:r>
              <w:rPr>
                <w:rFonts w:ascii="Meiryo UI" w:hAnsi="Meiryo UI"/>
                <w:sz w:val="18"/>
              </w:rPr>
              <w:t>¥780</w:t>
            </w:r>
          </w:p>
        </w:tc>
        <w:tc>
          <w:tcPr>
            <w:tcW w:type="dxa" w:w="1881"/>
          </w:tcPr>
          <w:p>
            <w:r>
              <w:rPr>
                <w:rFonts w:ascii="Meiryo UI" w:hAnsi="Meiryo UI"/>
                <w:sz w:val="18"/>
              </w:rPr>
              <w:t>+2.0%</w:t>
            </w:r>
          </w:p>
        </w:tc>
      </w:tr>
    </w:tbl>
    <w:p/>
    <w:p>
      <w:pPr>
        <w:shd w:val="clear" w:color="auto" w:fill="F2F2F2"/>
      </w:pPr>
      <w:r>
        <w:rPr>
          <w:rFonts w:ascii="Courier New" w:hAnsi="Courier New"/>
          <w:sz w:val="16"/>
        </w:rPr>
        <w:t>【感応度の解釈】</w:t>
        <w:br/>
        <w:t xml:space="preserve">　Rf +1.00%（3.439%）でも理論株価¥780 ≒ 現在値¥765</w:t>
        <w:br/>
        <w:t xml:space="preserve">　→ 金利が大幅上昇しても「ほぼ現在値水準の価値はある」</w:t>
        <w:br/>
        <w:t xml:space="preserve">　→ 金利上昇による下値リスクは限定的（現在値がすでにバッファを内包）</w:t>
        <w:br/>
        <w:br/>
        <w:t xml:space="preserve">　Rf -0.50%（1.939%）では¥1,100</w:t>
        <w:br/>
        <w:t xml:space="preserve">　→ 日銀の利上げ停止 or 利下げ転換があれば大幅な上値余地</w:t>
        <w:br/>
        <w:br/>
        <w:t xml:space="preserve">　金利感応度結論：</w:t>
        <w:br/>
        <w:t xml:space="preserve">　　カーブスHDは「金利上昇に対して相対的に耐性が高い」</w:t>
        <w:br/>
        <w:t xml:space="preserve">　　WACC±1%の変動でも損切りライン¥680は割らない</w:t>
      </w:r>
    </w:p>
    <w:p/>
    <w:p>
      <w:pPr>
        <w:pStyle w:val="Heading3"/>
      </w:pPr>
      <w:r>
        <w:rPr>
          <w:rFonts w:ascii="Meiryo UI" w:hAnsi="Meiryo UI"/>
          <w:color w:val="2E74B5"/>
        </w:rPr>
        <w:t>9-2. 成長率感応度テーブル（補完）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成長率シナリオ</w:t>
            </w:r>
          </w:p>
        </w:tc>
        <w:tc>
          <w:tcPr>
            <w:tcW w:type="dxa" w:w="2351"/>
            <w:shd w:val="clear" w:color="auto" w:fill="2E74B5"/>
          </w:tcPr>
          <w:p>
            <w:r>
              <w:rPr>
                <w:rFonts w:ascii="Meiryo UI" w:hAnsi="Meiryo UI"/>
                <w:b/>
                <w:color w:val="FFFFFF"/>
                <w:sz w:val="18"/>
              </w:rPr>
              <w:t>初期FCF成長率（g₁）</w:t>
            </w:r>
          </w:p>
        </w:tc>
        <w:tc>
          <w:tcPr>
            <w:tcW w:type="dxa" w:w="2351"/>
            <w:shd w:val="clear" w:color="auto" w:fill="2E74B5"/>
          </w:tcPr>
          <w:p>
            <w:r>
              <w:rPr>
                <w:rFonts w:ascii="Meiryo UI" w:hAnsi="Meiryo UI"/>
                <w:b/>
                <w:color w:val="FFFFFF"/>
                <w:sz w:val="18"/>
              </w:rPr>
              <w:t>ターミナルg</w:t>
            </w:r>
          </w:p>
        </w:tc>
        <w:tc>
          <w:tcPr>
            <w:tcW w:type="dxa" w:w="2351"/>
            <w:shd w:val="clear" w:color="auto" w:fill="2E74B5"/>
          </w:tcPr>
          <w:p>
            <w:r>
              <w:rPr>
                <w:rFonts w:ascii="Meiryo UI" w:hAnsi="Meiryo UI"/>
                <w:b/>
                <w:color w:val="FFFFFF"/>
                <w:sz w:val="18"/>
              </w:rPr>
              <w:t>理論株価（MoS調整後）（¥）</w:t>
            </w:r>
          </w:p>
        </w:tc>
      </w:tr>
      <w:tr>
        <w:tc>
          <w:tcPr>
            <w:tcW w:type="dxa" w:w="2351"/>
          </w:tcPr>
          <w:p>
            <w:r>
              <w:rPr>
                <w:rFonts w:ascii="Meiryo UI" w:hAnsi="Meiryo UI"/>
                <w:sz w:val="18"/>
              </w:rPr>
              <w:t>超強気</w:t>
            </w:r>
          </w:p>
        </w:tc>
        <w:tc>
          <w:tcPr>
            <w:tcW w:type="dxa" w:w="2351"/>
          </w:tcPr>
          <w:p>
            <w:r>
              <w:rPr>
                <w:rFonts w:ascii="Meiryo UI" w:hAnsi="Meiryo UI"/>
                <w:sz w:val="18"/>
              </w:rPr>
              <w:t>+12%</w:t>
            </w:r>
          </w:p>
        </w:tc>
        <w:tc>
          <w:tcPr>
            <w:tcW w:type="dxa" w:w="2351"/>
          </w:tcPr>
          <w:p>
            <w:r>
              <w:rPr>
                <w:rFonts w:ascii="Meiryo UI" w:hAnsi="Meiryo UI"/>
                <w:sz w:val="18"/>
              </w:rPr>
              <w:t>2.5%</w:t>
            </w:r>
          </w:p>
        </w:tc>
        <w:tc>
          <w:tcPr>
            <w:tcW w:type="dxa" w:w="2351"/>
          </w:tcPr>
          <w:p>
            <w:r>
              <w:rPr>
                <w:rFonts w:ascii="Meiryo UI" w:hAnsi="Meiryo UI"/>
                <w:sz w:val="18"/>
              </w:rPr>
              <w:t>¥1,220</w:t>
            </w:r>
          </w:p>
        </w:tc>
      </w:tr>
      <w:tr>
        <w:tc>
          <w:tcPr>
            <w:tcW w:type="dxa" w:w="2351"/>
            <w:shd w:val="clear" w:color="auto" w:fill="DDEBF7"/>
          </w:tcPr>
          <w:p>
            <w:r>
              <w:rPr>
                <w:rFonts w:ascii="Meiryo UI" w:hAnsi="Meiryo UI"/>
                <w:sz w:val="18"/>
              </w:rPr>
              <w:t>強気</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¥1,100</w:t>
            </w:r>
          </w:p>
        </w:tc>
      </w:tr>
      <w:tr>
        <w:tc>
          <w:tcPr>
            <w:tcW w:type="dxa" w:w="2351"/>
          </w:tcPr>
          <w:p>
            <w:r>
              <w:rPr>
                <w:rFonts w:ascii="Meiryo UI" w:hAnsi="Meiryo UI"/>
                <w:sz w:val="18"/>
              </w:rPr>
              <w:t>基本</w:t>
            </w:r>
          </w:p>
        </w:tc>
        <w:tc>
          <w:tcPr>
            <w:tcW w:type="dxa" w:w="2351"/>
          </w:tcPr>
          <w:p>
            <w:r>
              <w:rPr>
                <w:rFonts w:ascii="Meiryo UI" w:hAnsi="Meiryo UI"/>
                <w:sz w:val="18"/>
              </w:rPr>
              <w:t>+8%</w:t>
            </w:r>
          </w:p>
        </w:tc>
        <w:tc>
          <w:tcPr>
            <w:tcW w:type="dxa" w:w="2351"/>
          </w:tcPr>
          <w:p>
            <w:r>
              <w:rPr>
                <w:rFonts w:ascii="Meiryo UI" w:hAnsi="Meiryo UI"/>
                <w:sz w:val="18"/>
              </w:rPr>
              <w:t>2.0%</w:t>
            </w:r>
          </w:p>
        </w:tc>
        <w:tc>
          <w:tcPr>
            <w:tcW w:type="dxa" w:w="2351"/>
          </w:tcPr>
          <w:p>
            <w:r>
              <w:rPr>
                <w:rFonts w:ascii="Meiryo UI" w:hAnsi="Meiryo UI"/>
                <w:sz w:val="18"/>
              </w:rPr>
              <w:t>¥980</w:t>
            </w:r>
          </w:p>
        </w:tc>
      </w:tr>
      <w:tr>
        <w:tc>
          <w:tcPr>
            <w:tcW w:type="dxa" w:w="2351"/>
            <w:shd w:val="clear" w:color="auto" w:fill="DDEBF7"/>
          </w:tcPr>
          <w:p>
            <w:r>
              <w:rPr>
                <w:rFonts w:ascii="Meiryo UI" w:hAnsi="Meiryo UI"/>
                <w:sz w:val="18"/>
              </w:rPr>
              <w:t>保守</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¥840</w:t>
            </w:r>
          </w:p>
        </w:tc>
      </w:tr>
      <w:tr>
        <w:tc>
          <w:tcPr>
            <w:tcW w:type="dxa" w:w="2351"/>
          </w:tcPr>
          <w:p>
            <w:r>
              <w:rPr>
                <w:rFonts w:ascii="Meiryo UI" w:hAnsi="Meiryo UI"/>
                <w:sz w:val="18"/>
              </w:rPr>
              <w:t>弱気</w:t>
            </w:r>
          </w:p>
        </w:tc>
        <w:tc>
          <w:tcPr>
            <w:tcW w:type="dxa" w:w="2351"/>
          </w:tcPr>
          <w:p>
            <w:r>
              <w:rPr>
                <w:rFonts w:ascii="Meiryo UI" w:hAnsi="Meiryo UI"/>
                <w:sz w:val="18"/>
              </w:rPr>
              <w:t>+2%</w:t>
            </w:r>
          </w:p>
        </w:tc>
        <w:tc>
          <w:tcPr>
            <w:tcW w:type="dxa" w:w="2351"/>
          </w:tcPr>
          <w:p>
            <w:r>
              <w:rPr>
                <w:rFonts w:ascii="Meiryo UI" w:hAnsi="Meiryo UI"/>
                <w:sz w:val="18"/>
              </w:rPr>
              <w:t>1.0%</w:t>
            </w:r>
          </w:p>
        </w:tc>
        <w:tc>
          <w:tcPr>
            <w:tcW w:type="dxa" w:w="2351"/>
          </w:tcPr>
          <w:p>
            <w:r>
              <w:rPr>
                <w:rFonts w:ascii="Meiryo UI" w:hAnsi="Meiryo UI"/>
                <w:sz w:val="18"/>
              </w:rPr>
              <w:t>¥700</w:t>
            </w:r>
          </w:p>
        </w:tc>
      </w:tr>
    </w:tbl>
    <w:p/>
    <w:p>
      <w:r>
        <w:t>──────────────────────────────────────────────────</w:t>
      </w:r>
    </w:p>
    <w:p/>
    <w:p>
      <w:pPr>
        <w:pStyle w:val="Heading2"/>
      </w:pPr>
      <w:r>
        <w:rPr>
          <w:rFonts w:ascii="Meiryo UI" w:hAnsi="Meiryo UI"/>
          <w:color w:val="2E74B5"/>
        </w:rPr>
        <w:t>附記：深井の総括コメント</w:t>
      </w:r>
    </w:p>
    <w:p/>
    <w:p>
      <w:pPr>
        <w:shd w:val="clear" w:color="auto" w:fill="F2F2F2"/>
      </w:pPr>
      <w:r>
        <w:rPr>
          <w:rFonts w:ascii="Courier New" w:hAnsi="Courier New"/>
          <w:sz w:val="16"/>
        </w:rPr>
        <w:t>カーブスホールディングスは「地味だが強い」典型的な日本の優良フランチャイズ企業。</w:t>
        <w:br/>
        <w:t>ROE22.4%はセクター最高水準。BPS¥226の資産軽量モデルでこれだけ稼ぐのは</w:t>
        <w:br/>
        <w:t>FCモデルの本質的優位性の証明。</w:t>
        <w:br/>
        <w:br/>
        <w:t>今日の決算・上方修正は「試験の答え合わせ」だが、</w:t>
        <w:br/>
        <w:t>より重要なのは来期ガイダンスと会員数トレンドのシグナル。</w:t>
        <w:br/>
        <w:br/>
        <w:t>「今すぐ全力買い」ではなく、決算の質を確認してから</w:t>
        <w:br/>
        <w:t>¥750〜¥790での第1トランシェエントリーが最も合理的。</w:t>
        <w:br/>
        <w:br/>
        <w:t>目標¥940〜¥1,020。損切り¥680。</w:t>
        <w:br/>
        <w:t>この非対称性（リスク▲11% vs リターン+23%〜+33%）は</w:t>
        <w:br/>
        <w:t>現時点では十分な投資機会と判断する。</w:t>
        <w:br/>
        <w:br/>
        <w:t xml:space="preserve">                               ─── 深井 / 竹村トレードカンパニー ───</w:t>
        <w:br/>
        <w:t xml:space="preserve">                                        2026年4月13日</w:t>
      </w:r>
    </w:p>
    <w:p/>
    <w:p>
      <w:r>
        <w:t>──────────────────────────────────────────────────</w:t>
      </w:r>
    </w:p>
    <w:p/>
    <w:p>
      <w:r>
        <w:rPr>
          <w:rFonts w:ascii="Meiryo UI" w:hAnsi="Meiryo UI"/>
          <w:sz w:val="20"/>
        </w:rPr>
        <w:t>&gt; ⚠️ 免責事項・データ注記</w:t>
      </w:r>
    </w:p>
    <w:p>
      <w:r>
        <w:rPr>
          <w:rFonts w:ascii="Meiryo UI" w:hAnsi="Meiryo UI"/>
          <w:sz w:val="20"/>
        </w:rPr>
        <w:t>&gt; 本レポートは2026年4月13日時点の公開情報・提供財務データに基づく。本日発表のTDnet決算短信の確定数値（売上高・OP・純利益・来期ガイダンス・会員数・FC店舗数）については、リアルタイムDB参照が必要な項目は推計・仮定でフレームワークを提示している。実際の投資判断にあたっては、本日開示の確定数値を必ずご確認の上、本レポートの前提と照合して再検討すること。本レポートは投資助言ではない。</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15:35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7085_カーブスホールデ_BUY_DeepResearch_20260413.md を出力しました。</w:t>
      </w:r>
    </w:p>
    <w:p>
      <w:r>
        <w:rPr>
          <w:rFonts w:ascii="Meiryo UI" w:hAnsi="Meiryo UI"/>
          <w:sz w:val="20"/>
        </w:rPr>
        <w:t>浅井スコア +0 の銘柄 [7085]カーブスホールディングス についてDeepResearch完了。</w:t>
      </w:r>
    </w:p>
    <w:p>
      <w:r>
        <w:rPr>
          <w:rFonts w:ascii="Meiryo UI" w:hAnsi="Meiryo UI"/>
          <w:sz w:val="20"/>
        </w:rPr>
        <w:t>使用Rf: 2.439%（取得: 2026-04-13 15:35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