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[7241] フタバ産業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[7241] フタバ産業</w:t>
      </w:r>
    </w:p>
    <w:p>
      <w:r>
        <w:rPr>
          <w:rFonts w:ascii="Meiryo UI" w:hAnsi="Meiryo UI"/>
          <w:sz w:val="20"/>
        </w:rPr>
        <w:t>作成日: 2026-04-14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フタバ産業（7241.T）DeepResearch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竹村トレードカンパニー｜アナリスト：深井｜分析日：2026年4月14日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PBR0.67x×PER8.0x×配当利回り4.1%のトリプル割安。4/27決算カタリストで純資産修正期待。NAV乖離幅が大きく本源的価値との差が際立つ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¥988 ／ 理論株価（FV） ¥1,380〜¥1,620 ／ 上値余地 +40%〜+64%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①4/27決算発表（FY2026/3通期EPS確認・配当増額有無） ②トヨタHEV・PHEV増産継続（2026年度グローバル販売計画）③自社株買い・還元強化方針（PBR1.0x回復へのコミット表明期待）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米国関税25%（自動車部品）の追加賦課。北米向け売上構成比約25%に直撃。最悪シナリオでは営業利益▲30〜40%のP&amp;L毀損。関税が構造固定化すれば理論株価は¥900割れリスク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¥960〜¥1,005（現在値±2%レンジ）で40%エントリー。残り60%は4/27決算でEPS¥120以上確認後に¥1,010〜¥1,050で積み増し。損切りライン¥860（▲13%、直近安値水準割れ）。目標1段階：¥1,200（+21%）、最終目標¥1,500（+52%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 /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Good/Bad分析（毒と薬の仕分け）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トヨタHEV・PHEV向け排気系部品受注拡大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売上構成比約55%（推定）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ハイブリッド延命戦略でフタバの主力品（エキゾースト）の需要が想定以上に長持ち。EVシフト遅延が逆に追い風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BPS¥1,467 vs 株価¥988。含み資産（土地・投資有価証券）が厚い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PBR乖離額：¥479/株（帳簿ベース）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純資産の33%ディスカウントで買える。M&amp;Aや自社株買いのカタリストがあれば一気に修正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配当¥40〜¥41（推定利回り4.1%）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年間配当総額：約35〜37億円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構造的（配当政策安定）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4%超利回りが株価の下値支持として機能。機関投資家のインカム需要が下値を守る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3年株価リターン+165%（モメンタム）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株価¥372→¥988（3年前比）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一過性（評価改善）＋構造的（業績改善）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バリュー再評価が続いており、PBR0.67xのままなら次の再評価余地は大きい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米国関税25%（自動車部品輸入関税）リスク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北米売上約25%×感応度：営業益▲20〜40億円/年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構造的リスク（長期化懸念）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これが最大の地雷。関税が固定化すれば利益モデルの前提が崩れる。必ず関税交渉の行方を追うこと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EV化による排気系部品（主力）の長期需要消滅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全売上の約40〜50%が排気系推定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構造的（5〜10年タームの脅威）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短期は問題ないが2030年以降の事業モデル転換コストは無視できない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円安一服・円高転換リスク（USD/JPY）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1円円高→営業利益▲2〜3億円/円（推定）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一過性（為替変動）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円高が急進すれば輸出採算が悪化。FY2026/3は円安メリットが剥落する可能性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トヨタ依存度過高（売上の70〜75%推定）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顧客集中リスク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トヨタの生産調整・品質問題連鎖が直撃。一顧客依存のサプライヤーリスク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実力ベース純利益の推計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公式報告EPS（FY2026/3予想）         : ¥123</w:t>
        <w:br/>
        <w:t>(-) 為替一過性メリット除去（推定）   : ▲¥8〜▲¥12</w:t>
        <w:br/>
        <w:t>(-) 持分法利益（一過性分）          : ▲¥3〜▲¥5</w:t>
        <w:br/>
        <w:t>実力ベースEPS（推計）              : ¥106〜¥112</w:t>
        <w:br/>
        <w:t>実力PER（実力EPS対応）            : 8.8〜9.3x</w:t>
        <w:br/>
        <w:br/>
        <w:t>毒除去後の「実力EPSレンジ」        : ¥106〜¥112/株</w:t>
        <w:br/>
        <w:t>公式報告値との差分（過大計上幅）    : ▲¥11〜▲¥17（約9〜14%下方修正）</w:t>
      </w:r>
    </w:p>
    <w:p/>
    <w:p>
      <w:r>
        <w:rPr>
          <w:rFonts w:ascii="Meiryo UI" w:hAnsi="Meiryo UI"/>
          <w:sz w:val="20"/>
        </w:rPr>
        <w:t>&gt; 深井コメント：実力ベースで見てもPER9x台は割安圏。為替剥落後でも投資妙味は十分残る。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注記：フタバ産業は四半期単独開示が限定的。以下はFY2026/3 H1（4〜9月）vs H2（10〜3月予想）のH1/H2比較で代替。決算短信・プレスリリース公開情報をベースに推計。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H1（4〜9月）実績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H2（10〜3月）推計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約2,500億円（推定）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約2,600〜2,700億円（推定）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+4〜8%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季節的（下期偏重）＋トヨタ増産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約3.0〜3.5%（推定）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約3.5〜4.0%（推定）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+0.5pp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固定費レバレッジ＋円安効果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主要顧客構成比変化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トヨタ系70〜75%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変化なし（安定）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ほぼ横ばい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構造的（固定的顧客関係）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受注残消化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HEV向け増産対応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PHEV・FCV向け拡張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加速傾向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構造的（脱炭素対応部品）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半導体不足解消恩恵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関税リスク顕在化（2026年初）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下期リスク増大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一過性→構造的に変質の懸念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フタバ産業株式会社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7241（東証プライム）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1951年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愛知県岡崎市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連結約7,600名（推定）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主要顧客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トヨタ自動車（売上比70〜75%推定）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事業内容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自動車排気系部品・プレス部品・溶接部品製造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¥885億円（社長指示確定値）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89,580,000株（8,958万株）（社長指示確定値）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日次平均出来高（ADV）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261,912株/日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セグメント・プロダクト構成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【主力製品ライン（推定売上構成比）】</w:t>
        <w:br/>
        <w:t>├── 排気系部品（エキゾーストシステム）    : 約45〜50%</w:t>
        <w:br/>
        <w:t>│   ├── マフラー・触媒コンバーター</w:t>
        <w:br/>
        <w:t>│   └── 排気管・フレキシブルパイプ</w:t>
        <w:br/>
        <w:t>├── プレス加工部品（ボディ・シャシー）   : 約30〜35%</w:t>
        <w:br/>
        <w:t>│   ├── フロアパン・クロスメンバー</w:t>
        <w:br/>
        <w:t>│   └── サスペンション関連ブラケット</w:t>
        <w:br/>
        <w:t>├── 溶接組立部品                         : 約15〜20%</w:t>
        <w:br/>
        <w:t>└── その他（FCVコンポーネント等）        : 約5%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競合優位性（Competitive Moat）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持続可能性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トヨタ系列の深い関係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50年超の取引履歴・共同開発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高（切り替えコスト甚大）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排気系の技術蓄積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HEV排気系での熱管理・振動抑制ノウハウ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中〜高（HEV延命期間中）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一貫生産体制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プレス→溶接→塗装→組立の内製化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高（コスト競争力）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グローバル生産拠点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北米・アジア・欧州に展開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中（関税リスクあり）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EV化対応進捗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【フタバ産業のEV対応ロードマップ（推定）】</w:t>
        <w:br/>
        <w:t>2025年まで : HEV/PHEV向け排気系強化（現状維持）</w:t>
        <w:br/>
        <w:t>2026〜2028 : BEV向け車体構造部品（ギガキャスト代替プレス）へ移行開始</w:t>
        <w:br/>
        <w:t>2029〜2030 : 排気系売上比率 45%→25%へ段階的縮小計画</w:t>
        <w:br/>
        <w:t>リスク     : 移行コスト（設備投資）が利益圧迫する可能性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社長指示重点分析（最優先事項）</w:t>
      </w:r>
    </w:p>
    <w:p/>
    <w:p>
      <w:r>
        <w:rPr>
          <w:rFonts w:ascii="Meiryo UI" w:hAnsi="Meiryo UI"/>
          <w:sz w:val="20"/>
        </w:rPr>
        <w:t>&gt; 社長指示：「トヨタ系自動車部品最大手×EV化対応進捗×PBR0.67x割安×配当4.1%×3Y+165%モメンタム×4/27決算前エントリー可否×関税リスク定量化×損切りライン明示。優先度1」</w:t>
      </w:r>
    </w:p>
    <w:p/>
    <w:p>
      <w:pPr>
        <w:pStyle w:val="Heading3"/>
      </w:pPr>
      <w:r>
        <w:rPr>
          <w:rFonts w:ascii="Meiryo UI" w:hAnsi="Meiryo UI"/>
          <w:color w:val="2E74B5"/>
        </w:rPr>
        <w:t>2-1. PBR0.67x割安の本質的意味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【NAVギャップ分析】</w:t>
        <w:br/>
        <w:t>BPS（一株純資産）          : ¥1,467  ← Yahoo Finance リアルタイム確認値</w:t>
        <w:br/>
        <w:t>現在株価                   : ¥988</w:t>
        <w:br/>
        <w:t>NAVディスカウント          : ▲¥479/株（▲32.7%）</w:t>
        <w:br/>
        <w:t>総NAVギャップ（全株式）    : ▲¥479 × 8,958万株 = 約▲429億円</w:t>
      </w:r>
    </w:p>
    <w:p/>
    <w:p>
      <w:r>
        <w:rPr>
          <w:rFonts w:ascii="Meiryo UI" w:hAnsi="Meiryo UI"/>
          <w:sz w:val="20"/>
        </w:rPr>
        <w:t>なぜPBR&lt;1.0xが続いているか（ディスカウント要因の分解）：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ディスカウント寄与度（推定）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解消可能性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トヨタ依存集中リスク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▲8〜10%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低（構造固定）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EV化による長期収益不安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▲10〜12%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中（2028以降）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関税リスク（新規）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▲5〜8%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中（政治次第）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低流動性・機関保有率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▲3〜5%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中（IR次第）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合計ディスカウント正当化分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▲26〜35%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残余超過ディスカウント（買いの根拠）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▲0〜7%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高（カタリスト待ち）</w:t>
            </w:r>
          </w:p>
        </w:tc>
      </w:tr>
    </w:tbl>
    <w:p/>
    <w:p>
      <w:r>
        <w:rPr>
          <w:rFonts w:ascii="Meiryo UI" w:hAnsi="Meiryo UI"/>
          <w:sz w:val="20"/>
        </w:rPr>
        <w:t>&gt; 深井判断：現PBR0.67xのディスカウントの大部分は既知リスクの織り込み。残余の超過ディスカウントが買いの根拠。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配当利回り4.1%の評価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配当（推定）       : ¥40〜¥41/株</w:t>
        <w:br/>
        <w:t>現在株価           : ¥988</w:t>
        <w:br/>
        <w:t>配当利回り         : 4.05〜4.15%</w:t>
        <w:br/>
        <w:t>日本10年国債利回り : 2.467%</w:t>
        <w:br/>
        <w:t>イールドスプレッド : +1.6〜1.7%（配当優位）</w:t>
        <w:br/>
        <w:t>配当性向（推定）   : ¥40÷¥123 = 32.5%（余裕あり、増配余地）</w:t>
      </w:r>
    </w:p>
    <w:p/>
    <w:p>
      <w:r>
        <w:rPr>
          <w:rFonts w:ascii="Meiryo UI" w:hAnsi="Meiryo UI"/>
          <w:sz w:val="20"/>
        </w:rPr>
        <w:t>配当性向30%台は安全圏。EPS¥123に対して配当余力が高く、増配余地（¥50〜¥60水準）が存在。</w:t>
      </w:r>
    </w:p>
    <w:p/>
    <w:p>
      <w:pPr>
        <w:pStyle w:val="Heading3"/>
      </w:pPr>
      <w:r>
        <w:rPr>
          <w:rFonts w:ascii="Meiryo UI" w:hAnsi="Meiryo UI"/>
          <w:color w:val="2E74B5"/>
        </w:rPr>
        <w:t>2-3. 関税リスクの定量化（最重要リスク分析）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【米国関税25%インパクト試算】</w:t>
        <w:br/>
        <w:br/>
        <w:t>前提：</w:t>
        <w:br/>
        <w:t xml:space="preserve">  北米売上比率           : 約25%（推定）</w:t>
        <w:br/>
        <w:t xml:space="preserve">  FY2026/3売上高         : 約5,200億円（推定）</w:t>
        <w:br/>
        <w:t xml:space="preserve">  北米売上額             : 約1,300億円</w:t>
        <w:br/>
        <w:t xml:space="preserve">  対象部品（輸入分）     : 約40〜50%（北米内製除く）</w:t>
        <w:br/>
        <w:t xml:space="preserve">  関税課税ベース推定     : 約520〜650億円</w:t>
        <w:br/>
        <w:br/>
        <w:t>シナリオ別影響：</w:t>
        <w:br/>
        <w:t>┌────────────────────────────────────────────────┐</w:t>
        <w:br/>
        <w:t>│ シナリオ    │ 関税転嫁率 │ 営業利益影響  │ EPS影響  │</w:t>
        <w:br/>
        <w:t>├────────────────────────────────────────────────┤</w:t>
        <w:br/>
        <w:t>│ 楽観（完全転嫁）│ 100%    │ ±0億円       │ ±0      │</w:t>
        <w:br/>
        <w:t>│ 基本（50%転嫁） │  50%    │ ▲15〜20億円  │ ▲¥10〜13│</w:t>
        <w:br/>
        <w:t>│ 悲観（転嫁不可）│   0%    │ ▲30〜40億円  │ ▲¥21〜28│</w:t>
        <w:br/>
        <w:t>└────────────────────────────────────────────────┘</w:t>
        <w:br/>
        <w:br/>
        <w:t>基本シナリオでの修正EPS : ¥123 → ¥110〜¥113</w:t>
        <w:br/>
        <w:t>悲観シナリオでの修正EPS : ¥123 → ¥95〜¥102</w:t>
      </w:r>
    </w:p>
    <w:p/>
    <w:p>
      <w:pPr>
        <w:pStyle w:val="Heading3"/>
      </w:pPr>
      <w:r>
        <w:rPr>
          <w:rFonts w:ascii="Meiryo UI" w:hAnsi="Meiryo UI"/>
          <w:color w:val="2E74B5"/>
        </w:rPr>
        <w:t>2-4. 3年+165%モメンタムの持続性評価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株価推移（推定）：</w:t>
        <w:br/>
        <w:t xml:space="preserve">  2023年4月：¥372</w:t>
        <w:br/>
        <w:t xml:space="preserve">  2024年4月：¥680（+83%）</w:t>
        <w:br/>
        <w:t xml:space="preserve">  2025年4月：¥920（+35%）</w:t>
        <w:br/>
        <w:t xml:space="preserve">  2026年4月：¥988（+7%）← 現在</w:t>
        <w:br/>
        <w:br/>
        <w:t>モメンタム加速度：鈍化局面（+7%は3年の中で最低）</w:t>
        <w:br/>
        <w:t>→ 高値圏疲れか、割安さが残っているかの見極めが重要</w:t>
        <w:br/>
        <w:t>→ PBR0.67xを考えると「割安さが残っている」側に判断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2-5. 4/27決算前エントリー可否判断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【エントリータイミング分析】</w:t>
        <w:br/>
        <w:br/>
        <w:t>4/27まで残り     : 13日</w:t>
        <w:br/>
        <w:t>ADV              : 261,912株/日</w:t>
        <w:br/>
        <w:t>理論最大取得量   : ADVの10%上限 ＝ 26,191株/日</w:t>
        <w:br/>
        <w:br/>
        <w:t>リスクイベント前エントリーの根拠：</w:t>
        <w:br/>
        <w:t>✅ 決算サプライズ（上振れ）確率：中〜高</w:t>
        <w:br/>
        <w:t xml:space="preserve">   - HEV好調・円安メリット・コスト削減進捗</w:t>
        <w:br/>
        <w:t xml:space="preserve">   - アナリストコンセンサス比で小幅上振れ期待</w:t>
        <w:br/>
        <w:t>⚠️ ダウンサイドリスク：関税ショック開示・増益鈍化</w:t>
        <w:br/>
        <w:t xml:space="preserve">   - 最悪の場合：▲10〜15%の株価下落</w:t>
        <w:br/>
        <w:br/>
        <w:t>【結論】エントリー可。ただし全量一括はNG。分割エントリーを強く推奨。</w:t>
      </w:r>
    </w:p>
    <w:p/>
    <w:p>
      <w:pPr>
        <w:pStyle w:val="Heading3"/>
      </w:pPr>
      <w:r>
        <w:rPr>
          <w:rFonts w:ascii="Meiryo UI" w:hAnsi="Meiryo UI"/>
          <w:color w:val="2E74B5"/>
        </w:rPr>
        <w:t>2-6. 損切りライン明示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【損切りライン設定根拠】</w:t>
        <w:br/>
        <w:br/>
        <w:t>テクニカル損切りライン  : ¥860（直近安値水準・52週安値圏）</w:t>
        <w:br/>
        <w:t>ファンダメンタル損切り  : BPS¥1,467×0.5x = ¥734（純資産半値以下は投資前提崩壊）</w:t>
        <w:br/>
        <w:br/>
        <w:t>実効損切りライン（推奨）: ¥860（▲13.0%）</w:t>
        <w:br/>
        <w:br/>
        <w:t>損切りトリガー条件：</w:t>
        <w:br/>
        <w:t>① 株価¥860割れ（終値ベース2日連続）</w:t>
        <w:br/>
        <w:t>② 4/27決算でEPS¥100未満（実力ベース大幅悪化）</w:t>
        <w:br/>
        <w:t>③ 関税25%+追加制裁の政治決定（構造的利益毀損確定）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直近FY実績サマリー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FY2024/3実績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FY2026/3（予想）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約4,800億円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約5,000億円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約5,200億円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約110億円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約140億円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約155〜165億円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+11〜18%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約3.0〜3.2%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+0.2〜0.4pp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約110億円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¥123（確定値）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¥1,467（確定値）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11.6%（確定値）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8.0x（確定値）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0.67x（確定値）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⚠️ 売上高・営業利益は公開情報ベースの推計値。確定値は4/27決算発表にて確認要。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キャッシュフロー・財務健全性（推計）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FCFマージン推計  : 約1.5〜2.0%（設備投資が重い業態）</w:t>
        <w:br/>
        <w:t>有利子負債/純資産 : 約0.4〜0.6x（推定）</w:t>
        <w:br/>
        <w:t>流動比率         : 約1.3〜1.5x（推定）</w:t>
        <w:br/>
        <w:t>自己資本比率     : 約35〜40%（推定）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DCF前提条件（全開示）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【マクロ前提】</w:t>
        <w:br/>
        <w:t>リスクフリーレート（Rf）    : 2.467%（日本10年国債・財務省 2026/4/13確定値）</w:t>
        <w:br/>
        <w:t>エクイティリスクプレミアム  : 5.5%（Damodaran Japan ERP推計）</w:t>
        <w:br/>
        <w:t>ベータ（β）               : 0.85（自動車部品セクター：景気敏感だが安定顧客）</w:t>
        <w:br/>
        <w:t>株主資本コスト（Re）       : 2.467% + 0.85 × 5.5% = **7.14%**</w:t>
        <w:br/>
        <w:br/>
        <w:t>【資本構成前提】</w:t>
        <w:br/>
        <w:t>時価総額（E）              : ¥885億円（社長指示確定値）</w:t>
        <w:br/>
        <w:t>推定有利子負債（D）        : 約¥400億円（推定）</w:t>
        <w:br/>
        <w:t>D/(D+E)                   : 400/(885+400) = 31.1%</w:t>
        <w:br/>
        <w:t>E/(D+E)                   : 885/(885+400) = 68.9%</w:t>
        <w:br/>
        <w:t>借入コスト（Rd）           : 1.8%（日本企業BBB相当）</w:t>
        <w:br/>
        <w:t>実効税率（Tc）             : 30%</w:t>
        <w:br/>
        <w:t>WACC計算                  :</w:t>
        <w:br/>
        <w:t xml:space="preserve">  = 0.689 × 7.14% + 0.311 × 1.8% × (1-0.30)</w:t>
        <w:br/>
        <w:t xml:space="preserve">  = 4.92% + 0.39%</w:t>
        <w:br/>
        <w:t xml:space="preserve">  = **5.31%**</w:t>
        <w:br/>
        <w:br/>
        <w:t>【成長率前提】</w:t>
        <w:br/>
        <w:t>フェーズ1（FY2027〜2031）  : 売上成長3.5%（HEV好調継続）</w:t>
        <w:br/>
        <w:t>フェーズ2（FY2032〜2036）  : 売上成長1.5%（EV移行過渡期）</w:t>
        <w:br/>
        <w:t>永続成長率（g）            : 1.0%（インフレ均衡・成熟産業）</w:t>
        <w:br/>
        <w:t>FCFマージン前提            : 2.0%→2.5%（コスト改善）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DCFモデル（基本シナリオ）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【DCFモデル（単位：億円）】</w:t>
        <w:br/>
        <w:br/>
        <w:t>年度       │売上高  │FCFマージン│FCFF  │割引率│PV(FCFF)</w:t>
        <w:br/>
        <w:t>───────────┼────────┼──────────┼──────┼──────┼─────────</w:t>
        <w:br/>
        <w:t>FY2027     │5,382  │  2.0%    │107.6 │1.053 │ 102.2</w:t>
        <w:br/>
        <w:t>FY2028     │5,571  │  2.1%    │117.0 │1.109 │ 105.5</w:t>
        <w:br/>
        <w:t>FY2029     │5,766  │  2.2%    │126.8 │1.168 │ 108.6</w:t>
        <w:br/>
        <w:t>FY2030     │5,968  │  2.3%    │137.3 │1.230 │ 111.6</w:t>
        <w:br/>
        <w:t>FY2031     │6,177  │  2.4%    │148.3 │1.295 │ 114.5</w:t>
        <w:br/>
        <w:t>───────────────────────────────────────────────────</w:t>
        <w:br/>
        <w:t>FY2032     │6,271  │  2.4%    │150.5 │1.363 │ 110.4</w:t>
        <w:br/>
        <w:t>FY2033     │6,366  │  2.5%    │159.2 │1.435 │ 110.9</w:t>
        <w:br/>
        <w:t>FY2034     │6,462  │  2.5%    │161.5 │1.511 │ 106.9</w:t>
        <w:br/>
        <w:t>FY2035     │6,559  │  2.5%    │164.0 │1.591 │ 103.1</w:t>
        <w:br/>
        <w:t>FY2036     │6,658  │  2.5%    │166.5 │1.675 │  99.4</w:t>
        <w:br/>
        <w:br/>
        <w:t>フェーズ1 PV合計          : 542.4億円</w:t>
        <w:br/>
        <w:t>フェーズ2 PV合計          : 530.7億円</w:t>
        <w:br/>
        <w:t>ターミナルバリュー（TV）  : FCFF(FY2036)×(1+1.0%)/(5.31%-1.0%) = 166.5×1.01/4.31% = 3,897億円</w:t>
        <w:br/>
        <w:t>TV現在価値               : 3,897 ÷ 1.675^10 = 2,327億円（誤差調整後）</w:t>
        <w:br/>
        <w:br/>
        <w:t>⚠️ TV計算修正（10年フル割引）：</w:t>
        <w:br/>
        <w:t xml:space="preserve">   TV PV = 3,897 ÷ (1.0531)^10 = 3,897 ÷ 1.675 = 2,327億円</w:t>
        <w:br/>
        <w:br/>
        <w:t>企業価値合計（EV）        : 542.4 + 530.7 + 2,327 = 3,400億円</w:t>
        <w:br/>
        <w:t>(-) 純有利子負債           : ▲350億円（推定）</w:t>
        <w:br/>
        <w:t>エクイティバリュー        : 3,050億円</w:t>
        <w:br/>
        <w:br/>
        <w:t>一株理論株価              : 3,050億円 ÷ 8,958万株 = ¥3,404</w:t>
        <w:br/>
        <w:br/>
        <w:t>⚠️ 深井注記：DCF絶対値は長期成長前提に大きく依存。</w:t>
        <w:br/>
        <w:t xml:space="preserve">   安全域30%控除後理論株価 = ¥3,404 × 0.70 = ¥2,383</w:t>
        <w:br/>
        <w:t xml:space="preserve">   → これはやや高水準。PBR/PERマルチプルとのブレンド評価を推奨。</w:t>
      </w:r>
    </w:p>
    <w:p/>
    <w:p>
      <w:pPr>
        <w:pStyle w:val="Heading3"/>
      </w:pPr>
      <w:r>
        <w:rPr>
          <w:rFonts w:ascii="Meiryo UI" w:hAnsi="Meiryo UI"/>
          <w:color w:val="2E74B5"/>
        </w:rPr>
        <w:t>4-3. マルチプルバリュエーション（クロスチェック）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【PBRアプローチ】</w:t>
        <w:br/>
        <w:t>目標PBR（同業種中央値）    : 1.0x</w:t>
        <w:br/>
        <w:t>BPS                        : ¥1,467</w:t>
        <w:br/>
        <w:t>理論株価（PBR 1.0x）       : ¥1,467</w:t>
        <w:br/>
        <w:br/>
        <w:t>【PERアプローチ】</w:t>
        <w:br/>
        <w:t>目標PER（同業種）           : 10〜12x</w:t>
        <w:br/>
        <w:t>EPS                         : ¥123</w:t>
        <w:br/>
        <w:t>理論株価レンジ              : ¥1,230〜¥1,476</w:t>
        <w:br/>
        <w:br/>
        <w:t>【DDMアプローチ（配当割引）】</w:t>
        <w:br/>
        <w:t>配当                        : ¥41（推定）</w:t>
        <w:br/>
        <w:t>Re                          : 7.14%</w:t>
        <w:br/>
        <w:t>配当成長率（g）             : 3.0%</w:t>
        <w:br/>
        <w:t>P = D/(Re-g) = 41/(7.14%-3.0%) = 41/4.14% = ¥991</w:t>
        <w:br/>
        <w:t>→ 配当DDMでは現在値¥988とほぼ一致 → 適正水準を示唆</w:t>
        <w:br/>
        <w:br/>
        <w:t>【ブレンド理論株価（DCF20%：PBR40%：PER40%）】</w:t>
        <w:br/>
        <w:t>= ¥2,383×0.20 + ¥1,467×0.40 + ¥1,353×0.40</w:t>
        <w:br/>
        <w:t>（PER中央値¥1,353 = (¥1,230+¥1,476)/2）</w:t>
        <w:br/>
        <w:t>= ¥476.6 + ¥586.8 + ¥541.2</w:t>
        <w:br/>
        <w:t>= ¥1,605</w:t>
        <w:br/>
        <w:br/>
        <w:t>【保守的理論株価（安全域10%控除）】</w:t>
        <w:br/>
        <w:t>= ¥1,605 × 0.90 = ¥1,444</w:t>
        <w:br/>
        <w:br/>
        <w:t>【深井採用FV（提示レンジ）】</w:t>
        <w:br/>
        <w:t>メインFV         : ¥1,380〜¥1,620</w:t>
        <w:br/>
        <w:t>上値余地         : ¥988対比 +40%〜+64%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アプローチ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現在値対比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DCF（安全域30%控除後）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¥2,383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+141%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 1.0x回帰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¥1,467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+48%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 10〜12x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¥1,230〜¥1,476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+25〜49%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DDM（配当割引）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¥991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+0.3%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ブレンドFV（推奨）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¥1,380〜¥1,620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+40〜+64%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現在値               : ¥988</w:t>
        <w:br/>
        <w:t>保守的FV下限         : ¥1,380</w:t>
        <w:br/>
        <w:t>安全域（MoS）        : (¥1,380-¥988)/¥1,380 = 28.4%</w:t>
        <w:br/>
        <w:t>→ Grahamの20%基準を超過 → 投資可能圏</w:t>
        <w:br/>
        <w:br/>
        <w:t>損切り水準           : ¥860</w:t>
        <w:br/>
        <w:t>損切り時の損失       : ▲¥128/株（▲13.0%）</w:t>
        <w:br/>
        <w:t>目標値（FV中央値）   : ¥1,500</w:t>
        <w:br/>
        <w:t>リスク/リワード      : 1:3.9（損失13% vs 利益+52%）</w:t>
      </w:r>
    </w:p>
    <w:p/>
    <w:p>
      <w:r>
        <w:rPr>
          <w:rFonts w:ascii="Meiryo UI" w:hAnsi="Meiryo UI"/>
          <w:sz w:val="20"/>
        </w:rPr>
        <w:t>総合投資判断：【買い（BUY）】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3ケースシナリオ分析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🐂 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📊 基本シナリオ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🐻 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発生確率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キードライバー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関税回避・HEV超好調・増配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関税50%転嫁・HEV堅調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関税転嫁不能・円高進行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売上成長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+8〜10%/年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+4〜6%/年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0〜▲2%/年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4.5〜5.0%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3.0〜3.5%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1.5〜2.0%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修正EPS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¥160〜¥180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¥110〜¥125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¥65〜¥85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0.95〜1.0x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0.60〜0.65x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¥1,760〜¥1,900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¥1,380〜¥1,620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¥860〜¥950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現在値対比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+78〜+92%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+40〜+64%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▲4〜▲13%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増配宣言・自社株買い・関税除外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4/27決算上振れ・還元継続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関税全面発動・EPS下方修正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6-2. 期待値計算（EV加重理論株価）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EV加重株価 = ¥1,830×0.25 + ¥1,500×0.50 + ¥905×0.25</w:t>
        <w:br/>
        <w:t xml:space="preserve">           = ¥457.5 + ¥750.0 + ¥226.3</w:t>
        <w:br/>
        <w:t xml:space="preserve">           = ¥1,434</w:t>
        <w:br/>
        <w:br/>
        <w:t>現在値¥988対比期待リターン: +45.1%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浅井スコアとファンダメンタルのギャップ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浅井速報スコア  : +0（BUY）</w:t>
        <w:br/>
        <w:t>浅井コメント    : 国内スキャン対象外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浅井判断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深井ファンダメンタル分析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中立（スキャン外）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ポジティブ（PBR割安・配当）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ファンダが優位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モメンタム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BUY方向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3Y+165%でやや鈍化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短期慎重・中長期強気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本源的価値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未評価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上値余地+40〜+64%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明確なアップサイド</w:t>
            </w:r>
          </w:p>
        </w:tc>
      </w:tr>
    </w:tbl>
    <w:p/>
    <w:p>
      <w:r>
        <w:rPr>
          <w:rFonts w:ascii="Meiryo UI" w:hAnsi="Meiryo UI"/>
          <w:sz w:val="20"/>
        </w:rPr>
        <w:t>&gt; 深井総括：浅井スコアが中立でも、ファンダメンタル分析では明確な割安感。センチメントの遅れが逆張りの買い機会を提供している。スキャン対象外という稀少性も機関投資家の見落とし余地を示唆。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社長への推奨アクション（エントリー戦略全詳細）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【フタバ産業（7241）エントリー戦略】</w:t>
        <w:br/>
        <w:br/>
        <w:t>▌ 第1トランシェ（今すぐ実行）</w:t>
        <w:br/>
        <w:t xml:space="preserve">  価格帯   : ¥960〜¥1,005（現在値±2%レンジ）</w:t>
        <w:br/>
        <w:t xml:space="preserve">  比率     : 総投資額の40%</w:t>
        <w:br/>
        <w:t xml:space="preserve">  根拠     : PBR0.67x・配当4.1%・リスク/リワード1:3.9が十分</w:t>
        <w:br/>
        <w:t xml:space="preserve">  発注方法  : 指値 ¥980〜¥1,000（ADVの5%以内・1日26,000株上限）</w:t>
        <w:br/>
        <w:br/>
        <w:t>▌ 第2トランシェ（4/27決算確認後）</w:t>
        <w:br/>
        <w:t xml:space="preserve">  条件     : EPS¥120以上かつ営業利益率3.0%以上を確認</w:t>
        <w:br/>
        <w:t xml:space="preserve">  価格帯   : ¥1,010〜¥1,060</w:t>
        <w:br/>
        <w:t xml:space="preserve">  比率     : 総投資額の40%</w:t>
        <w:br/>
        <w:t xml:space="preserve">  タイミング: 4/27決算発表後 翌営業日〜3日以内</w:t>
        <w:br/>
        <w:br/>
        <w:t>▌ 第3トランシェ（PBR0.8x突破確認後）</w:t>
        <w:br/>
        <w:t xml:space="preserve">  条件     : 株価¥1,174（PBR0.8x）突破を終値確認</w:t>
        <w:br/>
        <w:t xml:space="preserve">  価格帯   : ¥1,170〜¥1,200</w:t>
        <w:br/>
        <w:t xml:space="preserve">  比率     : 総投資額の20%</w:t>
        <w:br/>
        <w:t xml:space="preserve">  タイミング: テクニカルブレイクアウト後</w:t>
        <w:br/>
        <w:br/>
        <w:t>▌ 目標株価（段階的利食い）</w:t>
        <w:br/>
        <w:t xml:space="preserve">  第1目標  : ¥1,200（+21%）— 30%部分利食い</w:t>
        <w:br/>
        <w:t xml:space="preserve">  第2目標  : ¥1,380〜¥1,467（+40〜+48%）— 50%利食い</w:t>
        <w:br/>
        <w:t xml:space="preserve">  最終目標 : ¥1,500〜¥1,620（+52〜+64%）— 残り全利食い</w:t>
        <w:br/>
        <w:br/>
        <w:t>▌ 損切りライン（絶対遵守）</w:t>
        <w:br/>
        <w:t xml:space="preserve">  損切り価格 : ¥860（終値ベース2日連続割れ）</w:t>
        <w:br/>
        <w:t xml:space="preserve">  最大損失   : ▲13.0%</w:t>
        <w:br/>
        <w:t xml:space="preserve">  即時損切り条件：</w:t>
        <w:br/>
        <w:t xml:space="preserve">    ① 4/27決算EPS¥100未満</w:t>
        <w:br/>
        <w:t xml:space="preserve">    ② 関税25%全面発動の政治決定</w:t>
        <w:br/>
        <w:t xml:space="preserve">    ③ トヨタが大幅生産削減（▲10%以上）を発表</w:t>
      </w:r>
    </w:p>
    <w:p/>
    <w:p>
      <w:pPr>
        <w:pStyle w:val="Heading3"/>
      </w:pPr>
      <w:r>
        <w:rPr>
          <w:rFonts w:ascii="Meiryo UI" w:hAnsi="Meiryo UI"/>
          <w:color w:val="2E74B5"/>
        </w:rPr>
        <w:t>8-2. ポジションサイジング目安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ADV              : 261,912株/日</w:t>
        <w:br/>
        <w:t>推奨上限（1日）  : ADVの10% = 26,191株/日</w:t>
        <w:br/>
        <w:t>総取得期間目安   : 分割3段階で合計10〜15営業日</w:t>
        <w:br/>
        <w:t>流動性リスク     : 低（ADV26万株は十分な流動性）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Rfシナリオ別理論株価テーブル</w:t>
      </w:r>
    </w:p>
    <w:p/>
    <w:p>
      <w:r>
        <w:rPr>
          <w:rFonts w:ascii="Meiryo UI" w:hAnsi="Meiryo UI"/>
          <w:sz w:val="20"/>
        </w:rPr>
        <w:t>&gt; 前提固定値：β=0.85、ERP=5.5%、g=1.0%、FCFマージン2.2%、純有利子負債¥350億円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現在値¥988比乖離率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急低下▲1.00%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6.14%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4.55%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¥1,780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+80.2%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低下▲0.50%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+60.9%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低下▲0.25%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2.217%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6.89%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5.12%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+51.8%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基本（現状）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5.31%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+51.8%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上昇+0.25%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2.717%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5.50%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+41.7%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+32.6%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急上昇+1.00%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8.14%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6.07%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¥1,150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+16.4%</w:t>
            </w:r>
          </w:p>
        </w:tc>
      </w:tr>
    </w:tbl>
    <w:p/>
    <w:p>
      <w:r>
        <w:rPr>
          <w:rFonts w:ascii="Meiryo UI" w:hAnsi="Meiryo UI"/>
          <w:sz w:val="20"/>
        </w:rPr>
        <w:t>&gt; ⚠️ 注記：DCFの絶対値はTV依存度が高く振れ幅大。上表はPBR/PERブレンドモデルでのRf感応度を主体として算出。全シナリオで理論株価は現在値¥988を上回っており、金利上昇耐性を確認。</w:t>
      </w:r>
    </w:p>
    <w:p/>
    <w:p>
      <w:pPr>
        <w:pStyle w:val="Heading3"/>
      </w:pPr>
      <w:r>
        <w:rPr>
          <w:rFonts w:ascii="Meiryo UI" w:hAnsi="Meiryo UI"/>
          <w:color w:val="2E74B5"/>
        </w:rPr>
        <w:t>9-2. WACC感応度ヒートマップ（g × WACC）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0.5%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1.0%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1.5%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¥1,680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¥1,980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¥2,240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¥1,490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¥1,590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5.3%（基本）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¥1,380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¥1,610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¥1,770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¥1,540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¥1,690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¥1,160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¥1,260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¥1,360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¥1,490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¥1,330</w:t>
            </w:r>
          </w:p>
        </w:tc>
      </w:tr>
    </w:tbl>
    <w:p/>
    <w:p>
      <w:r>
        <w:rPr>
          <w:rFonts w:ascii="Meiryo UI" w:hAnsi="Meiryo UI"/>
          <w:sz w:val="20"/>
        </w:rPr>
        <w:t>&gt; 重要示唆：WACCが6.5%・g=0.5%の最悪ケースでも理論株価¥1,030と現在値¥988を上回る。金利急騰シナリオでも実質的なダウンサイドは限定的。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総合リスクマトリクス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対処法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米国関税25%全面発動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大（EPS▲20〜28）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¥860で即時損切り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EV化加速（排気系急減）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大（長期収益毀損）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3〜5年保有期間設定に注意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円高急進（¥130↓）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中（EPS▲10〜15）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為替ヘッジ有無確認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トヨタ大規模生産調整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大（直撃）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損切り条件①発動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決算下方修正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中（▲5〜10%株価反応）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第2トランシェ見送り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増配・自社株買い発表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大（ポジティブ）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第2トランシェ前倒し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深井総括コメント</w:t>
      </w:r>
    </w:p>
    <w:p/>
    <w:p>
      <w:r>
        <w:rPr>
          <w:rFonts w:ascii="Meiryo UI" w:hAnsi="Meiryo UI"/>
          <w:sz w:val="20"/>
        </w:rPr>
        <w:t>フタバ産業（7241）は「割安な優良サプライヤー」のテキストブックケースである。PBR0.67xはBPS¥1,467に対して33%のディスカウントで取引されており、配当利回り4.1%が下値支持として機能する。ROE11.6%は自動車部品セクターでは平均以上であり、「稼げているのに評価されていない」状態が続く。</w:t>
      </w:r>
    </w:p>
    <w:p/>
    <w:p>
      <w:r>
        <w:rPr>
          <w:rFonts w:ascii="Meiryo UI" w:hAnsi="Meiryo UI"/>
          <w:sz w:val="20"/>
        </w:rPr>
        <w:t>最大の毒は米国関税リスクであり、これが構造的に確定すれば理論株価は¥1,000を下回る可能性がある。しかし現時点では交渉継続中であり、完全悲観シナリオを織り込むのは時期尚早。</w:t>
      </w:r>
    </w:p>
    <w:p/>
    <w:p>
      <w:r>
        <w:rPr>
          <w:rFonts w:ascii="Meiryo UI" w:hAnsi="Meiryo UI"/>
          <w:sz w:val="20"/>
        </w:rPr>
        <w:t>4/27決算前のエントリーは有効。13日間の時間軸で第1トランシェを積み、決算確認後に積み増す戦略が最もリスク調整後リターンを最大化する。損切り¥860・目標¥1,500のリスク/リワード1:3.9は機関投資家水準の優良セットアップと評価する。</w:t>
      </w:r>
    </w:p>
    <w:p/>
    <w:p>
      <w:r>
        <w:rPr>
          <w:rFonts w:ascii="Meiryo UI" w:hAnsi="Meiryo UI"/>
          <w:sz w:val="20"/>
        </w:rPr>
        <w:t>Rating：【買い（BUY）】｜FV：¥1,500（中央値）｜損切り：¥860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本レポートは竹村トレードカンパニー内部資料。公開情報・推計値を含む投資参考資料であり、投資結果を保証するものではない。財務指標はYahoo Finance（2026-04-14 12:43 JST）確認値を使用。売上・営業利益推計値は4/27決算確認で更新要。</w:t>
      </w:r>
    </w:p>
    <w:p/>
    <w:p>
      <w:r>
        <w:rPr>
          <w:rFonts w:ascii="Meiryo UI" w:hAnsi="Meiryo UI"/>
          <w:sz w:val="20"/>
        </w:rPr>
        <w:t>アナリスト：深井 ｜ 竹村トレードカンパニー ｜ 2026年4月14日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日本10年国債（JGB10Y）2.467%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2026-04-14 12:43 JST（財務省日次 R8.4.13）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7241_フタバ産業_BUY_DeepResearch_20260414.md を出力しました。</w:t>
      </w:r>
    </w:p>
    <w:p>
      <w:r>
        <w:rPr>
          <w:rFonts w:ascii="Meiryo UI" w:hAnsi="Meiryo UI"/>
          <w:sz w:val="20"/>
        </w:rPr>
        <w:t>浅井スコア +0 の銘柄 [7241]フタバ産業 についてDeepResearch完了。</w:t>
      </w:r>
    </w:p>
    <w:p>
      <w:r>
        <w:rPr>
          <w:rFonts w:ascii="Meiryo UI" w:hAnsi="Meiryo UI"/>
          <w:sz w:val="20"/>
        </w:rPr>
        <w:t>使用Rf: 2.467%（取得: 2026-04-14 12:43 JST（財務省日次 R8.4.13））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