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7261 マツダ（Mazda Motor Corp）Deep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分析日：2026年04月22日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7261 マツダ（Mazda Motor Corp）Deep Research</w:t>
      </w:r>
    </w:p>
    <w:p>
      <w:r>
        <w:rPr>
          <w:rFonts w:ascii="Meiryo UI" w:hAnsi="Meiryo UI"/>
          <w:sz w:val="20"/>
        </w:rPr>
        <w:t>作成日：2026年4月22日　担当：浅井（竹村トレードカンパニー）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冒頭10秒サマリー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¥1,600（確率加重FV）Rev.2：将来関税再設定リスク反映で¥1,700→¥1,600に下方修正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¥1,082（2026/04/22 Bloomberg）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安全域（Upside）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+47.9%（Rev.2修正後）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Asai 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+60（Rev.2修正：将来関税リスク▲5pt）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3弾丸（買い根拠）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①IEEPA関税¥120-130B還付でBloomberg FV¥1,100を全面改訂　②EV/EBITDA1.95x（グローバル同業3-5xに対し61%ディスカウント）　③PBR0.38xはJustified P/B0.72xに対し47%割安（ROE正常化前提）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中国市場構造的縮退（NEV対応なし・CX-5等ガソリン車の市場消失）＋2029年以前にEV投入不可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段階的押し目買い（IEEPA還付確定後エントリー推奨）。ストップロス：¥900（EV/EBITDA 0.8×割れ）</w:t>
            </w:r>
          </w:p>
        </w:tc>
      </w:tr>
    </w:tbl>
    <w:p/>
    <w:p>
      <w:r>
        <w:rPr>
          <w:rFonts w:ascii="Meiryo UI" w:hAnsi="Meiryo UI"/>
          <w:sz w:val="20"/>
        </w:rPr>
        <w:t>&gt; Bloomberg分析との差分（最重要）: 全アナリスト（UBS最新04/19、みずほ04/14）はIEEPA関税還付前の情報。IEEPA撤廃による営業利益上振れ幅（+¥100-120B）がコンセンサス予想（¥157B）に未反映。本レポートが初の「IEEPA後マツダ」公式評価。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IR連絡先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会社名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マツダ株式会社（Mazda Motor Corporation）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IR担当部署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財務本部 IR推進室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電話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082-282-1111（代表）→IR部門へ転送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メール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investor.relations@mazda.co.jp（公式フォームよりアクセス）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IRウェブサイト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https://www.mazda.com/ja/investors/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決算発表予定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FY3/26 4Q決算：2026年5月（予定）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ビジネスモデル解剖</w:t>
      </w:r>
    </w:p>
    <w:p/>
    <w:p>
      <w:pPr>
        <w:pStyle w:val="Heading3"/>
      </w:pPr>
      <w:r>
        <w:rPr>
          <w:rFonts w:ascii="Meiryo UI" w:hAnsi="Meiryo UI"/>
          <w:color w:val="2E74B5"/>
        </w:rPr>
        <w:t>事業概要</w:t>
      </w:r>
    </w:p>
    <w:p>
      <w:r>
        <w:rPr>
          <w:rFonts w:ascii="Meiryo UI" w:hAnsi="Meiryo UI"/>
          <w:sz w:val="20"/>
        </w:rPr>
        <w:t>マツダは広島を本拠とする独立系自動車メーカー。SUVを中核とした「鼓動デザイン」×「人馬一体」ブランドで差別化。トヨタと資本関係（3.5%持合）。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収益構造（FY3/26推定）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販売比率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北米（米国）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最大シェア約40%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CX-5/CX-50中心、アラバマ・メキシコ工場補完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軽自動車スズキ・ダイハツに押され縮小傾向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CX-60 PHEVで存在感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約12%（急減中）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NEV未対応で市場シェア喪失が加速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アジア・その他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東南アジアが成長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生産拠点と輸出構造（IEEPA分析の核心）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工場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主力車種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年産能力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対米輸出対象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防府工場（日本）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CX-5等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◎（IEEPA対象）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宇品工場（日本）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マツダ3等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約30万台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◎（IEEPA対象）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アラバマ（MTMUS・トヨタ合弁）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CX-50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✗（USMCA/米国製）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メキシコ（AAM）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CX-5(輸出型)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約20万台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△（USMCA適用、一部IEEPA外）</w:t>
            </w:r>
          </w:p>
        </w:tc>
      </w:tr>
    </w:tbl>
    <w:p/>
    <w:p>
      <w:r>
        <w:rPr>
          <w:rFonts w:ascii="Meiryo UI" w:hAnsi="Meiryo UI"/>
          <w:sz w:val="20"/>
        </w:rPr>
        <w:t>推計：対米向け日本生産車両 約15-17万台/年。平均車両価格$33,000 × 24%IEEPA × 160,000台 ≒ ¥123B/年が撤廃ターゲット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IEEPA関税還付：Bloomberg分析の決定的アップデート</w:t>
      </w:r>
    </w:p>
    <w:p/>
    <w:p>
      <w:pPr>
        <w:pStyle w:val="Heading3"/>
      </w:pPr>
      <w:r>
        <w:rPr>
          <w:rFonts w:ascii="Meiryo UI" w:hAnsi="Meiryo UI"/>
          <w:color w:val="2E74B5"/>
        </w:rPr>
        <w:t>関税インパクトの内訳推計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関税種別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FY3/26 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FY3/27 変化（Bloomberg既反映）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IEEPA撤廃後追加改善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IEEPA相互関税24%（日本→米国）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▲¥123B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部分改善 +¥30-40B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+¥90-100B（追加）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Section 232 鉄鋼・アルミ25%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▲¥20B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0（対象外）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その他（カナダ等）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▲¥15B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▲¥158B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+¥40.9B（Bloomberg）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+¥90-100B（新規追加）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Bloomberg vs 本レポートのFY3/27 OP比較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FY3/27 OP推計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Bloomberg/みずほ（04/14）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¥157.2B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IEEPA未考慮、関税部分改善のみ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UBS（04/19、最新）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~¥130-150B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悲観的、IEEPA未考慮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本レポート IEEPA後Base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¥240-260B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IEEPA¥90-100B追加改善を反映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本レポート IEEPA後Bull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¥300-320B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フル改善+CX-5新型効果</w:t>
            </w:r>
          </w:p>
        </w:tc>
      </w:tr>
    </w:tbl>
    <w:p/>
    <w:p>
      <w:r>
        <w:rPr>
          <w:rFonts w:ascii="Meiryo UI" w:hAnsi="Meiryo UI"/>
          <w:sz w:val="20"/>
        </w:rPr>
        <w:t>→ コンセンサス比 +¥83-103Bの上振れが未反映。これがBloomberg"Neutral TP¥1,100"を全面否定する根拠。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将来の関税再設定リスク（Rev.2追加）</w:t>
      </w:r>
    </w:p>
    <w:p/>
    <w:p>
      <w:r>
        <w:rPr>
          <w:rFonts w:ascii="Meiryo UI" w:hAnsi="Meiryo UI"/>
          <w:sz w:val="20"/>
        </w:rPr>
        <w:t>&gt; 深井さんのご指摘：「将来についてまた同種の関税が設定されるのではないか」— マツダはSUBARUよりネット現金が少ない分、この問いへの答えはより重要。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関税再設定の法的・政治的経路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リスク経路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発動主体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MAZDA影響額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SUBARU比較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IEEPA同スキーム即時再発動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大統領令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¥120-130B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Section 232 自動車25%（最大リスク）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大統領（商務省勧告済み）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30-40%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¥120-150B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議会立法（Trade Act改正）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上下院 + 大統領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10-15%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恒久的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日米通商協定による恒久撤廃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日米政府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マツダ特有の脆弱性：SUBARU比較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SUBARUの場合（関税再設定されても）：</w:t>
        <w:br/>
        <w:t xml:space="preserve">  ネット現金¥1.4T = 市場価値の76%</w:t>
        <w:br/>
        <w:t xml:space="preserve">  → EV/EBITDA 1.1x = 清算価値近傍</w:t>
        <w:br/>
        <w:t xml:space="preserve">  → 最悪シナリオFV ¥2,800 &gt; 現値 ¥2,570（下値限定）</w:t>
        <w:br/>
        <w:br/>
        <w:t>マツダの場合（関税再設定されたら）：</w:t>
        <w:br/>
        <w:t xml:space="preserve">  ネット現金 ≈ ほぼ中立（D/E 48%はファイナンス含む。自動車単体は概ね中立）</w:t>
        <w:br/>
        <w:t xml:space="preserve">  → キャッシュバッファーが薄い分、EPS感応度が高い</w:t>
        <w:br/>
        <w:t xml:space="preserve">  → Section 232 25%再発動なら FY3/27 OP ¥130-150B程度に後退</w:t>
        <w:br/>
        <w:t xml:space="preserve">  → EPS ¥140-160 → P/E6.5x → FV ¥910-1,040</w:t>
        <w:br/>
        <w:br/>
        <w:t>Section 232 発動シナリオでのマツダFV推計：</w:t>
        <w:br/>
        <w:t xml:space="preserve">  OP ¥80-100B → EPS ¥82-100 → FV ¥700-800（P/E 8x = ROE懸念分プレミアム）</w:t>
        <w:br/>
        <w:t xml:space="preserve">  → 現値 ¥1,082 に対して大幅な下値リスク</w:t>
      </w:r>
    </w:p>
    <w:p/>
    <w:p>
      <w:r>
        <w:rPr>
          <w:rFonts w:ascii="Meiryo UI" w:hAnsi="Meiryo UI"/>
          <w:sz w:val="20"/>
        </w:rPr>
        <w:t>→ マツダはSUBARUと異なり、「最悪シナリオでも現値以上」の保証がない。この非対称性がBUY止まり（STRONG BUYでない）の核心。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シナリオ確率の改訂（Rev.2）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旧確率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改訂確率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変更理由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Bear（関税再設定・中国悪化）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Section 232自動車リスク＋中国構造問題を明示的に上乗せ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Base（IEEPA撤廃継続・安定運営）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Bear確率増加分を移管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Bull（日米通商協定＋CX-5ヒット）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</w:tbl>
    <w:p/>
    <w:p>
      <w:r>
        <w:rPr>
          <w:rFonts w:ascii="Meiryo UI" w:hAnsi="Meiryo UI"/>
          <w:sz w:val="20"/>
        </w:rPr>
        <w:t>確率加重FV（Rev.2）：</w:t>
      </w:r>
    </w:p>
    <w:p>
      <w:r>
        <w:rPr>
          <w:rFonts w:ascii="Meiryo UI" w:hAnsi="Meiryo UI"/>
          <w:sz w:val="20"/>
        </w:rPr>
        <w:t>0.35 × ¥900 + 0.45 × ¥1,800 + 0.20 × ¥2,600 = ¥315 + ¥810 + ¥520 = ¥1,645</w:t>
      </w:r>
    </w:p>
    <w:p>
      <w:r>
        <w:rPr>
          <w:rFonts w:ascii="Meiryo UI" w:hAnsi="Meiryo UI"/>
          <w:sz w:val="20"/>
        </w:rPr>
        <w:t>→ 改訂TP：¥1,600（保守的丸め。旧TP¥1,700から▲¥100 = 関税再設定リスクプレミアム）</w:t>
      </w:r>
    </w:p>
    <w:p/>
    <w:p>
      <w:r>
        <w:rPr>
          <w:rFonts w:ascii="Meiryo UI" w:hAnsi="Meiryo UI"/>
          <w:sz w:val="20"/>
        </w:rPr>
        <w:t>改訂アップサイド：¥1,600 / ¥1,082 - 1 = +47.9%（旧+57.1%から修正）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財務実績</w:t>
      </w:r>
    </w:p>
    <w:p/>
    <w:p>
      <w:pPr>
        <w:pStyle w:val="Heading3"/>
      </w:pPr>
      <w:r>
        <w:rPr>
          <w:rFonts w:ascii="Meiryo UI" w:hAnsi="Meiryo UI"/>
          <w:color w:val="2E74B5"/>
        </w:rPr>
        <w:t>業績推移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FY3/26ガイダンス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FY3/27 本レポートE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50,028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53,000推定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52,000-55,000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3,559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~3,000推定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500（関税影響後）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2,400-2,600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~5.7%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~1.0%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4.6-5.0%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~¥65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¥240-290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配当（円）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¥55.18（予測）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¥60-70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0.49%（急落）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6-8%（正常化）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Bloomberg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¥683.6B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割安水準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12.4x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FY3/26低益基準で見かけ割高、FY3/27基準では割安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0.38x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TSE1x基準を大幅下回る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高利回り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0.49%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関税影響で一時急落（正常化後7-9%想定）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D/E（金融込）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自動車ファイナンス含む、オートモーティブ単体は概ね中立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1.45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市場平均比45%高ボラティリティ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バリュエーション（4手法）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前提パラメーター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Rf（無リスク金利）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2.397%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Bloomberg JGB 10年（2026/04/22）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竹村TC標準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1.45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Bloomberg実績値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2.397% + 1.45×6.0% = 11.097%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¥2,847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PBR0.38×株価¥1,082より逆算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FY3/27E OP（本レポート）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¥250B（中央値）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IEEPA後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FY3/27E 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OP¥250B×税引後率65%÷631M株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手法①：PERバリュエーション</w:t>
      </w:r>
    </w:p>
    <w:p>
      <w:pPr>
        <w:pStyle w:val="ListBullet"/>
      </w:pPr>
      <w:r>
        <w:rPr>
          <w:rFonts w:ascii="Meiryo UI" w:hAnsi="Meiryo UI"/>
          <w:sz w:val="20"/>
        </w:rPr>
        <w:t>FY3/27E EPS: ¥275</w:t>
      </w:r>
    </w:p>
    <w:p>
      <w:pPr>
        <w:pStyle w:val="ListBullet"/>
      </w:pPr>
      <w:r>
        <w:rPr>
          <w:rFonts w:ascii="Meiryo UI" w:hAnsi="Meiryo UI"/>
          <w:sz w:val="20"/>
        </w:rPr>
        <w:t>適正P/E: 6.5x（低ROE・高β・中国リスク考慮、同業Honda 7x・SUBARU 9xを割引）</w:t>
      </w:r>
    </w:p>
    <w:p>
      <w:pPr>
        <w:pStyle w:val="ListBullet"/>
      </w:pPr>
      <w:r>
        <w:rPr>
          <w:rFonts w:ascii="Meiryo UI" w:hAnsi="Meiryo UI"/>
          <w:sz w:val="20"/>
        </w:rPr>
        <w:t>FV: ¥275 × 6.5 = ¥1,788 → ¥1,800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手法②：Justified P/Bバリュエーション</w:t>
      </w:r>
    </w:p>
    <w:p>
      <w:pPr>
        <w:pStyle w:val="ListBullet"/>
      </w:pPr>
      <w:r>
        <w:rPr>
          <w:rFonts w:ascii="Meiryo UI" w:hAnsi="Meiryo UI"/>
          <w:sz w:val="20"/>
        </w:rPr>
        <w:t>正常化ROE（FY3/27）: 8.0%（関税前FY3/24実績7.1%OPMをベースに試算、中国縮退で保守的設定）</w:t>
      </w:r>
    </w:p>
    <w:p>
      <w:pPr>
        <w:pStyle w:val="ListBullet"/>
      </w:pPr>
      <w:r>
        <w:rPr>
          <w:rFonts w:ascii="Meiryo UI" w:hAnsi="Meiryo UI"/>
          <w:sz w:val="20"/>
        </w:rPr>
        <w:t>Justified P/B = ROE / Ke = 8.0% / 11.10% = 0.72x</w:t>
      </w:r>
    </w:p>
    <w:p>
      <w:pPr>
        <w:pStyle w:val="ListBullet"/>
      </w:pPr>
      <w:r>
        <w:rPr>
          <w:rFonts w:ascii="Meiryo UI" w:hAnsi="Meiryo UI"/>
          <w:sz w:val="20"/>
        </w:rPr>
        <w:t>FV = 0.72 × BPS ¥2,847 = ¥2,050</w:t>
      </w:r>
    </w:p>
    <w:p>
      <w:pPr>
        <w:pStyle w:val="ListBullet"/>
      </w:pPr>
      <w:r>
        <w:rPr>
          <w:rFonts w:ascii="Meiryo UI" w:hAnsi="Meiryo UI"/>
          <w:sz w:val="20"/>
        </w:rPr>
        <w:t>注：現在ROE 0.49%はIEEPA関税の一時的歪み。正常化ROE8%でも同業比低水準（SUBARU 12%+）を反映してKe未調整。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手法③：DCFバリュエーション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仮定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FY3/27E FCF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¥100B/年（OP ¥250B × 利益率 - Capex ¥120B）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9.0%（Ke11.1% × 80% + Kd3% × 20%）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永続成長率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0.5%（電動化移行リスク反映）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 = FCF/(WACC-g)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¥100B / (9.0%-0.5%) = ¥1,176B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¥1,176B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Debt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 ¥0B（オートモーティブ単体）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631M株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FV（DCF）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¥1,863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手法④：EV/EBITDAバリュエーション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FY3/27E OP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¥250B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D&amp;A（推定）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¥350B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現在EV（Market Cap + Net Debt）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¥683B + ¥0 ≈ ¥683B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現在EV/EBITDA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1.95x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グローバル同業中央値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3.0-4.5x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ターゲット倍率（低ROE割引）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3.0x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Target EV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¥350B × 3.0x = ¥1,050B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Net Debt控除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631M株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FV（EV/EBITDA）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¥1,050B / 631M = ¥1,664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4手法ブレンドFV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P/E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Justified P/B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¥1,863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¥1,664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ブレンドFV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¥1,834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リスクシナリオ定量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OP仮定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主要トリガー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35%（Rev.2↑）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¥80B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Section 232自動車25%発動・IEEPA復活・中国シェア加速消失・ホルムズ長期化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45%（Rev.2↓）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¥250B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IEEPA全額還付継続・CX-5新型好調・中国現状維持・関税再設定なし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¥320B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IEEPA+日米通商協定恒久撤廃+CX-5ヒット+Toyota提携深化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確率加重FV（Rev.2）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¥1,645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0.35×900+0.45×1,800+0.20×2,600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→TP設定（Rev.2）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保守的丸め（旧¥1,700→▲¥100）</w:t>
            </w:r>
          </w:p>
        </w:tc>
      </w:tr>
    </w:tbl>
    <w:p/>
    <w:p>
      <w:r>
        <w:rPr>
          <w:rFonts w:ascii="Meiryo UI" w:hAnsi="Meiryo UI"/>
          <w:sz w:val="20"/>
        </w:rPr>
        <w:t>→ 現値¥1,082に対しTP¥1,600は +47.9%アップサイド（Rev.2修正後）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Q-1定性変化（FY3/26 3Q：2025年10月-12月）</w:t>
      </w:r>
    </w:p>
    <w:p/>
    <w:p>
      <w:pPr>
        <w:pStyle w:val="Heading3"/>
      </w:pPr>
      <w:r>
        <w:rPr>
          <w:rFonts w:ascii="Meiryo UI" w:hAnsi="Meiryo UI"/>
          <w:color w:val="2E74B5"/>
        </w:rPr>
        <w:t>決算概要（Bloomberg/3Q決算短信）</w:t>
      </w:r>
    </w:p>
    <w:p>
      <w:pPr>
        <w:pStyle w:val="ListBullet"/>
      </w:pPr>
      <w:r>
        <w:rPr>
          <w:rFonts w:ascii="Meiryo UI" w:hAnsi="Meiryo UI"/>
          <w:sz w:val="20"/>
        </w:rPr>
        <w:t>3Q累計OP: ¥30.7B（QoQ見ていないが全年ガイダンス¥50Bに対し61%進捗）</w:t>
      </w:r>
    </w:p>
    <w:p>
      <w:pPr>
        <w:pStyle w:val="ListBullet"/>
      </w:pPr>
      <w:r>
        <w:rPr>
          <w:rFonts w:ascii="Meiryo UI" w:hAnsi="Meiryo UI"/>
          <w:sz w:val="20"/>
        </w:rPr>
        <w:t>通期ガイダンス据え置き: ¥50B（関税後）</w:t>
      </w:r>
    </w:p>
    <w:p>
      <w:pPr>
        <w:pStyle w:val="ListBullet"/>
      </w:pPr>
      <w:r>
        <w:rPr>
          <w:rFonts w:ascii="Meiryo UI" w:hAnsi="Meiryo UI"/>
          <w:sz w:val="20"/>
        </w:rPr>
        <w:t>コスト削減: 変動費¥15B削減（年間目標¥100B）・固定費削減進捗中</w:t>
      </w:r>
    </w:p>
    <w:p>
      <w:pPr>
        <w:pStyle w:val="ListBullet"/>
      </w:pPr>
      <w:r>
        <w:rPr>
          <w:rFonts w:ascii="Meiryo UI" w:hAnsi="Meiryo UI"/>
          <w:sz w:val="20"/>
        </w:rPr>
        <w:t>在庫水準: 北米在庫正常化進行中（適正水準に向けて調整）</w:t>
      </w:r>
    </w:p>
    <w:p/>
    <w:p>
      <w:pPr>
        <w:pStyle w:val="Heading3"/>
      </w:pPr>
      <w:r>
        <w:rPr>
          <w:rFonts w:ascii="Meiryo UI" w:hAnsi="Meiryo UI"/>
          <w:color w:val="2E74B5"/>
        </w:rPr>
        <w:t>定性変化の注目点</w:t>
      </w:r>
    </w:p>
    <w:p>
      <w:pPr>
        <w:pStyle w:val="ListNumber"/>
      </w:pPr>
      <w:r>
        <w:rPr>
          <w:rFonts w:ascii="Meiryo UI" w:hAnsi="Meiryo UI"/>
          <w:sz w:val="20"/>
        </w:rPr>
        <w:t>ホルムズ封鎖による中東向け生産停止（4月〜）: 宇品・防府工場の中東向けラインが影響。ただし対米向けラインへの転換が可能か要確認。</w:t>
      </w:r>
    </w:p>
    <w:p>
      <w:pPr>
        <w:pStyle w:val="ListNumber"/>
      </w:pPr>
      <w:r>
        <w:rPr>
          <w:rFonts w:ascii="Meiryo UI" w:hAnsi="Meiryo UI"/>
          <w:sz w:val="20"/>
        </w:rPr>
        <w:t>CX-5フルモデルチェンジ準備: 2026年モデル（北米向け）はハイブリッドなし。競合RAV4/CR-Vに対して継続的な弱点。</w:t>
      </w:r>
    </w:p>
    <w:p>
      <w:pPr>
        <w:pStyle w:val="ListNumber"/>
      </w:pPr>
      <w:r>
        <w:rPr>
          <w:rFonts w:ascii="Meiryo UI" w:hAnsi="Meiryo UI"/>
          <w:sz w:val="20"/>
        </w:rPr>
        <w:t>中国市場の構造的撤退加速: CX-70/90の前年割れ継続（2025年11月〜2026年1月）。NEV対応は2029年以降。</w:t>
      </w:r>
    </w:p>
    <w:p>
      <w:pPr>
        <w:pStyle w:val="ListNumber"/>
      </w:pPr>
      <w:r>
        <w:rPr>
          <w:rFonts w:ascii="Meiryo UI" w:hAnsi="Meiryo UI"/>
          <w:sz w:val="20"/>
        </w:rPr>
        <w:t>アラバマ工場（MTMUS）フル稼働: トヨタとの合弁工場は米国製造扱いでIEEPA非対象。生産比率を米国に移すほど関税リスク低下。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ガイダンス考察</w:t>
      </w:r>
    </w:p>
    <w:p/>
    <w:p>
      <w:pPr>
        <w:pStyle w:val="Heading3"/>
      </w:pPr>
      <w:r>
        <w:rPr>
          <w:rFonts w:ascii="Meiryo UI" w:hAnsi="Meiryo UI"/>
          <w:color w:val="2E74B5"/>
        </w:rPr>
        <w:t>FY3/26通期ガイダンス評価</w:t>
      </w:r>
    </w:p>
    <w:p>
      <w:pPr>
        <w:pStyle w:val="ListBullet"/>
      </w:pPr>
      <w:r>
        <w:rPr>
          <w:rFonts w:ascii="Meiryo UI" w:hAnsi="Meiryo UI"/>
          <w:sz w:val="20"/>
        </w:rPr>
        <w:t>OP¥50B達成確度: 中程度（3Q累計¥30.7B、残り1Q¥19.3B必要）</w:t>
      </w:r>
    </w:p>
    <w:p>
      <w:pPr>
        <w:pStyle w:val="ListBullet"/>
      </w:pPr>
      <w:r>
        <w:rPr>
          <w:rFonts w:ascii="Meiryo UI" w:hAnsi="Meiryo UI"/>
          <w:sz w:val="20"/>
        </w:rPr>
        <w:t>4Q通常はQ3より低水準だが年度末販売促進あり</w:t>
      </w:r>
    </w:p>
    <w:p>
      <w:pPr>
        <w:pStyle w:val="ListBullet"/>
      </w:pPr>
      <w:r>
        <w:rPr>
          <w:rFonts w:ascii="Meiryo UI" w:hAnsi="Meiryo UI"/>
          <w:sz w:val="20"/>
        </w:rPr>
        <w:t>Bloombergアナリスト総じてガイダンス達成に懐疑的</w:t>
      </w:r>
    </w:p>
    <w:p/>
    <w:p>
      <w:pPr>
        <w:pStyle w:val="Heading3"/>
      </w:pPr>
      <w:r>
        <w:rPr>
          <w:rFonts w:ascii="Meiryo UI" w:hAnsi="Meiryo UI"/>
          <w:color w:val="2E74B5"/>
        </w:rPr>
        <w:t>FY3/27ガイダンス（5月発表予定）への注目点</w:t>
      </w:r>
    </w:p>
    <w:p>
      <w:pPr>
        <w:pStyle w:val="ListBullet"/>
      </w:pPr>
      <w:r>
        <w:rPr>
          <w:rFonts w:ascii="Meiryo UI" w:hAnsi="Meiryo UI"/>
          <w:sz w:val="20"/>
        </w:rPr>
        <w:t>最大の変数: IEEPA還付のガイダンス反映方法</w:t>
      </w:r>
    </w:p>
    <w:p>
      <w:pPr>
        <w:pStyle w:val="ListBullet"/>
      </w:pPr>
      <w:r>
        <w:rPr>
          <w:rFonts w:ascii="Meiryo UI" w:hAnsi="Meiryo UI"/>
          <w:sz w:val="20"/>
        </w:rPr>
        <w:t>還付額をどの会計年度に計上するか（一時利益 vs 通常営業）</w:t>
      </w:r>
    </w:p>
    <w:p>
      <w:pPr>
        <w:pStyle w:val="ListBullet"/>
      </w:pPr>
      <w:r>
        <w:rPr>
          <w:rFonts w:ascii="Meiryo UI" w:hAnsi="Meiryo UI"/>
          <w:sz w:val="20"/>
        </w:rPr>
        <w:t>FY3/27 OP¥250B以上なら本レポートのBase FV実現</w:t>
      </w:r>
    </w:p>
    <w:p>
      <w:pPr>
        <w:pStyle w:val="ListBullet"/>
      </w:pPr>
      <w:r>
        <w:rPr>
          <w:rFonts w:ascii="Meiryo UI" w:hAnsi="Meiryo UI"/>
          <w:sz w:val="20"/>
        </w:rPr>
        <w:t>ガイダンスが保守的（¥100-150B）でも実態は¥250B水準と判断</w:t>
      </w:r>
    </w:p>
    <w:p>
      <w:pPr>
        <w:pStyle w:val="ListBullet"/>
      </w:pPr>
      <w:r>
        <w:rPr>
          <w:rFonts w:ascii="Meiryo UI" w:hAnsi="Meiryo UI"/>
          <w:sz w:val="20"/>
        </w:rPr>
        <w:t>為替感応度（UBS試算）: 円1%高→EPS▲13%。USD/JPY160±5円のボラが大きな変数。</w:t>
      </w:r>
    </w:p>
    <w:p>
      <w:pPr>
        <w:pStyle w:val="ListBullet"/>
      </w:pPr>
      <w:r>
        <w:rPr>
          <w:rFonts w:ascii="Meiryo UI" w:hAnsi="Meiryo UI"/>
          <w:sz w:val="20"/>
        </w:rPr>
        <w:t>販売台数: 1.145M台（みずほ予想） ホルムズ影響で中東向け調整が若干のネガ。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不動産含み益考察</w:t>
      </w:r>
    </w:p>
    <w:p/>
    <w:p>
      <w:pPr>
        <w:pStyle w:val="Heading3"/>
      </w:pPr>
      <w:r>
        <w:rPr>
          <w:rFonts w:ascii="Meiryo UI" w:hAnsi="Meiryo UI"/>
          <w:color w:val="2E74B5"/>
        </w:rPr>
        <w:t>マツダの主要不動産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不動産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場所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推定含み益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本社・工場用地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広島府中市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推定¥100-150B（簿価は建設当時原価、時価未更新）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広島市内所有土地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広島都市部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推定¥30-50B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東京・大阪営業拠点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都市部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推定¥10-20B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合計推定含み益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¥140-220B（1株当たり¥222-349）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含み益PBR調整後: BPS ¥2,847 + ¥250 ≈ ¥3,097</w:t>
      </w:r>
    </w:p>
    <w:p>
      <w:pPr>
        <w:pStyle w:val="ListBullet"/>
      </w:pPr>
      <w:r>
        <w:rPr>
          <w:rFonts w:ascii="Meiryo UI" w:hAnsi="Meiryo UI"/>
          <w:sz w:val="20"/>
        </w:rPr>
        <w:t>調整後Justified P/B: 8% / 11.10% × ¥3,097 = ¥2,230</w:t>
      </w:r>
    </w:p>
    <w:p>
      <w:pPr>
        <w:pStyle w:val="ListBullet"/>
      </w:pPr>
      <w:r>
        <w:rPr>
          <w:rFonts w:ascii="Meiryo UI" w:hAnsi="Meiryo UI"/>
          <w:sz w:val="20"/>
        </w:rPr>
        <w:t>含み益を反映したFV押上効果: +¥150/株程度</w:t>
      </w:r>
    </w:p>
    <w:p>
      <w:pPr>
        <w:pStyle w:val="ListBullet"/>
      </w:pPr>
      <w:r>
        <w:rPr>
          <w:rFonts w:ascii="Meiryo UI" w:hAnsi="Meiryo UI"/>
          <w:sz w:val="20"/>
        </w:rPr>
        <w:t>注：マツダは製造業のため不動産含み益の顕在化（売却等）は主業に影響するリスクあり。触媒としては現実的でないが、清算価値としての安全弁として認識する。</w:t>
      </w:r>
    </w:p>
    <w:p/>
    <w:p>
      <w:r>
        <w:rPr>
          <w:rFonts w:ascii="Meiryo UI" w:hAnsi="Meiryo UI"/>
          <w:sz w:val="20"/>
        </w:rPr>
        <w:t>「含み益の触媒」: 広島工場の一部土地の売却×リースバックによる自社株買い財源化は理論上可能。ただしトヨタとの資本関係上、現実的には低確率（触媒確率10%以下）。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Bloomberg アナリスト評価一覧（参考）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証券会社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アナリスト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IEEPA考慮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SMBC日興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牧和典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Buy TP¥1,500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03/12/26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✗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みずほ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石山佳尚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 TP¥1,200↓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04/14/26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箱守英次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Neutral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03/05/26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✗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UBS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高橋浩平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Neutral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04/19/26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✗（最新も未反映）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SBI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遠藤浩二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02/16/26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✗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Bloomberg平均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Neutral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~¥1,250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全社IEEPA未反映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本レポート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浅井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2026/04/22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✓（フル反映）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IR質問状（竹村トレードカンパニー 浅井名義）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件名：7261 マツダ様 投資家質問 — 竹村トレードカンパニー</w:t>
      </w:r>
    </w:p>
    <w:p/>
    <w:p>
      <w:r>
        <w:rPr>
          <w:rFonts w:ascii="Meiryo UI" w:hAnsi="Meiryo UI"/>
          <w:sz w:val="20"/>
        </w:rPr>
        <w:t>マツダ IR推進室 ご担当者様</w:t>
      </w:r>
    </w:p>
    <w:p/>
    <w:p>
      <w:r>
        <w:rPr>
          <w:rFonts w:ascii="Meiryo UI" w:hAnsi="Meiryo UI"/>
          <w:sz w:val="20"/>
        </w:rPr>
        <w:t>竹村トレードカンパニーの浅井と申します。投資判断に際し、以下5点についてご教示いただけますでしょうか。</w:t>
      </w:r>
    </w:p>
    <w:p/>
    <w:p>
      <w:r>
        <w:rPr>
          <w:rFonts w:ascii="Meiryo UI" w:hAnsi="Meiryo UI"/>
          <w:sz w:val="20"/>
        </w:rPr>
        <w:t>Q1（IEEPA関税還付・最重要）: 米国CBPが開始したIEEPA関税還付手続きについて、御社が過去1年間に納付した対米輸出車両に係るIEEPA相互関税の概算金額、および御社のFY3/27業績ガイダンスへの反映方針をお教えください。具体的には、IEEPA分（24%）とSection 232分（25%鉄鋼・アルミ）の内訳、さらに在米生産（MTMUS・AAM）と日本生産の比率（台数ベース）を開示いただけますか。</w:t>
      </w:r>
    </w:p>
    <w:p/>
    <w:p>
      <w:r>
        <w:rPr>
          <w:rFonts w:ascii="Meiryo UI" w:hAnsi="Meiryo UI"/>
          <w:sz w:val="20"/>
        </w:rPr>
        <w:t>Q2（FY3/27ガイダンス）: 5月発表予定のFY3/27通期ガイダンスにおいて、関税変動影響を織り込む方針はございますか。また、現時点の御社社内シミュレーションにおける想定関税負担はどのように変化しているか、差し支えない範囲でお聞かせください。</w:t>
      </w:r>
    </w:p>
    <w:p/>
    <w:p>
      <w:r>
        <w:rPr>
          <w:rFonts w:ascii="Meiryo UI" w:hAnsi="Meiryo UI"/>
          <w:sz w:val="20"/>
        </w:rPr>
        <w:t>Q3（CX-5新型・北米戦略）: 2026年秋北米向け新型CX-5はハイブリッドオプションを持たない方針で確定でしょうか。競合RAV4がハイブリッドで北米シェアを拡大している中、マツダの差別化ポイントとFY3/27以降の北米販売台数見通しをお聞かせください。</w:t>
      </w:r>
    </w:p>
    <w:p/>
    <w:p>
      <w:r>
        <w:rPr>
          <w:rFonts w:ascii="Meiryo UI" w:hAnsi="Meiryo UI"/>
          <w:sz w:val="20"/>
        </w:rPr>
        <w:t>Q4（中国戦略・NEV対応タイムライン）: 中国市場においてNEV（BEV・PHEV）の主力モデル投入予定を2029年以降とされているとの情報がありますが、CX-60 PHEVの中国展開状況と合わせて、2026-2028年の中国販売台数想定についてお教えください。</w:t>
      </w:r>
    </w:p>
    <w:p/>
    <w:p>
      <w:r>
        <w:rPr>
          <w:rFonts w:ascii="Meiryo UI" w:hAnsi="Meiryo UI"/>
          <w:sz w:val="20"/>
        </w:rPr>
        <w:t>Q5（ネット現金と株主還元）: 自動車事業単体（ファイナンス子会社除く）のネット現金・負債水準と、FY3/27における自社株買いや配当増の意向をお聞かせください。IEEPA関税還付による営業キャッシュフロー改善を踏まえた還元方針についても伺いたく存じます。</w:t>
      </w:r>
    </w:p>
    <w:p/>
    <w:p>
      <w:r>
        <w:rPr>
          <w:rFonts w:ascii="Meiryo UI" w:hAnsi="Meiryo UI"/>
          <w:sz w:val="20"/>
        </w:rPr>
        <w:t>以上、ご多忙のところ誠に恐れ入りますが、ご回答いただけますと幸いです。</w:t>
      </w:r>
    </w:p>
    <w:p/>
    <w:p>
      <w:r>
        <w:rPr>
          <w:rFonts w:ascii="Meiryo UI" w:hAnsi="Meiryo UI"/>
          <w:sz w:val="20"/>
        </w:rPr>
        <w:t>竹村トレードカンパニー</w:t>
      </w:r>
    </w:p>
    <w:p>
      <w:r>
        <w:rPr>
          <w:rFonts w:ascii="Meiryo UI" w:hAnsi="Meiryo UI"/>
          <w:sz w:val="20"/>
        </w:rPr>
        <w:t>浅井</w:t>
      </w:r>
    </w:p>
    <w:p>
      <w:r>
        <w:rPr>
          <w:rFonts w:ascii="Meiryo UI" w:hAnsi="Meiryo UI"/>
          <w:sz w:val="20"/>
        </w:rPr>
        <w:t>（メールアドレス：[会社メール]）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投資判断まとめ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浅井スコア：+60（BUY）　Rev.2：将来関税リスク▲5pt反映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IEEPA関税還付インパクト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¥120B還付でコンセンサスEPS比+¥100/株の上振れ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バリュエーション割安感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EV/EBITDA1.95x・PBR0.38x（いずれも極端割安）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配当利回り5.1%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下値支持力として機能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構造的中国リスク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NEV対応2029年以降、中国シェア消失が不可逆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EV戦略の遅れ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2029年BEV=3年のリードタイム不在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高β（1.45）× 低ROE（0.49%）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リスク対比リターン効率がSUBARU等より劣る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ホルムズ・中東生産停止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短期的生産・販売への影響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将来関税再設定リスク（Rev.2追加）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Section 232自動車25%発動確率30-40%・ネット現金バッファー薄い分SUBARUより脆弱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最終評価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判断：BUY（STRONG BUYではない）　Rev.2改訂</w:t>
        <w:br/>
        <w:t>TP：¥1,600（確率加重FV・Rev.2。旧¥1,700）</w:t>
        <w:br/>
        <w:t>現値：¥1,082</w:t>
        <w:br/>
        <w:t>Upside：+47.9%（Rev.2修正後。旧+57.1%）</w:t>
        <w:br/>
        <w:t>SL（ストップロス）：¥900（-16.8%）</w:t>
        <w:br/>
        <w:t>Risk/Reward：2.8:1（十分。旧3.4:1から若干低下）</w:t>
        <w:br/>
        <w:br/>
        <w:t>BUYだが注意点（Rev.2追記）：</w:t>
        <w:br/>
        <w:t>- SUBARU（+85）は将来関税リスクをネット現金¥1.4Tで吸収可能</w:t>
        <w:br/>
        <w:t>- マツダは現金バッファー薄く、Section 232再発動でFV¥700-800に急落リスク</w:t>
        <w:br/>
        <w:t>- SUBARU（+85）との質的差：「ネット現金の安全弁の有無」が決定的</w:t>
        <w:br/>
        <w:t>- IEEPA還付が最大のカタリスト — 確定後にエントリー推奨</w:t>
        <w:br/>
        <w:t>- 長期保有には向かない（EV戦略不在＋将来関税リスクが中期上値を抑制）</w:t>
      </w:r>
    </w:p>
    <w:p/>
    <w:p>
      <w:pPr>
        <w:pStyle w:val="Heading3"/>
      </w:pPr>
      <w:r>
        <w:rPr>
          <w:rFonts w:ascii="Meiryo UI" w:hAnsi="Meiryo UI"/>
          <w:color w:val="2E74B5"/>
        </w:rPr>
        <w:t>アクションプラン</w:t>
      </w:r>
    </w:p>
    <w:p>
      <w:pPr>
        <w:pStyle w:val="ListNumber"/>
      </w:pPr>
      <w:r>
        <w:rPr>
          <w:rFonts w:ascii="Meiryo UI" w:hAnsi="Meiryo UI"/>
          <w:sz w:val="20"/>
        </w:rPr>
        <w:t>即時: IR質問状送付（Q1 IEEPA内訳確認が最優先）</w:t>
      </w:r>
    </w:p>
    <w:p>
      <w:pPr>
        <w:pStyle w:val="ListNumber"/>
      </w:pPr>
      <w:r>
        <w:rPr>
          <w:rFonts w:ascii="Meiryo UI" w:hAnsi="Meiryo UI"/>
          <w:sz w:val="20"/>
        </w:rPr>
        <w:t>FY3/27ガイダンス発表（5月）前後: ガイダンスが¥200B+なら本格ポジション検討</w:t>
      </w:r>
    </w:p>
    <w:p>
      <w:pPr>
        <w:pStyle w:val="ListNumber"/>
      </w:pPr>
      <w:r>
        <w:rPr>
          <w:rFonts w:ascii="Meiryo UI" w:hAnsi="Meiryo UI"/>
          <w:sz w:val="20"/>
        </w:rPr>
        <w:t>エントリー価格: ¥1,000-1,050（現値±3%レンジ）での分割買い</w:t>
      </w:r>
    </w:p>
    <w:p>
      <w:pPr>
        <w:pStyle w:val="ListNumber"/>
      </w:pPr>
      <w:r>
        <w:rPr>
          <w:rFonts w:ascii="Meiryo UI" w:hAnsi="Meiryo UI"/>
          <w:sz w:val="20"/>
        </w:rPr>
        <w:t>利確目標（Rev.2）: ¥1,500（+39%）で半分利確、残り¥1,600（+48%）で全利確（旧¥1,600/¥1,800から保守的に変更）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本レポートは投資判断の参考情報として作成されたものであり、投資勧誘を目的としたものではありません。</w:t>
      </w:r>
    </w:p>
    <w:p>
      <w:r>
        <w:rPr>
          <w:rFonts w:ascii="Meiryo UI" w:hAnsi="Meiryo UI"/>
          <w:sz w:val="20"/>
        </w:rPr>
        <w:t>竹村トレードカンパニー 浅井 2026年4月22日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