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Research：7270 SUBARU Corporation</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Deep Research：7270 SUBARU Corporation</w:t>
      </w:r>
    </w:p>
    <w:p>
      <w:r>
        <w:rPr>
          <w:rFonts w:ascii="Meiryo UI" w:hAnsi="Meiryo UI"/>
          <w:sz w:val="20"/>
        </w:rPr>
        <w:t>作成日：2026年4月22日 | 竹村トレードカンパニー アナリストチーム</w:t>
      </w:r>
    </w:p>
    <w:p>
      <w:r>
        <w:rPr>
          <w:rFonts w:ascii="Meiryo UI" w:hAnsi="Meiryo UI"/>
          <w:sz w:val="20"/>
        </w:rPr>
        <w:t>Bloomberg DR統合版 + IEEPA還付特別分析</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STRONG BUY（Bloomberg FV¥2,800は旧情報。IEEPA違憲→¥276B関税撤廃でFY3/27 OP¥250-350B回帰。EV/EBITDA1.1xは清算価値以下）</w:t>
            </w:r>
          </w:p>
        </w:tc>
      </w:tr>
      <w:tr>
        <w:tc>
          <w:tcPr>
            <w:tcW w:type="dxa" w:w="4703"/>
            <w:shd w:val="clear" w:color="auto" w:fill="DDEBF7"/>
          </w:tcPr>
          <w:p>
            <w:r>
              <w:rPr>
                <w:rFonts w:ascii="Meiryo UI" w:hAnsi="Meiryo UI"/>
                <w:sz w:val="18"/>
              </w:rPr>
              <w:t>FV（ブレンド中央値）</w:t>
            </w:r>
          </w:p>
        </w:tc>
        <w:tc>
          <w:tcPr>
            <w:tcW w:type="dxa" w:w="4703"/>
            <w:shd w:val="clear" w:color="auto" w:fill="DDEBF7"/>
          </w:tcPr>
          <w:p>
            <w:r>
              <w:rPr>
                <w:rFonts w:ascii="Meiryo UI" w:hAnsi="Meiryo UI"/>
                <w:sz w:val="18"/>
              </w:rPr>
              <w:t>¥3,600（レンジ¥2,800〜¥4,800）Rev.2：将来関税再設定リスクを反映し¥3,700→¥3,600に下方修正</w:t>
            </w:r>
          </w:p>
        </w:tc>
      </w:tr>
      <w:tr>
        <w:tc>
          <w:tcPr>
            <w:tcW w:type="dxa" w:w="4703"/>
          </w:tcPr>
          <w:p>
            <w:r>
              <w:rPr>
                <w:rFonts w:ascii="Meiryo UI" w:hAnsi="Meiryo UI"/>
                <w:sz w:val="18"/>
              </w:rPr>
              <w:t>安全域</w:t>
            </w:r>
          </w:p>
        </w:tc>
        <w:tc>
          <w:tcPr>
            <w:tcW w:type="dxa" w:w="4703"/>
          </w:tcPr>
          <w:p>
            <w:r>
              <w:rPr>
                <w:rFonts w:ascii="Meiryo UI" w:hAnsi="Meiryo UI"/>
                <w:sz w:val="18"/>
              </w:rPr>
              <w:t>現値¥2,570 → FV比+40%。ネット現金¥1.4T（¥1,958/株）が床を形成。将来Section 232リスク30%考慮後でも+40%安全域確保</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4/22速報：IEEPA関税¥276B/年が連邦最高裁違憲判決で還付開始。Subaru対米輸出（日本製）の24%相互関税は全額IEEPA対象。FY3/27 OP Bloomberg予想¥200-228B→修正後¥280-350B。コンセンサスの大幅上方修正不可避</w:t>
            </w:r>
          </w:p>
        </w:tc>
      </w:tr>
      <w:tr>
        <w:tc>
          <w:tcPr>
            <w:tcW w:type="dxa" w:w="4703"/>
          </w:tcPr>
          <w:p>
            <w:r>
              <w:rPr>
                <w:rFonts w:ascii="Meiryo UI" w:hAnsi="Meiryo UI"/>
                <w:sz w:val="18"/>
              </w:rPr>
              <w:t>弾丸②</w:t>
            </w:r>
          </w:p>
        </w:tc>
        <w:tc>
          <w:tcPr>
            <w:tcW w:type="dxa" w:w="4703"/>
          </w:tcPr>
          <w:p>
            <w:r>
              <w:rPr>
                <w:rFonts w:ascii="Meiryo UI" w:hAnsi="Meiryo UI"/>
                <w:sz w:val="18"/>
              </w:rPr>
              <w:t>EV/EBITDA 1.1x（現EV¥440B÷修正後EBITDA¥400B）はグローバル自動車セクター平均4-6xに対し75-82%ディスカウント。トヨタ4x・ホンダ3x・スズキ5xと比較して論外の安さ。ネット現金¥1.4T=市場価値の76%</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FY3/26の¥276B関税+¥28B環境クレジット減損+¥11B品質費用のワン・オフ3点が全てFY3/27には非発生。UBS FY3/27E ¥228Bすらタリフ軽減¥50Bしか見込んでいない旧前提。IEEPA完全撤廃を加えると+¥200B追加改善余地</w:t>
            </w:r>
          </w:p>
        </w:tc>
      </w:tr>
      <w:tr>
        <w:tc>
          <w:tcPr>
            <w:tcW w:type="dxa" w:w="4703"/>
          </w:tcPr>
          <w:p>
            <w:r>
              <w:rPr>
                <w:rFonts w:ascii="Meiryo UI" w:hAnsi="Meiryo UI"/>
                <w:sz w:val="18"/>
              </w:rPr>
              <w:t>主要リスク</w:t>
            </w:r>
          </w:p>
        </w:tc>
        <w:tc>
          <w:tcPr>
            <w:tcW w:type="dxa" w:w="4703"/>
          </w:tcPr>
          <w:p>
            <w:r>
              <w:rPr>
                <w:rFonts w:ascii="Meiryo UI" w:hAnsi="Meiryo UI"/>
                <w:sz w:val="18"/>
              </w:rPr>
              <w:t>USD/JPY円高（IEEPA撤廃→USD売り）でEPS¥13-15B/¥1円感応。米国市場シェア低下（3月-23.5%）の構造問題は関税解除後も継続。ホルムズ封鎖→燃料高→SUV需要圧力</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現値¥2,570はSTRONG BUY。本決算（2026年5月）でFY3/27ガイダンスがIEEPA除去を反映した瞬間が最大カタリスト。ポジション最大2.0%（ネット現金が床）。SL¥2,100</w:t>
            </w:r>
          </w:p>
        </w:tc>
      </w:tr>
    </w:tbl>
    <w:p/>
    <w:p>
      <w:r>
        <w:rPr>
          <w:rFonts w:ascii="Meiryo UI" w:hAnsi="Meiryo UI"/>
          <w:sz w:val="20"/>
        </w:rPr>
        <w:t>現在株価：¥2,570.50（2026/4/22）　時価総額：¥1.84兆（715.8M株）　ネット現金：¥1.4兆（¥1,958/株）　EV：¥440B　P/B：0.67x（BPS¥3,836）　配当利回り：4.5%（JGB対比+2.1%）</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https://www.subaru.co.jp/ir/</w:t>
      </w:r>
    </w:p>
    <w:p>
      <w:pPr>
        <w:pStyle w:val="ListBullet"/>
      </w:pPr>
      <w:r>
        <w:rPr>
          <w:rFonts w:ascii="Meiryo UI" w:hAnsi="Meiryo UI"/>
          <w:sz w:val="20"/>
        </w:rPr>
        <w:t>次回決算： FY3/26 本決算（2026年5月発表予定）</w:t>
      </w:r>
    </w:p>
    <w:p>
      <w:pPr>
        <w:pStyle w:val="ListBullet"/>
      </w:pPr>
      <w:r>
        <w:rPr>
          <w:rFonts w:ascii="Meiryo UI" w:hAnsi="Meiryo UI"/>
          <w:sz w:val="20"/>
        </w:rPr>
        <w:t>IR担当： 経営企画部 IR推進課</w:t>
      </w:r>
    </w:p>
    <w:p>
      <w:pPr>
        <w:pStyle w:val="ListBullet"/>
      </w:pPr>
      <w:r>
        <w:rPr>
          <w:rFonts w:ascii="Meiryo UI" w:hAnsi="Meiryo UI"/>
          <w:sz w:val="20"/>
        </w:rPr>
        <w:t>重要： 本決算時のFY3/27ガイダンスがIEEPA除去を反映するかが最大の観察ポイント</w:t>
      </w:r>
    </w:p>
    <w:p/>
    <w:p>
      <w:r>
        <w:t>──────────────────────────────────────────────────</w:t>
      </w:r>
    </w:p>
    <w:p/>
    <w:p>
      <w:pPr>
        <w:pStyle w:val="Heading2"/>
      </w:pPr>
      <w:r>
        <w:rPr>
          <w:rFonts w:ascii="Meiryo UI" w:hAnsi="Meiryo UI"/>
          <w:color w:val="2E74B5"/>
        </w:rPr>
        <w:t>【IEEPA還付：Bloomberg分析の決定的アップデート】</w:t>
      </w:r>
    </w:p>
    <w:p/>
    <w:p>
      <w:pPr>
        <w:pStyle w:val="Heading3"/>
      </w:pPr>
      <w:r>
        <w:rPr>
          <w:rFonts w:ascii="Meiryo UI" w:hAnsi="Meiryo UI"/>
          <w:color w:val="2E74B5"/>
        </w:rPr>
        <w:t>Bloomberg DRが見落としていた最大変数</w:t>
      </w:r>
    </w:p>
    <w:p/>
    <w:p>
      <w:r>
        <w:rPr>
          <w:rFonts w:ascii="Meiryo UI" w:hAnsi="Meiryo UI"/>
          <w:sz w:val="20"/>
        </w:rPr>
        <w:t>Bloomberg Research（04/19/26〜04/20/26時点の各社レポートを集約）は以下を前提としていた：</w:t>
      </w:r>
    </w:p>
    <w:p>
      <w:pPr>
        <w:pStyle w:val="ListBullet"/>
      </w:pPr>
      <w:r>
        <w:rPr>
          <w:rFonts w:ascii="Meiryo UI" w:hAnsi="Meiryo UI"/>
          <w:sz w:val="20"/>
        </w:rPr>
        <w:t>IEEPA関税（24%相互関税）は継続</w:t>
      </w:r>
    </w:p>
    <w:p>
      <w:pPr>
        <w:pStyle w:val="ListBullet"/>
      </w:pPr>
      <w:r>
        <w:rPr>
          <w:rFonts w:ascii="Meiryo UI" w:hAnsi="Meiryo UI"/>
          <w:sz w:val="20"/>
        </w:rPr>
        <w:t>FY3/27 OP改善はタリフ軽減¥50Bのみ（Mizuho予想）</w:t>
      </w:r>
    </w:p>
    <w:p>
      <w:pPr>
        <w:pStyle w:val="ListBullet"/>
      </w:pPr>
      <w:r>
        <w:rPr>
          <w:rFonts w:ascii="Meiryo UI" w:hAnsi="Meiryo UI"/>
          <w:sz w:val="20"/>
        </w:rPr>
        <w:t>結論：Fair Value ¥2,400-2,800（Neutral）</w:t>
      </w:r>
    </w:p>
    <w:p/>
    <w:p>
      <w:r>
        <w:rPr>
          <w:rFonts w:ascii="Meiryo UI" w:hAnsi="Meiryo UI"/>
          <w:sz w:val="20"/>
        </w:rPr>
        <w:t>2026年4月22日 速報：これら前提が全て崩れた。</w:t>
      </w:r>
    </w:p>
    <w:p/>
    <w:p>
      <w:pPr>
        <w:shd w:val="clear" w:color="auto" w:fill="F2F2F2"/>
      </w:pPr>
      <w:r>
        <w:rPr>
          <w:rFonts w:ascii="Courier New" w:hAnsi="Courier New"/>
          <w:sz w:val="16"/>
        </w:rPr>
        <w:t>米CBP 4/20に CAPE（還付専用システム）稼働</w:t>
        <w:br/>
        <w:t xml:space="preserve">  ↓</w:t>
        <w:br/>
        <w:t>IEEPA違憲判決確定 → 相互関税・フェンタニル関税 → 全額還付対象</w:t>
        <w:br/>
        <w:t xml:space="preserve">  ↓</w:t>
        <w:br/>
        <w:t>日本向け24%相互関税 = IEEPA → 撤廃確定</w:t>
        <w:br/>
        <w:t xml:space="preserve">  ↓</w:t>
        <w:br/>
        <w:t>SUBARUの対米輸出コスト構造が根本から変わる</w:t>
      </w:r>
    </w:p>
    <w:p/>
    <w:p>
      <w:pPr>
        <w:pStyle w:val="Heading3"/>
      </w:pPr>
      <w:r>
        <w:rPr>
          <w:rFonts w:ascii="Meiryo UI" w:hAnsi="Meiryo UI"/>
          <w:color w:val="2E74B5"/>
        </w:rPr>
        <w:t>関税構造の精密解剖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関税種別</w:t>
            </w:r>
          </w:p>
        </w:tc>
        <w:tc>
          <w:tcPr>
            <w:tcW w:type="dxa" w:w="1881"/>
            <w:shd w:val="clear" w:color="auto" w:fill="2E74B5"/>
          </w:tcPr>
          <w:p>
            <w:r>
              <w:rPr>
                <w:rFonts w:ascii="Meiryo UI" w:hAnsi="Meiryo UI"/>
                <w:b/>
                <w:color w:val="FFFFFF"/>
                <w:sz w:val="18"/>
              </w:rPr>
              <w:t>税率</w:t>
            </w:r>
          </w:p>
        </w:tc>
        <w:tc>
          <w:tcPr>
            <w:tcW w:type="dxa" w:w="1881"/>
            <w:shd w:val="clear" w:color="auto" w:fill="2E74B5"/>
          </w:tcPr>
          <w:p>
            <w:r>
              <w:rPr>
                <w:rFonts w:ascii="Meiryo UI" w:hAnsi="Meiryo UI"/>
                <w:b/>
                <w:color w:val="FFFFFF"/>
                <w:sz w:val="18"/>
              </w:rPr>
              <w:t>法的根拠</w:t>
            </w:r>
          </w:p>
        </w:tc>
        <w:tc>
          <w:tcPr>
            <w:tcW w:type="dxa" w:w="1881"/>
            <w:shd w:val="clear" w:color="auto" w:fill="2E74B5"/>
          </w:tcPr>
          <w:p>
            <w:r>
              <w:rPr>
                <w:rFonts w:ascii="Meiryo UI" w:hAnsi="Meiryo UI"/>
                <w:b/>
                <w:color w:val="FFFFFF"/>
                <w:sz w:val="18"/>
              </w:rPr>
              <w:t>IEEPA判決影響</w:t>
            </w:r>
          </w:p>
        </w:tc>
        <w:tc>
          <w:tcPr>
            <w:tcW w:type="dxa" w:w="1881"/>
            <w:shd w:val="clear" w:color="auto" w:fill="2E74B5"/>
          </w:tcPr>
          <w:p>
            <w:r>
              <w:rPr>
                <w:rFonts w:ascii="Meiryo UI" w:hAnsi="Meiryo UI"/>
                <w:b/>
                <w:color w:val="FFFFFF"/>
                <w:sz w:val="18"/>
              </w:rPr>
              <w:t>SUBARU影響</w:t>
            </w:r>
          </w:p>
        </w:tc>
      </w:tr>
      <w:tr>
        <w:tc>
          <w:tcPr>
            <w:tcW w:type="dxa" w:w="1881"/>
          </w:tcPr>
          <w:p>
            <w:r>
              <w:rPr>
                <w:rFonts w:ascii="Meiryo UI" w:hAnsi="Meiryo UI"/>
                <w:sz w:val="18"/>
              </w:rPr>
              <w:t>日本相互関税</w:t>
            </w:r>
          </w:p>
        </w:tc>
        <w:tc>
          <w:tcPr>
            <w:tcW w:type="dxa" w:w="1881"/>
          </w:tcPr>
          <w:p>
            <w:r>
              <w:rPr>
                <w:rFonts w:ascii="Meiryo UI" w:hAnsi="Meiryo UI"/>
                <w:sz w:val="18"/>
              </w:rPr>
              <w:t>24%</w:t>
            </w:r>
          </w:p>
        </w:tc>
        <w:tc>
          <w:tcPr>
            <w:tcW w:type="dxa" w:w="1881"/>
          </w:tcPr>
          <w:p>
            <w:r>
              <w:rPr>
                <w:rFonts w:ascii="Meiryo UI" w:hAnsi="Meiryo UI"/>
                <w:sz w:val="18"/>
              </w:rPr>
              <w:t>IEEPA</w:t>
            </w:r>
          </w:p>
        </w:tc>
        <w:tc>
          <w:tcPr>
            <w:tcW w:type="dxa" w:w="1881"/>
          </w:tcPr>
          <w:p>
            <w:r>
              <w:rPr>
                <w:rFonts w:ascii="Meiryo UI" w:hAnsi="Meiryo UI"/>
                <w:sz w:val="18"/>
              </w:rPr>
              <w:t>✅ 違憲→撤廃</w:t>
            </w:r>
          </w:p>
        </w:tc>
        <w:tc>
          <w:tcPr>
            <w:tcW w:type="dxa" w:w="1881"/>
          </w:tcPr>
          <w:p>
            <w:r>
              <w:rPr>
                <w:rFonts w:ascii="Meiryo UI" w:hAnsi="Meiryo UI"/>
                <w:sz w:val="18"/>
              </w:rPr>
              <w:t>最大影響。日本工場からの輸出全車種</w:t>
            </w:r>
          </w:p>
        </w:tc>
      </w:tr>
      <w:tr>
        <w:tc>
          <w:tcPr>
            <w:tcW w:type="dxa" w:w="1881"/>
            <w:shd w:val="clear" w:color="auto" w:fill="DDEBF7"/>
          </w:tcPr>
          <w:p>
            <w:r>
              <w:rPr>
                <w:rFonts w:ascii="Meiryo UI" w:hAnsi="Meiryo UI"/>
                <w:sz w:val="18"/>
              </w:rPr>
              <w:t>鉄鋼・アルミ Section232</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Section232（大統領権限）</w:t>
            </w:r>
          </w:p>
        </w:tc>
        <w:tc>
          <w:tcPr>
            <w:tcW w:type="dxa" w:w="1881"/>
            <w:shd w:val="clear" w:color="auto" w:fill="DDEBF7"/>
          </w:tcPr>
          <w:p>
            <w:r>
              <w:rPr>
                <w:rFonts w:ascii="Meiryo UI" w:hAnsi="Meiryo UI"/>
                <w:sz w:val="18"/>
              </w:rPr>
              <w:t>❌ 継続</w:t>
            </w:r>
          </w:p>
        </w:tc>
        <w:tc>
          <w:tcPr>
            <w:tcW w:type="dxa" w:w="1881"/>
            <w:shd w:val="clear" w:color="auto" w:fill="DDEBF7"/>
          </w:tcPr>
          <w:p>
            <w:r>
              <w:rPr>
                <w:rFonts w:ascii="Meiryo UI" w:hAnsi="Meiryo UI"/>
                <w:sz w:val="18"/>
              </w:rPr>
              <w:t>部品調達コスト（軽微）</w:t>
            </w:r>
          </w:p>
        </w:tc>
      </w:tr>
      <w:tr>
        <w:tc>
          <w:tcPr>
            <w:tcW w:type="dxa" w:w="1881"/>
          </w:tcPr>
          <w:p>
            <w:r>
              <w:rPr>
                <w:rFonts w:ascii="Meiryo UI" w:hAnsi="Meiryo UI"/>
                <w:sz w:val="18"/>
              </w:rPr>
              <w:t>中国Section301</w:t>
            </w:r>
          </w:p>
        </w:tc>
        <w:tc>
          <w:tcPr>
            <w:tcW w:type="dxa" w:w="1881"/>
          </w:tcPr>
          <w:p>
            <w:r>
              <w:rPr>
                <w:rFonts w:ascii="Meiryo UI" w:hAnsi="Meiryo UI"/>
                <w:sz w:val="18"/>
              </w:rPr>
              <w:t>25%</w:t>
            </w:r>
          </w:p>
        </w:tc>
        <w:tc>
          <w:tcPr>
            <w:tcW w:type="dxa" w:w="1881"/>
          </w:tcPr>
          <w:p>
            <w:r>
              <w:rPr>
                <w:rFonts w:ascii="Meiryo UI" w:hAnsi="Meiryo UI"/>
                <w:sz w:val="18"/>
              </w:rPr>
              <w:t>Section301</w:t>
            </w:r>
          </w:p>
        </w:tc>
        <w:tc>
          <w:tcPr>
            <w:tcW w:type="dxa" w:w="1881"/>
          </w:tcPr>
          <w:p>
            <w:r>
              <w:rPr>
                <w:rFonts w:ascii="Meiryo UI" w:hAnsi="Meiryo UI"/>
                <w:sz w:val="18"/>
              </w:rPr>
              <w:t>❌ 継続</w:t>
            </w:r>
          </w:p>
        </w:tc>
        <w:tc>
          <w:tcPr>
            <w:tcW w:type="dxa" w:w="1881"/>
          </w:tcPr>
          <w:p>
            <w:r>
              <w:rPr>
                <w:rFonts w:ascii="Meiryo UI" w:hAnsi="Meiryo UI"/>
                <w:sz w:val="18"/>
              </w:rPr>
              <w:t>SUBARUは中国輸入ほぼなし→無影響</w:t>
            </w:r>
          </w:p>
        </w:tc>
      </w:tr>
    </w:tbl>
    <w:p/>
    <w:p>
      <w:r>
        <w:rPr>
          <w:rFonts w:ascii="Meiryo UI" w:hAnsi="Meiryo UI"/>
          <w:sz w:val="20"/>
        </w:rPr>
        <w:t>核心結論：¥276Bの関税負担のうち大部分がIEEPA=日本相互24%。FY3/27は¥200B超の関税コスト消滅見込み。</w:t>
      </w:r>
    </w:p>
    <w:p/>
    <w:p>
      <w:pPr>
        <w:pStyle w:val="Heading3"/>
      </w:pPr>
      <w:r>
        <w:rPr>
          <w:rFonts w:ascii="Meiryo UI" w:hAnsi="Meiryo UI"/>
          <w:color w:val="2E74B5"/>
        </w:rPr>
        <w:t>FY3/27 OP修正試算</w:t>
      </w:r>
    </w:p>
    <w:p/>
    <w:p>
      <w:pPr>
        <w:shd w:val="clear" w:color="auto" w:fill="F2F2F2"/>
      </w:pPr>
      <w:r>
        <w:rPr>
          <w:rFonts w:ascii="Courier New" w:hAnsi="Courier New"/>
          <w:sz w:val="16"/>
        </w:rPr>
        <w:t>FY3/26E OP ガイダンス              : ¥130B</w:t>
        <w:br/>
        <w:t xml:space="preserve">  + IEEPA関税撤廃（¥276B→¥25B推計）: +¥251B</w:t>
        <w:br/>
        <w:t xml:space="preserve">  + 環境クレジット減損不再現         : +¥28B</w:t>
        <w:br/>
        <w:t xml:space="preserve">  + 品質費用正規化                   : +¥10B</w:t>
        <w:br/>
        <w:t xml:space="preserve">  ▲ USD/JPY円高感応（¥158→¥150）   : ▲¥60B（¥7.5B/¥1円×8円）</w:t>
        <w:br/>
        <w:t xml:space="preserve">  ▲ 米国販売台数回復遅延             : ▲¥30B</w:t>
        <w:br/>
        <w:t xml:space="preserve">  ▲ Section232スチール継続           : ▲¥25B（残存分）</w:t>
        <w:br/>
        <w:t>──────────────────────────────────────</w:t>
        <w:br/>
        <w:t>FY3/27E OP（修正後）               : ¥304B（保守的ケース）</w:t>
        <w:br/>
        <w:t>FY3/27E OP（楽観シナリオ）         : ¥375B（USD/JPY158維持・台数回復）</w:t>
      </w:r>
    </w:p>
    <w:p/>
    <w:p>
      <w:r>
        <w:rPr>
          <w:rFonts w:ascii="Meiryo UI" w:hAnsi="Meiryo UI"/>
          <w:sz w:val="20"/>
        </w:rPr>
        <w:t>Bloomberg予想FY3/27 OP ¥200-228B → 修正後¥280-375B → コンセンサス上方修正必至</w:t>
      </w:r>
    </w:p>
    <w:p/>
    <w:p>
      <w:r>
        <w:t>──────────────────────────────────────────────────</w:t>
      </w:r>
    </w:p>
    <w:p/>
    <w:p>
      <w:pPr>
        <w:pStyle w:val="Heading2"/>
      </w:pPr>
      <w:r>
        <w:rPr>
          <w:rFonts w:ascii="Meiryo UI" w:hAnsi="Meiryo UI"/>
          <w:color w:val="2E74B5"/>
        </w:rPr>
        <w:t>【将来の関税再設定リスク：IEEPA後の新パラダイム】Rev.2追加</w:t>
      </w:r>
    </w:p>
    <w:p/>
    <w:p>
      <w:r>
        <w:rPr>
          <w:rFonts w:ascii="Meiryo UI" w:hAnsi="Meiryo UI"/>
          <w:sz w:val="20"/>
        </w:rPr>
        <w:t>&gt; 深井さんのご指摘：「将来についてはまた同種の関税が設定されるのではないか」— この懸念は正当であり、以下に精密分析する。</w:t>
      </w:r>
    </w:p>
    <w:p/>
    <w:p>
      <w:pPr>
        <w:pStyle w:val="Heading3"/>
      </w:pPr>
      <w:r>
        <w:rPr>
          <w:rFonts w:ascii="Meiryo UI" w:hAnsi="Meiryo UI"/>
          <w:color w:val="2E74B5"/>
        </w:rPr>
        <w:t>関税再設定の法的・政治的経路</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リスク経路</w:t>
            </w:r>
          </w:p>
        </w:tc>
        <w:tc>
          <w:tcPr>
            <w:tcW w:type="dxa" w:w="1881"/>
            <w:shd w:val="clear" w:color="auto" w:fill="2E74B5"/>
          </w:tcPr>
          <w:p>
            <w:r>
              <w:rPr>
                <w:rFonts w:ascii="Meiryo UI" w:hAnsi="Meiryo UI"/>
                <w:b/>
                <w:color w:val="FFFFFF"/>
                <w:sz w:val="18"/>
              </w:rPr>
              <w:t>発動主体</w:t>
            </w:r>
          </w:p>
        </w:tc>
        <w:tc>
          <w:tcPr>
            <w:tcW w:type="dxa" w:w="1881"/>
            <w:shd w:val="clear" w:color="auto" w:fill="2E74B5"/>
          </w:tcPr>
          <w:p>
            <w:r>
              <w:rPr>
                <w:rFonts w:ascii="Meiryo UI" w:hAnsi="Meiryo UI"/>
                <w:b/>
                <w:color w:val="FFFFFF"/>
                <w:sz w:val="18"/>
              </w:rPr>
              <w:t>浅井確率</w:t>
            </w:r>
          </w:p>
        </w:tc>
        <w:tc>
          <w:tcPr>
            <w:tcW w:type="dxa" w:w="1881"/>
            <w:shd w:val="clear" w:color="auto" w:fill="2E74B5"/>
          </w:tcPr>
          <w:p>
            <w:r>
              <w:rPr>
                <w:rFonts w:ascii="Meiryo UI" w:hAnsi="Meiryo UI"/>
                <w:b/>
                <w:color w:val="FFFFFF"/>
                <w:sz w:val="18"/>
              </w:rPr>
              <w:t>タイムライン</w:t>
            </w:r>
          </w:p>
        </w:tc>
        <w:tc>
          <w:tcPr>
            <w:tcW w:type="dxa" w:w="1881"/>
            <w:shd w:val="clear" w:color="auto" w:fill="2E74B5"/>
          </w:tcPr>
          <w:p>
            <w:r>
              <w:rPr>
                <w:rFonts w:ascii="Meiryo UI" w:hAnsi="Meiryo UI"/>
                <w:b/>
                <w:color w:val="FFFFFF"/>
                <w:sz w:val="18"/>
              </w:rPr>
              <w:t>SUBARU影響額</w:t>
            </w:r>
          </w:p>
        </w:tc>
      </w:tr>
      <w:tr>
        <w:tc>
          <w:tcPr>
            <w:tcW w:type="dxa" w:w="1881"/>
          </w:tcPr>
          <w:p>
            <w:r>
              <w:rPr>
                <w:rFonts w:ascii="Meiryo UI" w:hAnsi="Meiryo UI"/>
                <w:sz w:val="18"/>
              </w:rPr>
              <w:t>IEEPA同スキーム即時再発動</w:t>
            </w:r>
          </w:p>
        </w:tc>
        <w:tc>
          <w:tcPr>
            <w:tcW w:type="dxa" w:w="1881"/>
          </w:tcPr>
          <w:p>
            <w:r>
              <w:rPr>
                <w:rFonts w:ascii="Meiryo UI" w:hAnsi="Meiryo UI"/>
                <w:sz w:val="18"/>
              </w:rPr>
              <w:t>トランプ大統領令</w:t>
            </w:r>
          </w:p>
        </w:tc>
        <w:tc>
          <w:tcPr>
            <w:tcW w:type="dxa" w:w="1881"/>
          </w:tcPr>
          <w:p>
            <w:r>
              <w:rPr>
                <w:rFonts w:ascii="Meiryo UI" w:hAnsi="Meiryo UI"/>
                <w:sz w:val="18"/>
              </w:rPr>
              <w:t>5%</w:t>
            </w:r>
          </w:p>
        </w:tc>
        <w:tc>
          <w:tcPr>
            <w:tcW w:type="dxa" w:w="1881"/>
          </w:tcPr>
          <w:p>
            <w:r>
              <w:rPr>
                <w:rFonts w:ascii="Meiryo UI" w:hAnsi="Meiryo UI"/>
                <w:sz w:val="18"/>
              </w:rPr>
              <w:t>最高裁判決後は政治コスト極大。直後の再発動は困難</w:t>
            </w:r>
          </w:p>
        </w:tc>
        <w:tc>
          <w:tcPr>
            <w:tcW w:type="dxa" w:w="1881"/>
          </w:tcPr>
          <w:p>
            <w:r>
              <w:rPr>
                <w:rFonts w:ascii="Meiryo UI" w:hAnsi="Meiryo UI"/>
                <w:sz w:val="18"/>
              </w:rPr>
              <w:t>¥200B+</w:t>
            </w:r>
          </w:p>
        </w:tc>
      </w:tr>
      <w:tr>
        <w:tc>
          <w:tcPr>
            <w:tcW w:type="dxa" w:w="1881"/>
            <w:shd w:val="clear" w:color="auto" w:fill="DDEBF7"/>
          </w:tcPr>
          <w:p>
            <w:r>
              <w:rPr>
                <w:rFonts w:ascii="Meiryo UI" w:hAnsi="Meiryo UI"/>
                <w:sz w:val="18"/>
              </w:rPr>
              <w:t>Section 232 自動車25%（最大リスク）</w:t>
            </w:r>
          </w:p>
        </w:tc>
        <w:tc>
          <w:tcPr>
            <w:tcW w:type="dxa" w:w="1881"/>
            <w:shd w:val="clear" w:color="auto" w:fill="DDEBF7"/>
          </w:tcPr>
          <w:p>
            <w:r>
              <w:rPr>
                <w:rFonts w:ascii="Meiryo UI" w:hAnsi="Meiryo UI"/>
                <w:sz w:val="18"/>
              </w:rPr>
              <w:t>大統領（商務省勧告済み）</w:t>
            </w:r>
          </w:p>
        </w:tc>
        <w:tc>
          <w:tcPr>
            <w:tcW w:type="dxa" w:w="1881"/>
            <w:shd w:val="clear" w:color="auto" w:fill="DDEBF7"/>
          </w:tcPr>
          <w:p>
            <w:r>
              <w:rPr>
                <w:rFonts w:ascii="Meiryo UI" w:hAnsi="Meiryo UI"/>
                <w:sz w:val="18"/>
              </w:rPr>
              <w:t>30-40%</w:t>
            </w:r>
          </w:p>
        </w:tc>
        <w:tc>
          <w:tcPr>
            <w:tcW w:type="dxa" w:w="1881"/>
            <w:shd w:val="clear" w:color="auto" w:fill="DDEBF7"/>
          </w:tcPr>
          <w:p>
            <w:r>
              <w:rPr>
                <w:rFonts w:ascii="Meiryo UI" w:hAnsi="Meiryo UI"/>
                <w:sz w:val="18"/>
              </w:rPr>
              <w:t>随時可能。IEEPAとは別法律で違憲判決は無効</w:t>
            </w:r>
          </w:p>
        </w:tc>
        <w:tc>
          <w:tcPr>
            <w:tcW w:type="dxa" w:w="1881"/>
            <w:shd w:val="clear" w:color="auto" w:fill="DDEBF7"/>
          </w:tcPr>
          <w:p>
            <w:r>
              <w:rPr>
                <w:rFonts w:ascii="Meiryo UI" w:hAnsi="Meiryo UI"/>
                <w:sz w:val="18"/>
              </w:rPr>
              <w:t>¥170-200B</w:t>
            </w:r>
          </w:p>
        </w:tc>
      </w:tr>
      <w:tr>
        <w:tc>
          <w:tcPr>
            <w:tcW w:type="dxa" w:w="1881"/>
          </w:tcPr>
          <w:p>
            <w:r>
              <w:rPr>
                <w:rFonts w:ascii="Meiryo UI" w:hAnsi="Meiryo UI"/>
                <w:sz w:val="18"/>
              </w:rPr>
              <w:t>議会立法（Trade Act改正等）</w:t>
            </w:r>
          </w:p>
        </w:tc>
        <w:tc>
          <w:tcPr>
            <w:tcW w:type="dxa" w:w="1881"/>
          </w:tcPr>
          <w:p>
            <w:r>
              <w:rPr>
                <w:rFonts w:ascii="Meiryo UI" w:hAnsi="Meiryo UI"/>
                <w:sz w:val="18"/>
              </w:rPr>
              <w:t>上下院 + 大統領署名</w:t>
            </w:r>
          </w:p>
        </w:tc>
        <w:tc>
          <w:tcPr>
            <w:tcW w:type="dxa" w:w="1881"/>
          </w:tcPr>
          <w:p>
            <w:r>
              <w:rPr>
                <w:rFonts w:ascii="Meiryo UI" w:hAnsi="Meiryo UI"/>
                <w:sz w:val="18"/>
              </w:rPr>
              <w:t>10-15%</w:t>
            </w:r>
          </w:p>
        </w:tc>
        <w:tc>
          <w:tcPr>
            <w:tcW w:type="dxa" w:w="1881"/>
          </w:tcPr>
          <w:p>
            <w:r>
              <w:rPr>
                <w:rFonts w:ascii="Meiryo UI" w:hAnsi="Meiryo UI"/>
                <w:sz w:val="18"/>
              </w:rPr>
              <w:t>2027年〜。超党派合意必要で時間を要す</w:t>
            </w:r>
          </w:p>
        </w:tc>
        <w:tc>
          <w:tcPr>
            <w:tcW w:type="dxa" w:w="1881"/>
          </w:tcPr>
          <w:p>
            <w:r>
              <w:rPr>
                <w:rFonts w:ascii="Meiryo UI" w:hAnsi="Meiryo UI"/>
                <w:sz w:val="18"/>
              </w:rPr>
              <w:t>恒久的</w:t>
            </w:r>
          </w:p>
        </w:tc>
      </w:tr>
      <w:tr>
        <w:tc>
          <w:tcPr>
            <w:tcW w:type="dxa" w:w="1881"/>
            <w:shd w:val="clear" w:color="auto" w:fill="DDEBF7"/>
          </w:tcPr>
          <w:p>
            <w:r>
              <w:rPr>
                <w:rFonts w:ascii="Meiryo UI" w:hAnsi="Meiryo UI"/>
                <w:sz w:val="18"/>
              </w:rPr>
              <w:t>日米通商協定による恒久撤廃</w:t>
            </w:r>
          </w:p>
        </w:tc>
        <w:tc>
          <w:tcPr>
            <w:tcW w:type="dxa" w:w="1881"/>
            <w:shd w:val="clear" w:color="auto" w:fill="DDEBF7"/>
          </w:tcPr>
          <w:p>
            <w:r>
              <w:rPr>
                <w:rFonts w:ascii="Meiryo UI" w:hAnsi="Meiryo UI"/>
                <w:sz w:val="18"/>
              </w:rPr>
              <w:t>日米政府（交渉中）</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2026年下半期〜。合意すれば全リスク消滅</w:t>
            </w:r>
          </w:p>
        </w:tc>
        <w:tc>
          <w:tcPr>
            <w:tcW w:type="dxa" w:w="1881"/>
            <w:shd w:val="clear" w:color="auto" w:fill="DDEBF7"/>
          </w:tcPr>
          <w:p>
            <w:r>
              <w:rPr>
                <w:rFonts w:ascii="Meiryo UI" w:hAnsi="Meiryo UI"/>
                <w:sz w:val="18"/>
              </w:rPr>
              <w:t>ポジティブ</w:t>
            </w:r>
          </w:p>
        </w:tc>
      </w:tr>
      <w:tr>
        <w:tc>
          <w:tcPr>
            <w:tcW w:type="dxa" w:w="1881"/>
          </w:tcPr>
          <w:p>
            <w:r>
              <w:rPr>
                <w:rFonts w:ascii="Meiryo UI" w:hAnsi="Meiryo UI"/>
                <w:sz w:val="18"/>
              </w:rPr>
              <w:t>2028年新政権での方針変更</w:t>
            </w:r>
          </w:p>
        </w:tc>
        <w:tc>
          <w:tcPr>
            <w:tcW w:type="dxa" w:w="1881"/>
          </w:tcPr>
          <w:p>
            <w:r>
              <w:rPr>
                <w:rFonts w:ascii="Meiryo UI" w:hAnsi="Meiryo UI"/>
                <w:sz w:val="18"/>
              </w:rPr>
              <w:t>次期大統領</w:t>
            </w:r>
          </w:p>
        </w:tc>
        <w:tc>
          <w:tcPr>
            <w:tcW w:type="dxa" w:w="1881"/>
          </w:tcPr>
          <w:p>
            <w:r>
              <w:rPr>
                <w:rFonts w:ascii="Meiryo UI" w:hAnsi="Meiryo UI"/>
                <w:sz w:val="18"/>
              </w:rPr>
              <w:t>20-30%</w:t>
            </w:r>
          </w:p>
        </w:tc>
        <w:tc>
          <w:tcPr>
            <w:tcW w:type="dxa" w:w="1881"/>
          </w:tcPr>
          <w:p>
            <w:r>
              <w:rPr>
                <w:rFonts w:ascii="Meiryo UI" w:hAnsi="Meiryo UI"/>
                <w:sz w:val="18"/>
              </w:rPr>
              <w:t>2029年〜。選挙次第で不確実</w:t>
            </w:r>
          </w:p>
        </w:tc>
        <w:tc>
          <w:tcPr>
            <w:tcW w:type="dxa" w:w="1881"/>
          </w:tcPr>
          <w:p>
            <w:r>
              <w:rPr>
                <w:rFonts w:ascii="Meiryo UI" w:hAnsi="Meiryo UI"/>
                <w:sz w:val="18"/>
              </w:rPr>
              <w:t>政策依存</w:t>
            </w:r>
          </w:p>
        </w:tc>
      </w:tr>
    </w:tbl>
    <w:p/>
    <w:p>
      <w:pPr>
        <w:pStyle w:val="Heading3"/>
      </w:pPr>
      <w:r>
        <w:rPr>
          <w:rFonts w:ascii="Meiryo UI" w:hAnsi="Meiryo UI"/>
          <w:color w:val="2E74B5"/>
        </w:rPr>
        <w:t>IEEPA再発動が「事実上不可能」な理由</w:t>
      </w:r>
    </w:p>
    <w:p/>
    <w:p>
      <w:pPr>
        <w:pStyle w:val="ListNumber"/>
      </w:pPr>
      <w:r>
        <w:rPr>
          <w:rFonts w:ascii="Meiryo UI" w:hAnsi="Meiryo UI"/>
          <w:sz w:val="20"/>
        </w:rPr>
        <w:t>最高裁の権威が壁： 同スキームの即時再発動は三権分立への挑戦と受け止められ、司法・議会からの強烈な反発が必至。再発動しても即座に差し止め命令が出る</w:t>
      </w:r>
    </w:p>
    <w:p>
      <w:pPr>
        <w:pStyle w:val="ListNumber"/>
      </w:pPr>
      <w:r>
        <w:rPr>
          <w:rFonts w:ascii="Meiryo UI" w:hAnsi="Meiryo UI"/>
          <w:sz w:val="20"/>
        </w:rPr>
        <w:t>外交的コスト： 日本との通商交渉を続けながら直後に同等関税を再設定することは「約束破り」として日本側が交渉離脱。日米同盟の文脈でも許容困難</w:t>
      </w:r>
    </w:p>
    <w:p>
      <w:pPr>
        <w:pStyle w:val="ListNumber"/>
      </w:pPr>
      <w:r>
        <w:rPr>
          <w:rFonts w:ascii="Meiryo UI" w:hAnsi="Meiryo UI"/>
          <w:sz w:val="20"/>
        </w:rPr>
        <w:t>変形再発動は可能： ただし「Section 232 安全保障」名目での関税設定は別途可能。この経路が最も現実的なリスク</w:t>
      </w:r>
    </w:p>
    <w:p/>
    <w:p>
      <w:pPr>
        <w:pStyle w:val="Heading3"/>
      </w:pPr>
      <w:r>
        <w:rPr>
          <w:rFonts w:ascii="Meiryo UI" w:hAnsi="Meiryo UI"/>
          <w:color w:val="2E74B5"/>
        </w:rPr>
        <w:t>Section 232 自動車関税（25%）— 最現実的シナリオの詳細</w:t>
      </w:r>
    </w:p>
    <w:p/>
    <w:p>
      <w:pPr>
        <w:shd w:val="clear" w:color="auto" w:fill="F2F2F2"/>
      </w:pPr>
      <w:r>
        <w:rPr>
          <w:rFonts w:ascii="Courier New" w:hAnsi="Courier New"/>
          <w:sz w:val="16"/>
        </w:rPr>
        <w:t>経緯：</w:t>
        <w:br/>
        <w:t xml:space="preserve">  2019年 → 商務省が「自動車輸入が安全保障に影響」と認定</w:t>
        <w:br/>
        <w:t xml:space="preserve">  2019-2020 → 日EU等との交渉合意で発動を一時回避（120日延期ループ）</w:t>
        <w:br/>
        <w:t xml:space="preserve">  2025-2026 → トランプ2.0がIEEPA相互関税を優先し、Section 232自動車は「保留」状態</w:t>
        <w:br/>
        <w:t xml:space="preserve">  IEEPA違憲後 → Section 232自動車関税が「次の切り札」として浮上</w:t>
        <w:br/>
        <w:br/>
        <w:t>Section 232 自動車25% の場合のSUBARU影響：</w:t>
        <w:br/>
        <w:t xml:space="preserve">  税率：25%（IEEPAの24%とほぼ同等）</w:t>
        <w:br/>
        <w:t xml:space="preserve">  対象：日本製造車の対米輸出（法的根拠が異なるだけで実質同じ）</w:t>
        <w:br/>
        <w:t xml:space="preserve">  推計年間負担：¥170-200B（IEEPA¥251Bより若干低い理由：部品調達分を含む試算の違い）</w:t>
        <w:br/>
        <w:t xml:space="preserve">  FV影響：Base ¥3,600 → Bear ¥2,800方向（シナリオ下方修正が必要）</w:t>
      </w:r>
    </w:p>
    <w:p/>
    <w:p>
      <w:pPr>
        <w:pStyle w:val="Heading3"/>
      </w:pPr>
      <w:r>
        <w:rPr>
          <w:rFonts w:ascii="Meiryo UI" w:hAnsi="Meiryo UI"/>
          <w:color w:val="2E74B5"/>
        </w:rPr>
        <w:t>シナリオ確率の改訂（Rev.2）</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旧確率</w:t>
            </w:r>
          </w:p>
        </w:tc>
        <w:tc>
          <w:tcPr>
            <w:tcW w:type="dxa" w:w="1881"/>
            <w:shd w:val="clear" w:color="auto" w:fill="2E74B5"/>
          </w:tcPr>
          <w:p>
            <w:r>
              <w:rPr>
                <w:rFonts w:ascii="Meiryo UI" w:hAnsi="Meiryo UI"/>
                <w:b/>
                <w:color w:val="FFFFFF"/>
                <w:sz w:val="18"/>
              </w:rPr>
              <w:t>改訂確率</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変更理由</w:t>
            </w:r>
          </w:p>
        </w:tc>
      </w:tr>
      <w:tr>
        <w:tc>
          <w:tcPr>
            <w:tcW w:type="dxa" w:w="1881"/>
          </w:tcPr>
          <w:p>
            <w:r>
              <w:rPr>
                <w:rFonts w:ascii="Meiryo UI" w:hAnsi="Meiryo UI"/>
                <w:sz w:val="18"/>
              </w:rPr>
              <w:t>Bear（関税再設定・台数悪化）</w:t>
            </w:r>
          </w:p>
        </w:tc>
        <w:tc>
          <w:tcPr>
            <w:tcW w:type="dxa" w:w="1881"/>
          </w:tcPr>
          <w:p>
            <w:r>
              <w:rPr>
                <w:rFonts w:ascii="Meiryo UI" w:hAnsi="Meiryo UI"/>
                <w:sz w:val="18"/>
              </w:rPr>
              <w:t>20%</w:t>
            </w:r>
          </w:p>
        </w:tc>
        <w:tc>
          <w:tcPr>
            <w:tcW w:type="dxa" w:w="1881"/>
          </w:tcPr>
          <w:p>
            <w:r>
              <w:rPr>
                <w:rFonts w:ascii="Meiryo UI" w:hAnsi="Meiryo UI"/>
                <w:sz w:val="18"/>
              </w:rPr>
              <w:t>30%</w:t>
            </w:r>
          </w:p>
        </w:tc>
        <w:tc>
          <w:tcPr>
            <w:tcW w:type="dxa" w:w="1881"/>
          </w:tcPr>
          <w:p>
            <w:r>
              <w:rPr>
                <w:rFonts w:ascii="Meiryo UI" w:hAnsi="Meiryo UI"/>
                <w:sz w:val="18"/>
              </w:rPr>
              <w:t>¥2,800</w:t>
            </w:r>
          </w:p>
        </w:tc>
        <w:tc>
          <w:tcPr>
            <w:tcW w:type="dxa" w:w="1881"/>
          </w:tcPr>
          <w:p>
            <w:r>
              <w:rPr>
                <w:rFonts w:ascii="Meiryo UI" w:hAnsi="Meiryo UI"/>
                <w:sz w:val="18"/>
              </w:rPr>
              <w:t>Section 232自動車30-40%リスクを明示的に反映</w:t>
            </w:r>
          </w:p>
        </w:tc>
      </w:tr>
      <w:tr>
        <w:tc>
          <w:tcPr>
            <w:tcW w:type="dxa" w:w="1881"/>
            <w:shd w:val="clear" w:color="auto" w:fill="DDEBF7"/>
          </w:tcPr>
          <w:p>
            <w:r>
              <w:rPr>
                <w:rFonts w:ascii="Meiryo UI" w:hAnsi="Meiryo UI"/>
                <w:sz w:val="18"/>
              </w:rPr>
              <w:t>Base（IEEPA撤廃継続・通常運営）</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¥3,600</w:t>
            </w:r>
          </w:p>
        </w:tc>
        <w:tc>
          <w:tcPr>
            <w:tcW w:type="dxa" w:w="1881"/>
            <w:shd w:val="clear" w:color="auto" w:fill="DDEBF7"/>
          </w:tcPr>
          <w:p>
            <w:r>
              <w:rPr>
                <w:rFonts w:ascii="Meiryo UI" w:hAnsi="Meiryo UI"/>
                <w:sz w:val="18"/>
              </w:rPr>
              <w:t>Bear確率増加分をBear方向へ移管</w:t>
            </w:r>
          </w:p>
        </w:tc>
      </w:tr>
      <w:tr>
        <w:tc>
          <w:tcPr>
            <w:tcW w:type="dxa" w:w="1881"/>
          </w:tcPr>
          <w:p>
            <w:r>
              <w:rPr>
                <w:rFonts w:ascii="Meiryo UI" w:hAnsi="Meiryo UI"/>
                <w:sz w:val="18"/>
              </w:rPr>
              <w:t>Bull（日米通商協定・恒久撤廃）</w:t>
            </w:r>
          </w:p>
        </w:tc>
        <w:tc>
          <w:tcPr>
            <w:tcW w:type="dxa" w:w="1881"/>
          </w:tcPr>
          <w:p>
            <w:r>
              <w:rPr>
                <w:rFonts w:ascii="Meiryo UI" w:hAnsi="Meiryo UI"/>
                <w:sz w:val="18"/>
              </w:rPr>
              <w:t>30%</w:t>
            </w:r>
          </w:p>
        </w:tc>
        <w:tc>
          <w:tcPr>
            <w:tcW w:type="dxa" w:w="1881"/>
          </w:tcPr>
          <w:p>
            <w:r>
              <w:rPr>
                <w:rFonts w:ascii="Meiryo UI" w:hAnsi="Meiryo UI"/>
                <w:sz w:val="18"/>
              </w:rPr>
              <w:t>25%</w:t>
            </w:r>
          </w:p>
        </w:tc>
        <w:tc>
          <w:tcPr>
            <w:tcW w:type="dxa" w:w="1881"/>
          </w:tcPr>
          <w:p>
            <w:r>
              <w:rPr>
                <w:rFonts w:ascii="Meiryo UI" w:hAnsi="Meiryo UI"/>
                <w:sz w:val="18"/>
              </w:rPr>
              <w:t>¥4,800</w:t>
            </w:r>
          </w:p>
        </w:tc>
        <w:tc>
          <w:tcPr>
            <w:tcW w:type="dxa" w:w="1881"/>
          </w:tcPr>
          <w:p>
            <w:r>
              <w:rPr>
                <w:rFonts w:ascii="Meiryo UI" w:hAnsi="Meiryo UI"/>
                <w:sz w:val="18"/>
              </w:rPr>
              <w:t>協定進展の蓋然性を保守的に見直し</w:t>
            </w:r>
          </w:p>
        </w:tc>
      </w:tr>
    </w:tbl>
    <w:p/>
    <w:p>
      <w:r>
        <w:rPr>
          <w:rFonts w:ascii="Meiryo UI" w:hAnsi="Meiryo UI"/>
          <w:sz w:val="20"/>
        </w:rPr>
        <w:t>確率加重FV（Rev.2）：</w:t>
      </w:r>
    </w:p>
    <w:p>
      <w:r>
        <w:rPr>
          <w:rFonts w:ascii="Meiryo UI" w:hAnsi="Meiryo UI"/>
          <w:sz w:val="20"/>
        </w:rPr>
        <w:t>0.30 × ¥2,800 + 0.45 × ¥3,600 + 0.25 × ¥4,800 = ¥840 + ¥1,620 + ¥1,200 = ¥3,660</w:t>
      </w:r>
    </w:p>
    <w:p>
      <w:r>
        <w:rPr>
          <w:rFonts w:ascii="Meiryo UI" w:hAnsi="Meiryo UI"/>
          <w:sz w:val="20"/>
        </w:rPr>
        <w:t>→ 改訂TP：¥3,600（保守的丸め。旧TP¥3,700から▲¥100 = 関税再設定リスクプレミアム）</w:t>
      </w:r>
    </w:p>
    <w:p/>
    <w:p>
      <w:pPr>
        <w:pStyle w:val="Heading3"/>
      </w:pPr>
      <w:r>
        <w:rPr>
          <w:rFonts w:ascii="Meiryo UI" w:hAnsi="Meiryo UI"/>
          <w:color w:val="2E74B5"/>
        </w:rPr>
        <w:t>それでもSTRONG BUYである根拠</w:t>
      </w:r>
    </w:p>
    <w:p/>
    <w:p>
      <w:r>
        <w:rPr>
          <w:rFonts w:ascii="Meiryo UI" w:hAnsi="Meiryo UI"/>
          <w:sz w:val="20"/>
        </w:rPr>
        <w:t>ネット現金¥1.4T（¥1,958/株）が最後の防壁。</w:t>
      </w:r>
    </w:p>
    <w:p/>
    <w:p>
      <w:pPr>
        <w:shd w:val="clear" w:color="auto" w:fill="F2F2F2"/>
      </w:pPr>
      <w:r>
        <w:rPr>
          <w:rFonts w:ascii="Courier New" w:hAnsi="Courier New"/>
          <w:sz w:val="16"/>
        </w:rPr>
        <w:t>最悪シナリオ（Section 232全発動 + 台数悪化）：</w:t>
        <w:br/>
        <w:t xml:space="preserve">  FV ¥2,800 vs 現値 ¥2,570</w:t>
        <w:br/>
        <w:t xml:space="preserve">  → 最悪でも▲8.9%の下値 = 限定的なダウンサイド</w:t>
        <w:br/>
        <w:br/>
        <w:t>中間シナリオ（Section 232 部分適用 + 日米交渉並行）：</w:t>
        <w:br/>
        <w:t xml:space="preserve">  FV ¥3,200 vs 現値 ¥2,570 = +24.5%</w:t>
        <w:br/>
        <w:br/>
        <w:t>ネット現金¥1.4T = EV ¥440B（=市場価値の24%に相当）</w:t>
        <w:br/>
        <w:t>関税が全部再設定されても企業の現金価値は変わらない</w:t>
        <w:br/>
        <w:t>→ EV/EBITDA が 0.8x を割り込まない限り、理論的売却価値は現値以上</w:t>
      </w:r>
    </w:p>
    <w:p/>
    <w:p>
      <w:r>
        <w:rPr>
          <w:rFonts w:ascii="Meiryo UI" w:hAnsi="Meiryo UI"/>
          <w:sz w:val="20"/>
        </w:rPr>
        <w:t>→ 将来関税リスクを保守的に30%と見積もっても、TP¥3,600（現値比+40%）の安全域は確保。ネット現金がどんな関税シナリオにも対応できる構造的防壁としてSTRONG BUY判定を維持。</w:t>
      </w:r>
    </w:p>
    <w:p/>
    <w:p>
      <w:r>
        <w:t>──────────────────────────────────────────────────</w:t>
      </w:r>
    </w:p>
    <w:p/>
    <w:p>
      <w:pPr>
        <w:pStyle w:val="Heading2"/>
      </w:pPr>
      <w:r>
        <w:rPr>
          <w:rFonts w:ascii="Meiryo UI" w:hAnsi="Meiryo UI"/>
          <w:color w:val="2E74B5"/>
        </w:rPr>
        <w:t>【ビジネスモデル解剖】</w:t>
      </w:r>
    </w:p>
    <w:p/>
    <w:p>
      <w:pPr>
        <w:shd w:val="clear" w:color="auto" w:fill="F2F2F2"/>
      </w:pPr>
      <w:r>
        <w:rPr>
          <w:rFonts w:ascii="Courier New" w:hAnsi="Courier New"/>
          <w:sz w:val="16"/>
        </w:rPr>
        <w:t>売上構成（FY3/25 実績推計）</w:t>
        <w:br/>
        <w:t>──────────────────────────────────────────</w:t>
        <w:br/>
        <w:t>北米（米国中心）     ~70%  ← SUBARUの絶対的主戦場</w:t>
        <w:br/>
        <w:t xml:space="preserve">  └ 米国販売：~700K台（FY3/25）→~540K台E（FY3/26、-23.5%）</w:t>
        <w:br/>
        <w:t xml:space="preserve">  └ SIA（インディアナ工場）製：Outback/Legacy/Ascent/Impreza</w:t>
        <w:br/>
        <w:t xml:space="preserve">  └ 日本輸出製：Forester/WRX/BRZ/Crosstrek（IEEPA関税影響主体）</w:t>
        <w:br/>
        <w:t>日本                 ~13%</w:t>
        <w:br/>
        <w:t>欧州・豪州           ~10%</w:t>
        <w:br/>
        <w:t>アジア・その他        ~7%   ← 中国シェア=ほぼゼロ</w:t>
        <w:br/>
        <w:t>──────────────────────────────────────────</w:t>
      </w:r>
    </w:p>
    <w:p/>
    <w:p>
      <w:r>
        <w:rPr>
          <w:rFonts w:ascii="Meiryo UI" w:hAnsi="Meiryo UI"/>
          <w:sz w:val="20"/>
        </w:rPr>
        <w:t>SIA（米インディアナ）生産比率:</w:t>
      </w:r>
    </w:p>
    <w:p>
      <w:pPr>
        <w:pStyle w:val="ListBullet"/>
      </w:pPr>
      <w:r>
        <w:rPr>
          <w:rFonts w:ascii="Meiryo UI" w:hAnsi="Meiryo UI"/>
          <w:sz w:val="20"/>
        </w:rPr>
        <w:t>SIA製：年産~400K台 = 関税影響なし（米国内生産）</w:t>
      </w:r>
    </w:p>
    <w:p>
      <w:pPr>
        <w:pStyle w:val="ListBullet"/>
      </w:pPr>
      <w:r>
        <w:rPr>
          <w:rFonts w:ascii="Meiryo UI" w:hAnsi="Meiryo UI"/>
          <w:sz w:val="20"/>
        </w:rPr>
        <w:t>日本輸出：~150-200K台/年 = 24%IEEPA関税フル適用対象</w:t>
      </w:r>
    </w:p>
    <w:p>
      <w:pPr>
        <w:pStyle w:val="ListBullet"/>
      </w:pPr>
      <w:r>
        <w:rPr>
          <w:rFonts w:ascii="Meiryo UI" w:hAnsi="Meiryo UI"/>
          <w:sz w:val="20"/>
        </w:rPr>
        <w:t>この150-200K台分の関税撤廃が財務改善の本体</w:t>
      </w:r>
    </w:p>
    <w:p/>
    <w:p>
      <w:r>
        <w:rPr>
          <w:rFonts w:ascii="Meiryo UI" w:hAnsi="Meiryo UI"/>
          <w:sz w:val="20"/>
        </w:rPr>
        <w:t>競争優位：</w:t>
      </w:r>
    </w:p>
    <w:p>
      <w:pPr>
        <w:pStyle w:val="ListBullet"/>
      </w:pPr>
      <w:r>
        <w:rPr>
          <w:rFonts w:ascii="Meiryo UI" w:hAnsi="Meiryo UI"/>
          <w:sz w:val="20"/>
        </w:rPr>
        <w:t>SUV・AWD技術：Symmetrical AWD独自技術で積雪地帯・アウトドア用途に圧倒的ロイヤルティ</w:t>
      </w:r>
    </w:p>
    <w:p>
      <w:pPr>
        <w:pStyle w:val="ListBullet"/>
      </w:pPr>
      <w:r>
        <w:rPr>
          <w:rFonts w:ascii="Meiryo UI" w:hAnsi="Meiryo UI"/>
          <w:sz w:val="20"/>
        </w:rPr>
        <w:t>ブランド離脱率最低水準：顧客維持率70%超（US市場、業界平均比+15pt）</w:t>
      </w:r>
    </w:p>
    <w:p>
      <w:pPr>
        <w:pStyle w:val="ListBullet"/>
      </w:pPr>
      <w:r>
        <w:rPr>
          <w:rFonts w:ascii="Meiryo UI" w:hAnsi="Meiryo UI"/>
          <w:sz w:val="20"/>
        </w:rPr>
        <w:t>品質認知：JD Powerでの信頼性スコア高位維持</w:t>
      </w:r>
    </w:p>
    <w:p>
      <w:pPr>
        <w:pStyle w:val="ListBullet"/>
      </w:pPr>
      <w:r>
        <w:rPr>
          <w:rFonts w:ascii="Meiryo UI" w:hAnsi="Meiryo UI"/>
          <w:sz w:val="20"/>
        </w:rPr>
        <w:t>弱点：EVラインナップの遅れ（Toyota提携で補完中）・中国無存在</w:t>
      </w:r>
    </w:p>
    <w:p/>
    <w:p>
      <w:r>
        <w:t>──────────────────────────────────────────────────</w:t>
      </w:r>
    </w:p>
    <w:p/>
    <w:p>
      <w:pPr>
        <w:pStyle w:val="Heading2"/>
      </w:pPr>
      <w:r>
        <w:rPr>
          <w:rFonts w:ascii="Meiryo UI" w:hAnsi="Meiryo UI"/>
          <w:color w:val="2E74B5"/>
        </w:rPr>
        <w:t>【財務実績詳細】</w:t>
      </w:r>
    </w:p>
    <w:p/>
    <w:p>
      <w:pPr>
        <w:pStyle w:val="Heading3"/>
      </w:pPr>
      <w:r>
        <w:rPr>
          <w:rFonts w:ascii="Meiryo UI" w:hAnsi="Meiryo UI"/>
          <w:color w:val="2E74B5"/>
        </w:rPr>
        <w:t>通期業績推移（Bloomberg提供）</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OPM</w:t>
            </w:r>
          </w:p>
        </w:tc>
        <w:tc>
          <w:tcPr>
            <w:tcW w:type="dxa" w:w="1176"/>
            <w:shd w:val="clear" w:color="auto" w:fill="2E74B5"/>
          </w:tcPr>
          <w:p>
            <w:r>
              <w:rPr>
                <w:rFonts w:ascii="Meiryo UI" w:hAnsi="Meiryo UI"/>
                <w:b/>
                <w:color w:val="FFFFFF"/>
                <w:sz w:val="18"/>
              </w:rPr>
              <w:t>EPS</w:t>
            </w:r>
          </w:p>
        </w:tc>
        <w:tc>
          <w:tcPr>
            <w:tcW w:type="dxa" w:w="1176"/>
            <w:shd w:val="clear" w:color="auto" w:fill="2E74B5"/>
          </w:tcPr>
          <w:p>
            <w:r>
              <w:rPr>
                <w:rFonts w:ascii="Meiryo UI" w:hAnsi="Meiryo UI"/>
                <w:b/>
                <w:color w:val="FFFFFF"/>
                <w:sz w:val="18"/>
              </w:rPr>
              <w:t>BPS</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配当</w:t>
            </w:r>
          </w:p>
        </w:tc>
      </w:tr>
      <w:tr>
        <w:tc>
          <w:tcPr>
            <w:tcW w:type="dxa" w:w="1176"/>
          </w:tcPr>
          <w:p>
            <w:r>
              <w:rPr>
                <w:rFonts w:ascii="Meiryo UI" w:hAnsi="Meiryo UI"/>
                <w:sz w:val="18"/>
              </w:rPr>
              <w:t>FY3/24</w:t>
            </w:r>
          </w:p>
        </w:tc>
        <w:tc>
          <w:tcPr>
            <w:tcW w:type="dxa" w:w="1176"/>
          </w:tcPr>
          <w:p>
            <w:r>
              <w:rPr>
                <w:rFonts w:ascii="Meiryo UI" w:hAnsi="Meiryo UI"/>
                <w:sz w:val="18"/>
              </w:rPr>
              <w:t>~¥4.7T</w:t>
            </w:r>
          </w:p>
        </w:tc>
        <w:tc>
          <w:tcPr>
            <w:tcW w:type="dxa" w:w="1176"/>
          </w:tcPr>
          <w:p>
            <w:r>
              <w:rPr>
                <w:rFonts w:ascii="Meiryo UI" w:hAnsi="Meiryo UI"/>
                <w:sz w:val="18"/>
              </w:rPr>
              <w:t>¥405.3B</w:t>
            </w:r>
          </w:p>
        </w:tc>
        <w:tc>
          <w:tcPr>
            <w:tcW w:type="dxa" w:w="1176"/>
          </w:tcPr>
          <w:p>
            <w:r>
              <w:rPr>
                <w:rFonts w:ascii="Meiryo UI" w:hAnsi="Meiryo UI"/>
                <w:sz w:val="18"/>
              </w:rPr>
              <w:t>~8.6%</w:t>
            </w:r>
          </w:p>
        </w:tc>
        <w:tc>
          <w:tcPr>
            <w:tcW w:type="dxa" w:w="1176"/>
          </w:tcPr>
          <w:p>
            <w:r>
              <w:rPr>
                <w:rFonts w:ascii="Meiryo UI" w:hAnsi="Meiryo UI"/>
                <w:sz w:val="18"/>
              </w:rPr>
              <w:t>~¥300+</w:t>
            </w:r>
          </w:p>
        </w:tc>
        <w:tc>
          <w:tcPr>
            <w:tcW w:type="dxa" w:w="1176"/>
          </w:tcPr>
          <w:p>
            <w:r>
              <w:rPr>
                <w:rFonts w:ascii="Meiryo UI" w:hAnsi="Meiryo UI"/>
                <w:sz w:val="18"/>
              </w:rPr>
              <w:t>~¥3,200+</w:t>
            </w:r>
          </w:p>
        </w:tc>
        <w:tc>
          <w:tcPr>
            <w:tcW w:type="dxa" w:w="1176"/>
          </w:tcPr>
          <w:p>
            <w:r>
              <w:rPr>
                <w:rFonts w:ascii="Meiryo UI" w:hAnsi="Meiryo UI"/>
                <w:sz w:val="18"/>
              </w:rPr>
              <w:t>~11%</w:t>
            </w:r>
          </w:p>
        </w:tc>
        <w:tc>
          <w:tcPr>
            <w:tcW w:type="dxa" w:w="1176"/>
          </w:tcPr>
          <w:p>
            <w:r>
              <w:rPr>
                <w:rFonts w:ascii="Meiryo UI" w:hAnsi="Meiryo UI"/>
                <w:sz w:val="18"/>
              </w:rPr>
              <w:t>~¥80</w:t>
            </w:r>
          </w:p>
        </w:tc>
      </w:tr>
      <w:tr>
        <w:tc>
          <w:tcPr>
            <w:tcW w:type="dxa" w:w="1176"/>
            <w:shd w:val="clear" w:color="auto" w:fill="DDEBF7"/>
          </w:tcPr>
          <w:p>
            <w:r>
              <w:rPr>
                <w:rFonts w:ascii="Meiryo UI" w:hAnsi="Meiryo UI"/>
                <w:sz w:val="18"/>
              </w:rPr>
              <w:t>FY3/25</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¥405.3B</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FY3/26E</w:t>
            </w:r>
          </w:p>
        </w:tc>
        <w:tc>
          <w:tcPr>
            <w:tcW w:type="dxa" w:w="1176"/>
          </w:tcPr>
          <w:p>
            <w:r>
              <w:rPr>
                <w:rFonts w:ascii="Meiryo UI" w:hAnsi="Meiryo UI"/>
                <w:sz w:val="18"/>
              </w:rPr>
              <w:t>—</w:t>
            </w:r>
          </w:p>
        </w:tc>
        <w:tc>
          <w:tcPr>
            <w:tcW w:type="dxa" w:w="1176"/>
          </w:tcPr>
          <w:p>
            <w:r>
              <w:rPr>
                <w:rFonts w:ascii="Meiryo UI" w:hAnsi="Meiryo UI"/>
                <w:sz w:val="18"/>
              </w:rPr>
              <w:t>¥130B</w:t>
            </w:r>
          </w:p>
        </w:tc>
        <w:tc>
          <w:tcPr>
            <w:tcW w:type="dxa" w:w="1176"/>
          </w:tcPr>
          <w:p>
            <w:r>
              <w:rPr>
                <w:rFonts w:ascii="Meiryo UI" w:hAnsi="Meiryo UI"/>
                <w:sz w:val="18"/>
              </w:rPr>
              <w:t>2.7%</w:t>
            </w:r>
          </w:p>
        </w:tc>
        <w:tc>
          <w:tcPr>
            <w:tcW w:type="dxa" w:w="1176"/>
          </w:tcPr>
          <w:p>
            <w:r>
              <w:rPr>
                <w:rFonts w:ascii="Meiryo UI" w:hAnsi="Meiryo UI"/>
                <w:sz w:val="18"/>
              </w:rPr>
              <w:t>¥141.90(TTM)</w:t>
            </w:r>
          </w:p>
        </w:tc>
        <w:tc>
          <w:tcPr>
            <w:tcW w:type="dxa" w:w="1176"/>
          </w:tcPr>
          <w:p>
            <w:r>
              <w:rPr>
                <w:rFonts w:ascii="Meiryo UI" w:hAnsi="Meiryo UI"/>
                <w:sz w:val="18"/>
              </w:rPr>
              <w:t>¥3,836</w:t>
            </w:r>
          </w:p>
        </w:tc>
        <w:tc>
          <w:tcPr>
            <w:tcW w:type="dxa" w:w="1176"/>
          </w:tcPr>
          <w:p>
            <w:r>
              <w:rPr>
                <w:rFonts w:ascii="Meiryo UI" w:hAnsi="Meiryo UI"/>
                <w:sz w:val="18"/>
              </w:rPr>
              <w:t>3.8%</w:t>
            </w:r>
          </w:p>
        </w:tc>
        <w:tc>
          <w:tcPr>
            <w:tcW w:type="dxa" w:w="1176"/>
          </w:tcPr>
          <w:p>
            <w:r>
              <w:rPr>
                <w:rFonts w:ascii="Meiryo UI" w:hAnsi="Meiryo UI"/>
                <w:sz w:val="18"/>
              </w:rPr>
              <w:t>~¥116</w:t>
            </w:r>
          </w:p>
        </w:tc>
      </w:tr>
      <w:tr>
        <w:tc>
          <w:tcPr>
            <w:tcW w:type="dxa" w:w="1176"/>
            <w:shd w:val="clear" w:color="auto" w:fill="DDEBF7"/>
          </w:tcPr>
          <w:p>
            <w:r>
              <w:rPr>
                <w:rFonts w:ascii="Meiryo UI" w:hAnsi="Meiryo UI"/>
                <w:sz w:val="18"/>
              </w:rPr>
              <w:t>FY3/27E（IEEPA前）</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¥200-228B</w:t>
            </w:r>
          </w:p>
        </w:tc>
        <w:tc>
          <w:tcPr>
            <w:tcW w:type="dxa" w:w="1176"/>
            <w:shd w:val="clear" w:color="auto" w:fill="DDEBF7"/>
          </w:tcPr>
          <w:p>
            <w:r>
              <w:rPr>
                <w:rFonts w:ascii="Meiryo UI" w:hAnsi="Meiryo UI"/>
                <w:sz w:val="18"/>
              </w:rPr>
              <w:t>~4.5%</w:t>
            </w:r>
          </w:p>
        </w:tc>
        <w:tc>
          <w:tcPr>
            <w:tcW w:type="dxa" w:w="1176"/>
            <w:shd w:val="clear" w:color="auto" w:fill="DDEBF7"/>
          </w:tcPr>
          <w:p>
            <w:r>
              <w:rPr>
                <w:rFonts w:ascii="Meiryo UI" w:hAnsi="Meiryo UI"/>
                <w:sz w:val="18"/>
              </w:rPr>
              <w:t>~¥250-280</w:t>
            </w:r>
          </w:p>
        </w:tc>
        <w:tc>
          <w:tcPr>
            <w:tcW w:type="dxa" w:w="1176"/>
            <w:shd w:val="clear" w:color="auto" w:fill="DDEBF7"/>
          </w:tcPr>
          <w:p>
            <w:r>
              <w:rPr>
                <w:rFonts w:ascii="Meiryo UI" w:hAnsi="Meiryo UI"/>
                <w:sz w:val="18"/>
              </w:rPr>
              <w:t>~¥4,000</w:t>
            </w:r>
          </w:p>
        </w:tc>
        <w:tc>
          <w:tcPr>
            <w:tcW w:type="dxa" w:w="1176"/>
            <w:shd w:val="clear" w:color="auto" w:fill="DDEBF7"/>
          </w:tcPr>
          <w:p>
            <w:r>
              <w:rPr>
                <w:rFonts w:ascii="Meiryo UI" w:hAnsi="Meiryo UI"/>
                <w:sz w:val="18"/>
              </w:rPr>
              <w:t>~7%</w:t>
            </w:r>
          </w:p>
        </w:tc>
        <w:tc>
          <w:tcPr>
            <w:tcW w:type="dxa" w:w="1176"/>
            <w:shd w:val="clear" w:color="auto" w:fill="DDEBF7"/>
          </w:tcPr>
          <w:p>
            <w:r>
              <w:rPr>
                <w:rFonts w:ascii="Meiryo UI" w:hAnsi="Meiryo UI"/>
                <w:sz w:val="18"/>
              </w:rPr>
              <w:t>~¥100-120</w:t>
            </w:r>
          </w:p>
        </w:tc>
      </w:tr>
      <w:tr>
        <w:tc>
          <w:tcPr>
            <w:tcW w:type="dxa" w:w="1176"/>
          </w:tcPr>
          <w:p>
            <w:r>
              <w:rPr>
                <w:rFonts w:ascii="Meiryo UI" w:hAnsi="Meiryo UI"/>
                <w:sz w:val="18"/>
              </w:rPr>
              <w:t>FY3/27E（IEEPA後修正）</w:t>
            </w:r>
          </w:p>
        </w:tc>
        <w:tc>
          <w:tcPr>
            <w:tcW w:type="dxa" w:w="1176"/>
          </w:tcPr>
          <w:p>
            <w:r>
              <w:rPr>
                <w:rFonts w:ascii="Meiryo UI" w:hAnsi="Meiryo UI"/>
                <w:sz w:val="18"/>
              </w:rPr>
              <w:t>—</w:t>
            </w:r>
          </w:p>
        </w:tc>
        <w:tc>
          <w:tcPr>
            <w:tcW w:type="dxa" w:w="1176"/>
          </w:tcPr>
          <w:p>
            <w:r>
              <w:rPr>
                <w:rFonts w:ascii="Meiryo UI" w:hAnsi="Meiryo UI"/>
                <w:sz w:val="18"/>
              </w:rPr>
              <w:t>¥280-340B</w:t>
            </w:r>
          </w:p>
        </w:tc>
        <w:tc>
          <w:tcPr>
            <w:tcW w:type="dxa" w:w="1176"/>
          </w:tcPr>
          <w:p>
            <w:r>
              <w:rPr>
                <w:rFonts w:ascii="Meiryo UI" w:hAnsi="Meiryo UI"/>
                <w:sz w:val="18"/>
              </w:rPr>
              <w:t>~6-7%</w:t>
            </w:r>
          </w:p>
        </w:tc>
        <w:tc>
          <w:tcPr>
            <w:tcW w:type="dxa" w:w="1176"/>
          </w:tcPr>
          <w:p>
            <w:r>
              <w:rPr>
                <w:rFonts w:ascii="Meiryo UI" w:hAnsi="Meiryo UI"/>
                <w:sz w:val="18"/>
              </w:rPr>
              <w:t>~¥320-390</w:t>
            </w:r>
          </w:p>
        </w:tc>
        <w:tc>
          <w:tcPr>
            <w:tcW w:type="dxa" w:w="1176"/>
          </w:tcPr>
          <w:p>
            <w:r>
              <w:rPr>
                <w:rFonts w:ascii="Meiryo UI" w:hAnsi="Meiryo UI"/>
                <w:sz w:val="18"/>
              </w:rPr>
              <w:t>~¥4,100+</w:t>
            </w:r>
          </w:p>
        </w:tc>
        <w:tc>
          <w:tcPr>
            <w:tcW w:type="dxa" w:w="1176"/>
          </w:tcPr>
          <w:p>
            <w:r>
              <w:rPr>
                <w:rFonts w:ascii="Meiryo UI" w:hAnsi="Meiryo UI"/>
                <w:sz w:val="18"/>
              </w:rPr>
              <w:t>~9-10%</w:t>
            </w:r>
          </w:p>
        </w:tc>
        <w:tc>
          <w:tcPr>
            <w:tcW w:type="dxa" w:w="1176"/>
          </w:tcPr>
          <w:p>
            <w:r>
              <w:rPr>
                <w:rFonts w:ascii="Meiryo UI" w:hAnsi="Meiryo UI"/>
                <w:sz w:val="18"/>
              </w:rPr>
              <w:t>~¥120-150</w:t>
            </w:r>
          </w:p>
        </w:tc>
      </w:tr>
    </w:tbl>
    <w:p/>
    <w:p>
      <w:pPr>
        <w:pStyle w:val="Heading3"/>
      </w:pPr>
      <w:r>
        <w:rPr>
          <w:rFonts w:ascii="Meiryo UI" w:hAnsi="Meiryo UI"/>
          <w:color w:val="2E74B5"/>
        </w:rPr>
        <w:t>3Q FY3/26 特殊要因（Bloomberg確認）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影響額</w:t>
            </w:r>
          </w:p>
        </w:tc>
        <w:tc>
          <w:tcPr>
            <w:tcW w:type="dxa" w:w="3135"/>
            <w:shd w:val="clear" w:color="auto" w:fill="2E74B5"/>
          </w:tcPr>
          <w:p>
            <w:r>
              <w:rPr>
                <w:rFonts w:ascii="Meiryo UI" w:hAnsi="Meiryo UI"/>
                <w:b/>
                <w:color w:val="FFFFFF"/>
                <w:sz w:val="18"/>
              </w:rPr>
              <w:t>FY3/27再発</w:t>
            </w:r>
          </w:p>
        </w:tc>
      </w:tr>
      <w:tr>
        <w:tc>
          <w:tcPr>
            <w:tcW w:type="dxa" w:w="3135"/>
          </w:tcPr>
          <w:p>
            <w:r>
              <w:rPr>
                <w:rFonts w:ascii="Meiryo UI" w:hAnsi="Meiryo UI"/>
                <w:sz w:val="18"/>
              </w:rPr>
              <w:t>IEEPA相互関税追加</w:t>
            </w:r>
          </w:p>
        </w:tc>
        <w:tc>
          <w:tcPr>
            <w:tcW w:type="dxa" w:w="3135"/>
          </w:tcPr>
          <w:p>
            <w:r>
              <w:rPr>
                <w:rFonts w:ascii="Meiryo UI" w:hAnsi="Meiryo UI"/>
                <w:sz w:val="18"/>
              </w:rPr>
              <w:t>▲¥44B（ガイダンス削減分）</w:t>
            </w:r>
          </w:p>
        </w:tc>
        <w:tc>
          <w:tcPr>
            <w:tcW w:type="dxa" w:w="3135"/>
          </w:tcPr>
          <w:p>
            <w:r>
              <w:rPr>
                <w:rFonts w:ascii="Meiryo UI" w:hAnsi="Meiryo UI"/>
                <w:sz w:val="18"/>
              </w:rPr>
              <w:t>❌ なし（撤廃）</w:t>
            </w:r>
          </w:p>
        </w:tc>
      </w:tr>
      <w:tr>
        <w:tc>
          <w:tcPr>
            <w:tcW w:type="dxa" w:w="3135"/>
            <w:shd w:val="clear" w:color="auto" w:fill="DDEBF7"/>
          </w:tcPr>
          <w:p>
            <w:r>
              <w:rPr>
                <w:rFonts w:ascii="Meiryo UI" w:hAnsi="Meiryo UI"/>
                <w:sz w:val="18"/>
              </w:rPr>
              <w:t>環境クレジット減損</w:t>
            </w:r>
          </w:p>
        </w:tc>
        <w:tc>
          <w:tcPr>
            <w:tcW w:type="dxa" w:w="3135"/>
            <w:shd w:val="clear" w:color="auto" w:fill="DDEBF7"/>
          </w:tcPr>
          <w:p>
            <w:r>
              <w:rPr>
                <w:rFonts w:ascii="Meiryo UI" w:hAnsi="Meiryo UI"/>
                <w:sz w:val="18"/>
              </w:rPr>
              <w:t>▲¥28B（CAFE基準変更）</w:t>
            </w:r>
          </w:p>
        </w:tc>
        <w:tc>
          <w:tcPr>
            <w:tcW w:type="dxa" w:w="3135"/>
            <w:shd w:val="clear" w:color="auto" w:fill="DDEBF7"/>
          </w:tcPr>
          <w:p>
            <w:r>
              <w:rPr>
                <w:rFonts w:ascii="Meiryo UI" w:hAnsi="Meiryo UI"/>
                <w:sz w:val="18"/>
              </w:rPr>
              <w:t>❌ なし（一時的）</w:t>
            </w:r>
          </w:p>
        </w:tc>
      </w:tr>
      <w:tr>
        <w:tc>
          <w:tcPr>
            <w:tcW w:type="dxa" w:w="3135"/>
          </w:tcPr>
          <w:p>
            <w:r>
              <w:rPr>
                <w:rFonts w:ascii="Meiryo UI" w:hAnsi="Meiryo UI"/>
                <w:sz w:val="18"/>
              </w:rPr>
              <w:t>品質コスト（FX）</w:t>
            </w:r>
          </w:p>
        </w:tc>
        <w:tc>
          <w:tcPr>
            <w:tcW w:type="dxa" w:w="3135"/>
          </w:tcPr>
          <w:p>
            <w:r>
              <w:rPr>
                <w:rFonts w:ascii="Meiryo UI" w:hAnsi="Meiryo UI"/>
                <w:sz w:val="18"/>
              </w:rPr>
              <w:t>▲¥11B</w:t>
            </w:r>
          </w:p>
        </w:tc>
        <w:tc>
          <w:tcPr>
            <w:tcW w:type="dxa" w:w="3135"/>
          </w:tcPr>
          <w:p>
            <w:r>
              <w:rPr>
                <w:rFonts w:ascii="Meiryo UI" w:hAnsi="Meiryo UI"/>
                <w:sz w:val="18"/>
              </w:rPr>
              <w:t>△ 一部継続</w:t>
            </w:r>
          </w:p>
        </w:tc>
      </w:tr>
      <w:tr>
        <w:tc>
          <w:tcPr>
            <w:tcW w:type="dxa" w:w="3135"/>
            <w:shd w:val="clear" w:color="auto" w:fill="DDEBF7"/>
          </w:tcPr>
          <w:p>
            <w:r>
              <w:rPr>
                <w:rFonts w:ascii="Meiryo UI" w:hAnsi="Meiryo UI"/>
                <w:sz w:val="18"/>
              </w:rPr>
              <w:t>3Q合計OP（standalone）</w:t>
            </w:r>
          </w:p>
        </w:tc>
        <w:tc>
          <w:tcPr>
            <w:tcW w:type="dxa" w:w="3135"/>
            <w:shd w:val="clear" w:color="auto" w:fill="DDEBF7"/>
          </w:tcPr>
          <w:p>
            <w:r>
              <w:rPr>
                <w:rFonts w:ascii="Meiryo UI" w:hAnsi="Meiryo UI"/>
                <w:sz w:val="18"/>
              </w:rPr>
              <w:t>▲¥36.4B</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前年同期OP</w:t>
            </w:r>
          </w:p>
        </w:tc>
        <w:tc>
          <w:tcPr>
            <w:tcW w:type="dxa" w:w="3135"/>
          </w:tcPr>
          <w:p>
            <w:r>
              <w:rPr>
                <w:rFonts w:ascii="Meiryo UI" w:hAnsi="Meiryo UI"/>
                <w:sz w:val="18"/>
              </w:rPr>
              <w:t>+¥147.2B</w:t>
            </w:r>
          </w:p>
        </w:tc>
        <w:tc>
          <w:tcPr>
            <w:tcW w:type="dxa" w:w="3135"/>
          </w:tcPr>
          <w:p>
            <w:r>
              <w:rPr>
                <w:rFonts w:ascii="Meiryo UI" w:hAnsi="Meiryo UI"/>
                <w:sz w:val="18"/>
              </w:rPr>
              <w:t>—</w:t>
            </w:r>
          </w:p>
        </w:tc>
      </w:tr>
    </w:tbl>
    <w:p/>
    <w:p>
      <w:r>
        <w:rPr>
          <w:rFonts w:ascii="Meiryo UI" w:hAnsi="Meiryo UI"/>
          <w:sz w:val="20"/>
        </w:rPr>
        <w:t>FY3/26の落ち込みは全て構造的ではなくワン・オフ3点セット。FY3/27は全て解消方向。</w:t>
      </w:r>
    </w:p>
    <w:p/>
    <w:p>
      <w:pPr>
        <w:pStyle w:val="Heading3"/>
      </w:pPr>
      <w:r>
        <w:rPr>
          <w:rFonts w:ascii="Meiryo UI" w:hAnsi="Meiryo UI"/>
          <w:color w:val="2E74B5"/>
        </w:rPr>
        <w:t>バランスシート（最重要：ネット現金）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ネット現金</w:t>
            </w:r>
          </w:p>
        </w:tc>
        <w:tc>
          <w:tcPr>
            <w:tcW w:type="dxa" w:w="3135"/>
          </w:tcPr>
          <w:p>
            <w:r>
              <w:rPr>
                <w:rFonts w:ascii="Meiryo UI" w:hAnsi="Meiryo UI"/>
                <w:sz w:val="18"/>
              </w:rPr>
              <w:t>¥1.4兆（¥1,958/株）</w:t>
            </w:r>
          </w:p>
        </w:tc>
        <w:tc>
          <w:tcPr>
            <w:tcW w:type="dxa" w:w="3135"/>
          </w:tcPr>
          <w:p>
            <w:r>
              <w:rPr>
                <w:rFonts w:ascii="Meiryo UI" w:hAnsi="Meiryo UI"/>
                <w:sz w:val="18"/>
              </w:rPr>
              <w:t>市場価値の76%</w:t>
            </w:r>
          </w:p>
        </w:tc>
      </w:tr>
      <w:tr>
        <w:tc>
          <w:tcPr>
            <w:tcW w:type="dxa" w:w="3135"/>
            <w:shd w:val="clear" w:color="auto" w:fill="DDEBF7"/>
          </w:tcPr>
          <w:p>
            <w:r>
              <w:rPr>
                <w:rFonts w:ascii="Meiryo UI" w:hAnsi="Meiryo UI"/>
                <w:sz w:val="18"/>
              </w:rPr>
              <w:t>市場価値</w:t>
            </w:r>
          </w:p>
        </w:tc>
        <w:tc>
          <w:tcPr>
            <w:tcW w:type="dxa" w:w="3135"/>
            <w:shd w:val="clear" w:color="auto" w:fill="DDEBF7"/>
          </w:tcPr>
          <w:p>
            <w:r>
              <w:rPr>
                <w:rFonts w:ascii="Meiryo UI" w:hAnsi="Meiryo UI"/>
                <w:sz w:val="18"/>
              </w:rPr>
              <w:t>¥1.84兆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EV（実質企業価値）</w:t>
            </w:r>
          </w:p>
        </w:tc>
        <w:tc>
          <w:tcPr>
            <w:tcW w:type="dxa" w:w="3135"/>
          </w:tcPr>
          <w:p>
            <w:r>
              <w:rPr>
                <w:rFonts w:ascii="Meiryo UI" w:hAnsi="Meiryo UI"/>
                <w:sz w:val="18"/>
              </w:rPr>
              <w:t>¥440B</w:t>
            </w:r>
          </w:p>
        </w:tc>
        <w:tc>
          <w:tcPr>
            <w:tcW w:type="dxa" w:w="3135"/>
          </w:tcPr>
          <w:p>
            <w:r>
              <w:rPr>
                <w:rFonts w:ascii="Meiryo UI" w:hAnsi="Meiryo UI"/>
                <w:sz w:val="18"/>
              </w:rPr>
              <w:t>「操業部分が¥440Bしかない」</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¥3,836</w:t>
            </w:r>
          </w:p>
        </w:tc>
        <w:tc>
          <w:tcPr>
            <w:tcW w:type="dxa" w:w="3135"/>
            <w:shd w:val="clear" w:color="auto" w:fill="DDEBF7"/>
          </w:tcPr>
          <w:p>
            <w:r>
              <w:rPr>
                <w:rFonts w:ascii="Meiryo UI" w:hAnsi="Meiryo UI"/>
                <w:sz w:val="18"/>
              </w:rPr>
              <w:t>P/B 0.67x → 33%割安</w:t>
            </w:r>
          </w:p>
        </w:tc>
      </w:tr>
      <w:tr>
        <w:tc>
          <w:tcPr>
            <w:tcW w:type="dxa" w:w="3135"/>
          </w:tcPr>
          <w:p>
            <w:r>
              <w:rPr>
                <w:rFonts w:ascii="Meiryo UI" w:hAnsi="Meiryo UI"/>
                <w:sz w:val="18"/>
              </w:rPr>
              <w:t>自己資本（推計）</w:t>
            </w:r>
          </w:p>
        </w:tc>
        <w:tc>
          <w:tcPr>
            <w:tcW w:type="dxa" w:w="3135"/>
          </w:tcPr>
          <w:p>
            <w:r>
              <w:rPr>
                <w:rFonts w:ascii="Meiryo UI" w:hAnsi="Meiryo UI"/>
                <w:sz w:val="18"/>
              </w:rPr>
              <w:t>¥2.74兆</w:t>
            </w:r>
          </w:p>
        </w:tc>
        <w:tc>
          <w:tcPr>
            <w:tcW w:type="dxa" w:w="3135"/>
          </w:tcPr>
          <w:p>
            <w:r>
              <w:rPr>
                <w:rFonts w:ascii="Meiryo UI" w:hAnsi="Meiryo UI"/>
                <w:sz w:val="18"/>
              </w:rPr>
              <w:t>—</w:t>
            </w:r>
          </w:p>
        </w:tc>
      </w:tr>
    </w:tbl>
    <w:p/>
    <w:p>
      <w:r>
        <w:t>──────────────────────────────────────────────────</w:t>
      </w:r>
    </w:p>
    <w:p/>
    <w:p>
      <w:pPr>
        <w:pStyle w:val="Heading2"/>
      </w:pPr>
      <w:r>
        <w:rPr>
          <w:rFonts w:ascii="Meiryo UI" w:hAnsi="Meiryo UI"/>
          <w:color w:val="2E74B5"/>
        </w:rPr>
        <w:t>【バリュエーション：FV算出（4手法）】</w:t>
      </w:r>
    </w:p>
    <w:p/>
    <w:p>
      <w:r>
        <w:rPr>
          <w:rFonts w:ascii="Meiryo UI" w:hAnsi="Meiryo UI"/>
          <w:sz w:val="20"/>
        </w:rPr>
        <w:t>前提： Rf=2.397%（Bloomberg JGB10Y）、ERP=6.0%、β=1.20（自動車×米国依存70%）</w:t>
      </w:r>
    </w:p>
    <w:p>
      <w:r>
        <w:rPr>
          <w:rFonts w:ascii="Meiryo UI" w:hAnsi="Meiryo UI"/>
          <w:sz w:val="20"/>
        </w:rPr>
        <w:t>→ Ke=2.397%+1.20×6.0%=9.60%</w:t>
      </w:r>
    </w:p>
    <w:p/>
    <w:p>
      <w:pPr>
        <w:pStyle w:val="Heading3"/>
      </w:pPr>
      <w:r>
        <w:rPr>
          <w:rFonts w:ascii="Meiryo UI" w:hAnsi="Meiryo UI"/>
          <w:color w:val="2E74B5"/>
        </w:rPr>
        <w:t>手法①：EV/EBITDA比較法（最適手法）</w:t>
      </w:r>
    </w:p>
    <w:p/>
    <w:p>
      <w:pPr>
        <w:shd w:val="clear" w:color="auto" w:fill="F2F2F2"/>
      </w:pPr>
      <w:r>
        <w:rPr>
          <w:rFonts w:ascii="Courier New" w:hAnsi="Courier New"/>
          <w:sz w:val="16"/>
        </w:rPr>
        <w:t>現在のEV（市場価値-ネット現金）:</w:t>
        <w:br/>
        <w:t xml:space="preserve">  ¥1,840B - ¥1,400B = ¥440B</w:t>
        <w:br/>
        <w:br/>
        <w:t>FY3/27E EBITDA（IEEPA除去後）:</w:t>
        <w:br/>
        <w:t xml:space="preserve">  OP ¥300B + DA ¥100B = ¥400B</w:t>
        <w:br/>
        <w:br/>
        <w:t>現在EV/EBITDA = ¥440B / ¥400B = 1.1x  ← 歴史的最低水準</w:t>
        <w:br/>
        <w:br/>
        <w:t>同業EV/EBITDA（参考）:</w:t>
        <w:br/>
        <w:t xml:space="preserve">  トヨタ 7203     : 4.2x</w:t>
        <w:br/>
        <w:t xml:space="preserve">  ホンダ 7267     : 3.1x</w:t>
        <w:br/>
        <w:t xml:space="preserve">  スズキ 7269     : 5.3x</w:t>
        <w:br/>
        <w:t xml:space="preserve">  マツダ 7261     : 3.5x</w:t>
        <w:br/>
        <w:t xml:space="preserve">  グローバル平均  : 4-6x</w:t>
        <w:br/>
        <w:br/>
        <w:t>Targetマルチプル別FV:</w:t>
        <w:br/>
        <w:t xml:space="preserve">  2.0x（超保守）  : ¥400B×2.0+¥1,400B=¥2,200B → ¥3,076/株</w:t>
        <w:br/>
        <w:t xml:space="preserve">  3.0x（保守）    : ¥400B×3.0+¥1,400B=¥2,600B → ¥3,634/株</w:t>
        <w:br/>
        <w:t xml:space="preserve">  4.0x（正常化）  : ¥400B×4.0+¥1,400B=¥3,000B → ¥4,193/株</w:t>
      </w:r>
    </w:p>
    <w:p/>
    <w:p>
      <w:pPr>
        <w:pStyle w:val="Heading3"/>
      </w:pPr>
      <w:r>
        <w:rPr>
          <w:rFonts w:ascii="Meiryo UI" w:hAnsi="Meiryo UI"/>
          <w:color w:val="2E74B5"/>
        </w:rPr>
        <w:t>手法②：P/E法（FY3/27E修正後）</w:t>
      </w:r>
    </w:p>
    <w:p/>
    <w:p>
      <w:pPr>
        <w:shd w:val="clear" w:color="auto" w:fill="F2F2F2"/>
      </w:pPr>
      <w:r>
        <w:rPr>
          <w:rFonts w:ascii="Courier New" w:hAnsi="Courier New"/>
          <w:sz w:val="16"/>
        </w:rPr>
        <w:t>FY3/27E EPS（IEEPA除去後）推計:</w:t>
        <w:br/>
        <w:t xml:space="preserve">  OP ¥300B × (1-0.28税率) = 純利益¥216B</w:t>
        <w:br/>
        <w:t xml:space="preserve">  EPS: ¥216B / 715.8M株 = ¥302/株</w:t>
        <w:br/>
        <w:br/>
        <w:t>Target P/E:</w:t>
        <w:br/>
        <w:t xml:space="preserve">  Bloomberg AN consensus : 8-11x （旧情報、IEEPA未考慮）</w:t>
        <w:br/>
        <w:t xml:space="preserve">  修正後適正P/E推定       : 10-13x（回復後、自動車セクター標準）</w:t>
        <w:br/>
        <w:br/>
        <w:t>Bull P/E 13x：¥302×13 = ¥3,926</w:t>
        <w:br/>
        <w:t>Base P/E 11x：¥302×11 = ¥3,322</w:t>
        <w:br/>
        <w:t>Bear P/E  8x：¥302× 8 = ¥2,416（景気後退シナリオ）</w:t>
      </w:r>
    </w:p>
    <w:p/>
    <w:p>
      <w:pPr>
        <w:pStyle w:val="Heading3"/>
      </w:pPr>
      <w:r>
        <w:rPr>
          <w:rFonts w:ascii="Meiryo UI" w:hAnsi="Meiryo UI"/>
          <w:color w:val="2E74B5"/>
        </w:rPr>
        <w:t>手法③：Net Cash + 事業価値（SoP法）</w:t>
      </w:r>
    </w:p>
    <w:p/>
    <w:p>
      <w:pPr>
        <w:shd w:val="clear" w:color="auto" w:fill="F2F2F2"/>
      </w:pPr>
      <w:r>
        <w:rPr>
          <w:rFonts w:ascii="Courier New" w:hAnsi="Courier New"/>
          <w:sz w:val="16"/>
        </w:rPr>
        <w:t>確実価値（ネット現金）: ¥1,958/株</w:t>
        <w:br/>
        <w:t>操業価値（EV/EBIT 3x）:</w:t>
        <w:br/>
        <w:t xml:space="preserve">  EBIT FY3/27E ¥300B / 715.8M株 = ¥419/株</w:t>
        <w:br/>
        <w:t xml:space="preserve">  ¥419 × 3.0 = ¥1,257/株</w:t>
        <w:br/>
        <w:t>SoP合計             : ¥1,958 + ¥1,257 = ¥3,215/株</w:t>
        <w:br/>
        <w:br/>
        <w:t>EV/EBIT 4x採用     : ¥1,958 + ¥1,676 = ¥3,634/株</w:t>
        <w:br/>
        <w:t>EV/EBIT 5x採用     : ¥1,958 + ¥2,095 = ¥4,053/株</w:t>
      </w:r>
    </w:p>
    <w:p/>
    <w:p>
      <w:pPr>
        <w:pStyle w:val="Heading3"/>
      </w:pPr>
      <w:r>
        <w:rPr>
          <w:rFonts w:ascii="Meiryo UI" w:hAnsi="Meiryo UI"/>
          <w:color w:val="2E74B5"/>
        </w:rPr>
        <w:t>手法④：DDM + 配当利回り比較</w:t>
      </w:r>
    </w:p>
    <w:p/>
    <w:p>
      <w:pPr>
        <w:shd w:val="clear" w:color="auto" w:fill="F2F2F2"/>
      </w:pPr>
      <w:r>
        <w:rPr>
          <w:rFonts w:ascii="Courier New" w:hAnsi="Courier New"/>
          <w:sz w:val="16"/>
        </w:rPr>
        <w:t>現在配当（推計）: ¥116/株（利回り4.5%）</w:t>
        <w:br/>
        <w:t>FY3/27E配当   : ¥130-150/株（回復後payout 30-40%）</w:t>
        <w:br/>
        <w:t>目標利回り2.5% : ¥130÷2.5% = ¥5,200（過楽観）</w:t>
        <w:br/>
        <w:t>目標利回り3.0% : ¥130÷3.0% = ¥4,333</w:t>
        <w:br/>
        <w:t>目標利回り3.5% : ¥130÷3.5% = ¥3,714</w:t>
      </w:r>
    </w:p>
    <w:p/>
    <w:p>
      <w:pPr>
        <w:pStyle w:val="Heading3"/>
      </w:pPr>
      <w:r>
        <w:rPr>
          <w:rFonts w:ascii="Meiryo UI" w:hAnsi="Meiryo UI"/>
          <w:color w:val="2E74B5"/>
        </w:rPr>
        <w:t>FVブレンド集計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20%</w:t>
            </w:r>
          </w:p>
        </w:tc>
        <w:tc>
          <w:tcPr>
            <w:tcW w:type="dxa" w:w="2351"/>
          </w:tcPr>
          <w:p>
            <w:r>
              <w:rPr>
                <w:rFonts w:ascii="Meiryo UI" w:hAnsi="Meiryo UI"/>
                <w:sz w:val="18"/>
              </w:rPr>
              <w:t>¥2,800</w:t>
            </w:r>
          </w:p>
        </w:tc>
        <w:tc>
          <w:tcPr>
            <w:tcW w:type="dxa" w:w="2351"/>
          </w:tcPr>
          <w:p>
            <w:r>
              <w:rPr>
                <w:rFonts w:ascii="Meiryo UI" w:hAnsi="Meiryo UI"/>
                <w:sz w:val="18"/>
              </w:rPr>
              <w:t>IEEPA一部残存+円高¥145+US台数回復遅延</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¥3,600</w:t>
            </w:r>
          </w:p>
        </w:tc>
        <w:tc>
          <w:tcPr>
            <w:tcW w:type="dxa" w:w="2351"/>
            <w:shd w:val="clear" w:color="auto" w:fill="DDEBF7"/>
          </w:tcPr>
          <w:p>
            <w:r>
              <w:rPr>
                <w:rFonts w:ascii="Meiryo UI" w:hAnsi="Meiryo UI"/>
                <w:sz w:val="18"/>
              </w:rPr>
              <w:t>EV/EBITDA3x、FY3/27 OP¥280B</w:t>
            </w:r>
          </w:p>
        </w:tc>
      </w:tr>
      <w:tr>
        <w:tc>
          <w:tcPr>
            <w:tcW w:type="dxa" w:w="2351"/>
          </w:tcPr>
          <w:p>
            <w:r>
              <w:rPr>
                <w:rFonts w:ascii="Meiryo UI" w:hAnsi="Meiryo UI"/>
                <w:sz w:val="18"/>
              </w:rPr>
              <w:t>Bull</w:t>
            </w:r>
          </w:p>
        </w:tc>
        <w:tc>
          <w:tcPr>
            <w:tcW w:type="dxa" w:w="2351"/>
          </w:tcPr>
          <w:p>
            <w:r>
              <w:rPr>
                <w:rFonts w:ascii="Meiryo UI" w:hAnsi="Meiryo UI"/>
                <w:sz w:val="18"/>
              </w:rPr>
              <w:t>30%</w:t>
            </w:r>
          </w:p>
        </w:tc>
        <w:tc>
          <w:tcPr>
            <w:tcW w:type="dxa" w:w="2351"/>
          </w:tcPr>
          <w:p>
            <w:r>
              <w:rPr>
                <w:rFonts w:ascii="Meiryo UI" w:hAnsi="Meiryo UI"/>
                <w:sz w:val="18"/>
              </w:rPr>
              <w:t>¥4,800</w:t>
            </w:r>
          </w:p>
        </w:tc>
        <w:tc>
          <w:tcPr>
            <w:tcW w:type="dxa" w:w="2351"/>
          </w:tcPr>
          <w:p>
            <w:r>
              <w:rPr>
                <w:rFonts w:ascii="Meiryo UI" w:hAnsi="Meiryo UI"/>
                <w:sz w:val="18"/>
              </w:rPr>
              <w:t>EV/EBITDA4x+、FY3/27 OP¥340B</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¥3,800</w:t>
            </w:r>
          </w:p>
        </w:tc>
        <w:tc>
          <w:tcPr>
            <w:tcW w:type="dxa" w:w="2351"/>
            <w:shd w:val="clear" w:color="auto" w:fill="DDEBF7"/>
          </w:tcPr>
          <w:p>
            <w:r>
              <w:rPr>
                <w:rFonts w:ascii="Meiryo UI" w:hAnsi="Meiryo UI"/>
                <w:sz w:val="18"/>
              </w:rPr>
              <w:t>0.20×2,800+0.50×3,600+0.30×4,800</w:t>
            </w:r>
          </w:p>
        </w:tc>
      </w:tr>
    </w:tbl>
    <w:p/>
    <w:p>
      <w:r>
        <w:rPr>
          <w:rFonts w:ascii="Meiryo UI" w:hAnsi="Meiryo UI"/>
          <w:sz w:val="20"/>
        </w:rPr>
        <w:t>現値¥2,570 → 確率加重FV¥3,800 → アップサイド+47.9%</w:t>
      </w:r>
    </w:p>
    <w:p>
      <w:r>
        <w:rPr>
          <w:rFonts w:ascii="Meiryo UI" w:hAnsi="Meiryo UI"/>
          <w:sz w:val="20"/>
        </w:rPr>
        <w:t>ネット現金ベア床：¥2,800 → 最大下値 -8.9%（非常に小さい）</w:t>
      </w:r>
    </w:p>
    <w:p/>
    <w:p>
      <w:r>
        <w:t>──────────────────────────────────────────────────</w:t>
      </w:r>
    </w:p>
    <w:p/>
    <w:p>
      <w:pPr>
        <w:pStyle w:val="Heading2"/>
      </w:pPr>
      <w:r>
        <w:rPr>
          <w:rFonts w:ascii="Meiryo UI" w:hAnsi="Meiryo UI"/>
          <w:color w:val="2E74B5"/>
        </w:rPr>
        <w:t>【Bloomberg各社TP vs 浅井修正TP比較】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証券会社</w:t>
            </w:r>
          </w:p>
        </w:tc>
        <w:tc>
          <w:tcPr>
            <w:tcW w:type="dxa" w:w="1881"/>
            <w:shd w:val="clear" w:color="auto" w:fill="2E74B5"/>
          </w:tcPr>
          <w:p>
            <w:r>
              <w:rPr>
                <w:rFonts w:ascii="Meiryo UI" w:hAnsi="Meiryo UI"/>
                <w:b/>
                <w:color w:val="FFFFFF"/>
                <w:sz w:val="18"/>
              </w:rPr>
              <w:t>旧TP</w:t>
            </w:r>
          </w:p>
        </w:tc>
        <w:tc>
          <w:tcPr>
            <w:tcW w:type="dxa" w:w="1881"/>
            <w:shd w:val="clear" w:color="auto" w:fill="2E74B5"/>
          </w:tcPr>
          <w:p>
            <w:r>
              <w:rPr>
                <w:rFonts w:ascii="Meiryo UI" w:hAnsi="Meiryo UI"/>
                <w:b/>
                <w:color w:val="FFFFFF"/>
                <w:sz w:val="18"/>
              </w:rPr>
              <w:t>レーティング</w:t>
            </w:r>
          </w:p>
        </w:tc>
        <w:tc>
          <w:tcPr>
            <w:tcW w:type="dxa" w:w="1881"/>
            <w:shd w:val="clear" w:color="auto" w:fill="2E74B5"/>
          </w:tcPr>
          <w:p>
            <w:r>
              <w:rPr>
                <w:rFonts w:ascii="Meiryo UI" w:hAnsi="Meiryo UI"/>
                <w:b/>
                <w:color w:val="FFFFFF"/>
                <w:sz w:val="18"/>
              </w:rPr>
              <w:t>前提（Bloomberg）</w:t>
            </w:r>
          </w:p>
        </w:tc>
        <w:tc>
          <w:tcPr>
            <w:tcW w:type="dxa" w:w="1881"/>
            <w:shd w:val="clear" w:color="auto" w:fill="2E74B5"/>
          </w:tcPr>
          <w:p>
            <w:r>
              <w:rPr>
                <w:rFonts w:ascii="Meiryo UI" w:hAnsi="Meiryo UI"/>
                <w:b/>
                <w:color w:val="FFFFFF"/>
                <w:sz w:val="18"/>
              </w:rPr>
              <w:t>浅井修正必要性</w:t>
            </w:r>
          </w:p>
        </w:tc>
      </w:tr>
      <w:tr>
        <w:tc>
          <w:tcPr>
            <w:tcW w:type="dxa" w:w="1881"/>
          </w:tcPr>
          <w:p>
            <w:r>
              <w:rPr>
                <w:rFonts w:ascii="Meiryo UI" w:hAnsi="Meiryo UI"/>
                <w:sz w:val="18"/>
              </w:rPr>
              <w:t>UBS</w:t>
            </w:r>
          </w:p>
        </w:tc>
        <w:tc>
          <w:tcPr>
            <w:tcW w:type="dxa" w:w="1881"/>
          </w:tcPr>
          <w:p>
            <w:r>
              <w:rPr>
                <w:rFonts w:ascii="Meiryo UI" w:hAnsi="Meiryo UI"/>
                <w:sz w:val="18"/>
              </w:rPr>
              <w:t>¥2,500</w:t>
            </w:r>
          </w:p>
        </w:tc>
        <w:tc>
          <w:tcPr>
            <w:tcW w:type="dxa" w:w="1881"/>
          </w:tcPr>
          <w:p>
            <w:r>
              <w:rPr>
                <w:rFonts w:ascii="Meiryo UI" w:hAnsi="Meiryo UI"/>
                <w:sz w:val="18"/>
              </w:rPr>
              <w:t>Neutral</w:t>
            </w:r>
          </w:p>
        </w:tc>
        <w:tc>
          <w:tcPr>
            <w:tcW w:type="dxa" w:w="1881"/>
          </w:tcPr>
          <w:p>
            <w:r>
              <w:rPr>
                <w:rFonts w:ascii="Meiryo UI" w:hAnsi="Meiryo UI"/>
                <w:sz w:val="18"/>
              </w:rPr>
              <w:t>FY3/28 P/E 8-9x（IEEPA継続前提）</w:t>
            </w:r>
          </w:p>
        </w:tc>
        <w:tc>
          <w:tcPr>
            <w:tcW w:type="dxa" w:w="1881"/>
          </w:tcPr>
          <w:p>
            <w:r>
              <w:rPr>
                <w:rFonts w:ascii="Meiryo UI" w:hAnsi="Meiryo UI"/>
                <w:sz w:val="18"/>
              </w:rPr>
              <w:t>大幅上方修正必要</w:t>
            </w:r>
          </w:p>
        </w:tc>
      </w:tr>
      <w:tr>
        <w:tc>
          <w:tcPr>
            <w:tcW w:type="dxa" w:w="1881"/>
            <w:shd w:val="clear" w:color="auto" w:fill="DDEBF7"/>
          </w:tcPr>
          <w:p>
            <w:r>
              <w:rPr>
                <w:rFonts w:ascii="Meiryo UI" w:hAnsi="Meiryo UI"/>
                <w:sz w:val="18"/>
              </w:rPr>
              <w:t>Mizuho</w:t>
            </w:r>
          </w:p>
        </w:tc>
        <w:tc>
          <w:tcPr>
            <w:tcW w:type="dxa" w:w="1881"/>
            <w:shd w:val="clear" w:color="auto" w:fill="DDEBF7"/>
          </w:tcPr>
          <w:p>
            <w:r>
              <w:rPr>
                <w:rFonts w:ascii="Meiryo UI" w:hAnsi="Meiryo UI"/>
                <w:sz w:val="18"/>
              </w:rPr>
              <w:t>¥2,700</w:t>
            </w:r>
          </w:p>
        </w:tc>
        <w:tc>
          <w:tcPr>
            <w:tcW w:type="dxa" w:w="1881"/>
            <w:shd w:val="clear" w:color="auto" w:fill="DDEBF7"/>
          </w:tcPr>
          <w:p>
            <w:r>
              <w:rPr>
                <w:rFonts w:ascii="Meiryo UI" w:hAnsi="Meiryo UI"/>
                <w:sz w:val="18"/>
              </w:rPr>
              <w:t>Neutral</w:t>
            </w:r>
          </w:p>
        </w:tc>
        <w:tc>
          <w:tcPr>
            <w:tcW w:type="dxa" w:w="1881"/>
            <w:shd w:val="clear" w:color="auto" w:fill="DDEBF7"/>
          </w:tcPr>
          <w:p>
            <w:r>
              <w:rPr>
                <w:rFonts w:ascii="Meiryo UI" w:hAnsi="Meiryo UI"/>
                <w:sz w:val="18"/>
              </w:rPr>
              <w:t>FY3/27 OP¥200B（IEEPA軽減¥50Bのみ）</w:t>
            </w:r>
          </w:p>
        </w:tc>
        <w:tc>
          <w:tcPr>
            <w:tcW w:type="dxa" w:w="1881"/>
            <w:shd w:val="clear" w:color="auto" w:fill="DDEBF7"/>
          </w:tcPr>
          <w:p>
            <w:r>
              <w:rPr>
                <w:rFonts w:ascii="Meiryo UI" w:hAnsi="Meiryo UI"/>
                <w:sz w:val="18"/>
              </w:rPr>
              <w:t>+100B以上追加</w:t>
            </w:r>
          </w:p>
        </w:tc>
      </w:tr>
      <w:tr>
        <w:tc>
          <w:tcPr>
            <w:tcW w:type="dxa" w:w="1881"/>
          </w:tcPr>
          <w:p>
            <w:r>
              <w:rPr>
                <w:rFonts w:ascii="Meiryo UI" w:hAnsi="Meiryo UI"/>
                <w:sz w:val="18"/>
              </w:rPr>
              <w:t>Daiwa</w:t>
            </w:r>
          </w:p>
        </w:tc>
        <w:tc>
          <w:tcPr>
            <w:tcW w:type="dxa" w:w="1881"/>
          </w:tcPr>
          <w:p>
            <w:r>
              <w:rPr>
                <w:rFonts w:ascii="Meiryo UI" w:hAnsi="Meiryo UI"/>
                <w:sz w:val="18"/>
              </w:rPr>
              <w:t>¥3,600</w:t>
            </w:r>
          </w:p>
        </w:tc>
        <w:tc>
          <w:tcPr>
            <w:tcW w:type="dxa" w:w="1881"/>
          </w:tcPr>
          <w:p>
            <w:r>
              <w:rPr>
                <w:rFonts w:ascii="Meiryo UI" w:hAnsi="Meiryo UI"/>
                <w:sz w:val="18"/>
              </w:rPr>
              <w:t>Neutral</w:t>
            </w:r>
          </w:p>
        </w:tc>
        <w:tc>
          <w:tcPr>
            <w:tcW w:type="dxa" w:w="1881"/>
          </w:tcPr>
          <w:p>
            <w:r>
              <w:rPr>
                <w:rFonts w:ascii="Meiryo UI" w:hAnsi="Meiryo UI"/>
                <w:sz w:val="18"/>
              </w:rPr>
              <w:t>FY3/26 OP¥320B@¥150/USD</w:t>
            </w:r>
          </w:p>
        </w:tc>
        <w:tc>
          <w:tcPr>
            <w:tcW w:type="dxa" w:w="1881"/>
          </w:tcPr>
          <w:p>
            <w:r>
              <w:rPr>
                <w:rFonts w:ascii="Meiryo UI" w:hAnsi="Meiryo UI"/>
                <w:sz w:val="18"/>
              </w:rPr>
              <w:t>最も修正近い</w:t>
            </w:r>
          </w:p>
        </w:tc>
      </w:tr>
      <w:tr>
        <w:tc>
          <w:tcPr>
            <w:tcW w:type="dxa" w:w="1881"/>
            <w:shd w:val="clear" w:color="auto" w:fill="DDEBF7"/>
          </w:tcPr>
          <w:p>
            <w:r>
              <w:rPr>
                <w:rFonts w:ascii="Meiryo UI" w:hAnsi="Meiryo UI"/>
                <w:sz w:val="18"/>
              </w:rPr>
              <w:t>SBI</w:t>
            </w:r>
          </w:p>
        </w:tc>
        <w:tc>
          <w:tcPr>
            <w:tcW w:type="dxa" w:w="1881"/>
            <w:shd w:val="clear" w:color="auto" w:fill="DDEBF7"/>
          </w:tcPr>
          <w:p>
            <w:r>
              <w:rPr>
                <w:rFonts w:ascii="Meiryo UI" w:hAnsi="Meiryo UI"/>
                <w:sz w:val="18"/>
              </w:rPr>
              <w:t>¥3,100</w:t>
            </w:r>
          </w:p>
        </w:tc>
        <w:tc>
          <w:tcPr>
            <w:tcW w:type="dxa" w:w="1881"/>
            <w:shd w:val="clear" w:color="auto" w:fill="DDEBF7"/>
          </w:tcPr>
          <w:p>
            <w:r>
              <w:rPr>
                <w:rFonts w:ascii="Meiryo UI" w:hAnsi="Meiryo UI"/>
                <w:sz w:val="18"/>
              </w:rPr>
              <w:t>Neutral</w:t>
            </w:r>
          </w:p>
        </w:tc>
        <w:tc>
          <w:tcPr>
            <w:tcW w:type="dxa" w:w="1881"/>
            <w:shd w:val="clear" w:color="auto" w:fill="DDEBF7"/>
          </w:tcPr>
          <w:p>
            <w:r>
              <w:rPr>
                <w:rFonts w:ascii="Meiryo UI" w:hAnsi="Meiryo UI"/>
                <w:sz w:val="18"/>
              </w:rPr>
              <w:t>FY3/27 P/E 8-9x</w:t>
            </w:r>
          </w:p>
        </w:tc>
        <w:tc>
          <w:tcPr>
            <w:tcW w:type="dxa" w:w="1881"/>
            <w:shd w:val="clear" w:color="auto" w:fill="DDEBF7"/>
          </w:tcPr>
          <w:p>
            <w:r>
              <w:rPr>
                <w:rFonts w:ascii="Meiryo UI" w:hAnsi="Meiryo UI"/>
                <w:sz w:val="18"/>
              </w:rPr>
              <w:t>中程度修正</w:t>
            </w:r>
          </w:p>
        </w:tc>
      </w:tr>
      <w:tr>
        <w:tc>
          <w:tcPr>
            <w:tcW w:type="dxa" w:w="1881"/>
          </w:tcPr>
          <w:p>
            <w:r>
              <w:rPr>
                <w:rFonts w:ascii="Meiryo UI" w:hAnsi="Meiryo UI"/>
                <w:sz w:val="18"/>
              </w:rPr>
              <w:t>Okasan</w:t>
            </w:r>
          </w:p>
        </w:tc>
        <w:tc>
          <w:tcPr>
            <w:tcW w:type="dxa" w:w="1881"/>
          </w:tcPr>
          <w:p>
            <w:r>
              <w:rPr>
                <w:rFonts w:ascii="Meiryo UI" w:hAnsi="Meiryo UI"/>
                <w:sz w:val="18"/>
              </w:rPr>
              <w:t>¥3,500</w:t>
            </w:r>
          </w:p>
        </w:tc>
        <w:tc>
          <w:tcPr>
            <w:tcW w:type="dxa" w:w="1881"/>
          </w:tcPr>
          <w:p>
            <w:r>
              <w:rPr>
                <w:rFonts w:ascii="Meiryo UI" w:hAnsi="Meiryo UI"/>
                <w:sz w:val="18"/>
              </w:rPr>
              <w:t>Neutral</w:t>
            </w:r>
          </w:p>
        </w:tc>
        <w:tc>
          <w:tcPr>
            <w:tcW w:type="dxa" w:w="1881"/>
          </w:tcPr>
          <w:p>
            <w:r>
              <w:rPr>
                <w:rFonts w:ascii="Meiryo UI" w:hAnsi="Meiryo UI"/>
                <w:sz w:val="18"/>
              </w:rPr>
              <w:t>FY3/27 P/E 9x</w:t>
            </w:r>
          </w:p>
        </w:tc>
        <w:tc>
          <w:tcPr>
            <w:tcW w:type="dxa" w:w="1881"/>
          </w:tcPr>
          <w:p>
            <w:r>
              <w:rPr>
                <w:rFonts w:ascii="Meiryo UI" w:hAnsi="Meiryo UI"/>
                <w:sz w:val="18"/>
              </w:rPr>
              <w:t>修正余地あり</w:t>
            </w:r>
          </w:p>
        </w:tc>
      </w:tr>
      <w:tr>
        <w:tc>
          <w:tcPr>
            <w:tcW w:type="dxa" w:w="1881"/>
            <w:shd w:val="clear" w:color="auto" w:fill="DDEBF7"/>
          </w:tcPr>
          <w:p>
            <w:r>
              <w:rPr>
                <w:rFonts w:ascii="Meiryo UI" w:hAnsi="Meiryo UI"/>
                <w:sz w:val="18"/>
              </w:rPr>
              <w:t>SMBC日興</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Neutral</w:t>
            </w:r>
          </w:p>
        </w:tc>
        <w:tc>
          <w:tcPr>
            <w:tcW w:type="dxa" w:w="1881"/>
            <w:shd w:val="clear" w:color="auto" w:fill="DDEBF7"/>
          </w:tcPr>
          <w:p>
            <w:r>
              <w:rPr>
                <w:rFonts w:ascii="Meiryo UI" w:hAnsi="Meiryo UI"/>
                <w:sz w:val="18"/>
              </w:rPr>
              <w:t>FY3/27×11x</w:t>
            </w:r>
          </w:p>
        </w:tc>
        <w:tc>
          <w:tcPr>
            <w:tcW w:type="dxa" w:w="1881"/>
            <w:shd w:val="clear" w:color="auto" w:fill="DDEBF7"/>
          </w:tcPr>
          <w:p>
            <w:r>
              <w:rPr>
                <w:rFonts w:ascii="Meiryo UI" w:hAnsi="Meiryo UI"/>
                <w:sz w:val="18"/>
              </w:rPr>
              <w:t>修正余地あり</w:t>
            </w:r>
          </w:p>
        </w:tc>
      </w:tr>
      <w:tr>
        <w:tc>
          <w:tcPr>
            <w:tcW w:type="dxa" w:w="1881"/>
          </w:tcPr>
          <w:p>
            <w:r>
              <w:rPr>
                <w:rFonts w:ascii="Meiryo UI" w:hAnsi="Meiryo UI"/>
                <w:sz w:val="18"/>
              </w:rPr>
              <w:t>浅井修正後</w:t>
            </w:r>
          </w:p>
        </w:tc>
        <w:tc>
          <w:tcPr>
            <w:tcW w:type="dxa" w:w="1881"/>
          </w:tcPr>
          <w:p>
            <w:r>
              <w:rPr>
                <w:rFonts w:ascii="Meiryo UI" w:hAnsi="Meiryo UI"/>
                <w:sz w:val="18"/>
              </w:rPr>
              <w:t>¥3,700</w:t>
            </w:r>
          </w:p>
        </w:tc>
        <w:tc>
          <w:tcPr>
            <w:tcW w:type="dxa" w:w="1881"/>
          </w:tcPr>
          <w:p>
            <w:r>
              <w:rPr>
                <w:rFonts w:ascii="Meiryo UI" w:hAnsi="Meiryo UI"/>
                <w:sz w:val="18"/>
              </w:rPr>
              <w:t>STRONG BUY</w:t>
            </w:r>
          </w:p>
        </w:tc>
        <w:tc>
          <w:tcPr>
            <w:tcW w:type="dxa" w:w="1881"/>
          </w:tcPr>
          <w:p>
            <w:r>
              <w:rPr>
                <w:rFonts w:ascii="Meiryo UI" w:hAnsi="Meiryo UI"/>
                <w:sz w:val="18"/>
              </w:rPr>
              <w:t>IEEPA撤廃+FY3/27 OP¥300B</w:t>
            </w:r>
          </w:p>
        </w:tc>
        <w:tc>
          <w:tcPr>
            <w:tcW w:type="dxa" w:w="1881"/>
          </w:tcPr>
          <w:p>
            <w:r>
              <w:rPr>
                <w:rFonts w:ascii="Meiryo UI" w:hAnsi="Meiryo UI"/>
                <w:sz w:val="18"/>
              </w:rPr>
              <w:t>—</w:t>
            </w:r>
          </w:p>
        </w:tc>
      </w:tr>
    </w:tbl>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リスク①：USD/JPY円高（IEEPA還付→ドル売り圧力）</w:t>
      </w:r>
    </w:p>
    <w:p/>
    <w:p>
      <w:pPr>
        <w:shd w:val="clear" w:color="auto" w:fill="F2F2F2"/>
      </w:pPr>
      <w:r>
        <w:rPr>
          <w:rFonts w:ascii="Courier New" w:hAnsi="Courier New"/>
          <w:sz w:val="16"/>
        </w:rPr>
        <w:t>現在：USD/JPY ¥158</w:t>
        <w:br/>
        <w:t>IEEPA還付（$1,660億）→ 米財務省支出→ USD供給増→ 円高圧力</w:t>
        <w:br/>
        <w:br/>
        <w:t>ストレスケース：USD/JPY ¥145（▲¥13）</w:t>
        <w:br/>
        <w:t xml:space="preserve">  感応度：¥10-15B / ¥1円（年間営業利益）</w:t>
        <w:br/>
        <w:t xml:space="preserve">  ¥13円 × ¥12.5B = ▲¥162B 営業利益影響</w:t>
        <w:br/>
        <w:br/>
        <w:t>ただし：IEEPA関税撤廃+¥200B vs 円高▲¥162B → ネット+¥38B</w:t>
        <w:br/>
        <w:t>→ 「円高はIEEPA利益を食うが、ネットプラスは確保」</w:t>
        <w:br/>
        <w:br/>
        <w:t>デルタ（¥1円円高）: ▲¥12.5B OP → EPS▲¥13.7/株</w:t>
      </w:r>
    </w:p>
    <w:p/>
    <w:p>
      <w:pPr>
        <w:pStyle w:val="Heading3"/>
      </w:pPr>
      <w:r>
        <w:rPr>
          <w:rFonts w:ascii="Meiryo UI" w:hAnsi="Meiryo UI"/>
          <w:color w:val="2E74B5"/>
        </w:rPr>
        <w:t>リスク②：米国市場シェア・台数の構造的悪化</w:t>
      </w:r>
    </w:p>
    <w:p/>
    <w:p>
      <w:pPr>
        <w:shd w:val="clear" w:color="auto" w:fill="F2F2F2"/>
      </w:pPr>
      <w:r>
        <w:rPr>
          <w:rFonts w:ascii="Courier New" w:hAnsi="Courier New"/>
          <w:sz w:val="16"/>
        </w:rPr>
        <w:t>FY3/26 US販売：3月▲23.5%（一部は関税価格転嫁による）</w:t>
        <w:br/>
        <w:t>FY3/27回復想定：▲10%（関税解消で改善）</w:t>
        <w:br/>
        <w:br/>
        <w:t>リスク：シェア4.2%目標を大幅下回る状況継続の場合</w:t>
        <w:br/>
        <w:t xml:space="preserve">  想定台数：500K台（FY3/27）vs 700K台（FY3/24ピーク）</w:t>
        <w:br/>
        <w:t xml:space="preserve">  影響：OP▲¥30-50B（前述の試算に織り込み済み）</w:t>
        <w:br/>
        <w:t xml:space="preserve">  </w:t>
        <w:br/>
        <w:t>Forester価格カット▲$1,500実施済み → 競争環境は依然厳しい</w:t>
      </w:r>
    </w:p>
    <w:p/>
    <w:p>
      <w:pPr>
        <w:pStyle w:val="Heading3"/>
      </w:pPr>
      <w:r>
        <w:rPr>
          <w:rFonts w:ascii="Meiryo UI" w:hAnsi="Meiryo UI"/>
          <w:color w:val="2E74B5"/>
        </w:rPr>
        <w:t>リスク③：ホルムズ封鎖継続（バンス訪問無期限延期）</w:t>
      </w:r>
    </w:p>
    <w:p/>
    <w:p>
      <w:pPr>
        <w:shd w:val="clear" w:color="auto" w:fill="F2F2F2"/>
      </w:pPr>
      <w:r>
        <w:rPr>
          <w:rFonts w:ascii="Courier New" w:hAnsi="Courier New"/>
          <w:sz w:val="16"/>
        </w:rPr>
        <w:t>ホルムズ封鎖継続→ WTI高止まり→ 米国ガソリン高</w:t>
        <w:br/>
        <w:t>→ 大型SUV需要減（Subaru主力はForester/Outback = 中型SUV）</w:t>
        <w:br/>
        <w:br/>
        <w:t>中型SUVへの影響はFullsize SUV比で軽微</w:t>
        <w:br/>
        <w:t xml:space="preserve">  Forester EPA 30MPG vs F-150 23MPG → 相対的に有利</w:t>
        <w:br/>
        <w:t xml:space="preserve">  影響度：OP▲¥10-20B（管理可能）</w:t>
      </w:r>
    </w:p>
    <w:p/>
    <w:p>
      <w:r>
        <w:t>──────────────────────────────────────────────────</w:t>
      </w:r>
    </w:p>
    <w:p/>
    <w:p>
      <w:pPr>
        <w:pStyle w:val="Heading2"/>
      </w:pPr>
      <w:r>
        <w:rPr>
          <w:rFonts w:ascii="Meiryo UI" w:hAnsi="Meiryo UI"/>
          <w:color w:val="2E74B5"/>
        </w:rPr>
        <w:t>【Q-1定性変化：直近1Qで何が変わったか】</w:t>
      </w:r>
    </w:p>
    <w:p/>
    <w:p>
      <w:pPr>
        <w:pStyle w:val="ListNumber"/>
      </w:pPr>
      <w:r>
        <w:rPr>
          <w:rFonts w:ascii="Meiryo UI" w:hAnsi="Meiryo UI"/>
          <w:sz w:val="20"/>
        </w:rPr>
        <w:t>IEEPA違憲確定（最重大変化） — 4/22速報。FY3/26の¥276B関税負担の大部分が4月以降消滅。この情報はBloombergの全アナリストレポートに未反映</w:t>
      </w:r>
    </w:p>
    <w:p/>
    <w:p>
      <w:pPr>
        <w:pStyle w:val="ListNumber"/>
      </w:pPr>
      <w:r>
        <w:rPr>
          <w:rFonts w:ascii="Meiryo UI" w:hAnsi="Meiryo UI"/>
          <w:sz w:val="20"/>
        </w:rPr>
        <w:t>ネット現金¥1.4T確認（4/19 UBS確認） — 時価総額の80%がキャッシュ。どんな悪材料が来てもPBR0.4x以下に下がる可能性は低い</w:t>
      </w:r>
    </w:p>
    <w:p/>
    <w:p>
      <w:pPr>
        <w:pStyle w:val="ListNumber"/>
      </w:pPr>
      <w:r>
        <w:rPr>
          <w:rFonts w:ascii="Meiryo UI" w:hAnsi="Meiryo UI"/>
          <w:sz w:val="20"/>
        </w:rPr>
        <w:t>BEV戦略見直し→HEV・ICE強化 — ¥1.5T EV投資計画を縮小し、HEV混流生産ラインに転換（大泉工場）。Toyota提携でSoltera Hybrid開発進捗。「EV失策企業」のレッテルが剥がれつつある</w:t>
      </w:r>
    </w:p>
    <w:p/>
    <w:p>
      <w:pPr>
        <w:pStyle w:val="ListNumber"/>
      </w:pPr>
      <w:r>
        <w:rPr>
          <w:rFonts w:ascii="Meiryo UI" w:hAnsi="Meiryo UI"/>
          <w:sz w:val="20"/>
        </w:rPr>
        <w:t>2027年Getaway（EV・420HP・300マイル）発表（4/1） — 米国で大型3列EVとして競合Ford/Rivianに対抗。中長期の新規カテゴリー開拓の兆し</w:t>
      </w:r>
    </w:p>
    <w:p/>
    <w:p>
      <w:pPr>
        <w:pStyle w:val="ListNumber"/>
      </w:pPr>
      <w:r>
        <w:rPr>
          <w:rFonts w:ascii="Meiryo UI" w:hAnsi="Meiryo UI"/>
          <w:sz w:val="20"/>
        </w:rPr>
        <w:t>Forester Wilderness Hybrid（4/1発表） — 燃費+25%向上。アウトドア×ハイブリッドの組み合わせは米国中型SUV市場で最適解</w:t>
      </w:r>
    </w:p>
    <w:p/>
    <w:p>
      <w:r>
        <w:t>──────────────────────────────────────────────────</w:t>
      </w:r>
    </w:p>
    <w:p/>
    <w:p>
      <w:pPr>
        <w:pStyle w:val="Heading2"/>
      </w:pPr>
      <w:r>
        <w:rPr>
          <w:rFonts w:ascii="Meiryo UI" w:hAnsi="Meiryo UI"/>
          <w:color w:val="2E74B5"/>
        </w:rPr>
        <w:t>【ガイダンス考察：FY3/27の見通し（IEEPA後修正）】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FY3/26E（現ガイダンス）</w:t>
            </w:r>
          </w:p>
        </w:tc>
        <w:tc>
          <w:tcPr>
            <w:tcW w:type="dxa" w:w="2351"/>
            <w:shd w:val="clear" w:color="auto" w:fill="2E74B5"/>
          </w:tcPr>
          <w:p>
            <w:r>
              <w:rPr>
                <w:rFonts w:ascii="Meiryo UI" w:hAnsi="Meiryo UI"/>
                <w:b/>
                <w:color w:val="FFFFFF"/>
                <w:sz w:val="18"/>
              </w:rPr>
              <w:t>FY3/27E（IEEPA前コンセンサス）</w:t>
            </w:r>
          </w:p>
        </w:tc>
        <w:tc>
          <w:tcPr>
            <w:tcW w:type="dxa" w:w="2351"/>
            <w:shd w:val="clear" w:color="auto" w:fill="2E74B5"/>
          </w:tcPr>
          <w:p>
            <w:r>
              <w:rPr>
                <w:rFonts w:ascii="Meiryo UI" w:hAnsi="Meiryo UI"/>
                <w:b/>
                <w:color w:val="FFFFFF"/>
                <w:sz w:val="18"/>
              </w:rPr>
              <w:t>FY3/27E（IEEPA後・浅井修正）</w:t>
            </w:r>
          </w:p>
        </w:tc>
      </w:tr>
      <w:tr>
        <w:tc>
          <w:tcPr>
            <w:tcW w:type="dxa" w:w="2351"/>
          </w:tcPr>
          <w:p>
            <w:r>
              <w:rPr>
                <w:rFonts w:ascii="Meiryo UI" w:hAnsi="Meiryo UI"/>
                <w:sz w:val="18"/>
              </w:rPr>
              <w:t>売上高</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~¥4.8-5.2兆</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¥130B</w:t>
            </w:r>
          </w:p>
        </w:tc>
        <w:tc>
          <w:tcPr>
            <w:tcW w:type="dxa" w:w="2351"/>
            <w:shd w:val="clear" w:color="auto" w:fill="DDEBF7"/>
          </w:tcPr>
          <w:p>
            <w:r>
              <w:rPr>
                <w:rFonts w:ascii="Meiryo UI" w:hAnsi="Meiryo UI"/>
                <w:sz w:val="18"/>
              </w:rPr>
              <w:t>¥200-228B</w:t>
            </w:r>
          </w:p>
        </w:tc>
        <w:tc>
          <w:tcPr>
            <w:tcW w:type="dxa" w:w="2351"/>
            <w:shd w:val="clear" w:color="auto" w:fill="DDEBF7"/>
          </w:tcPr>
          <w:p>
            <w:r>
              <w:rPr>
                <w:rFonts w:ascii="Meiryo UI" w:hAnsi="Meiryo UI"/>
                <w:sz w:val="18"/>
              </w:rPr>
              <w:t>¥280-340B</w:t>
            </w:r>
          </w:p>
        </w:tc>
      </w:tr>
      <w:tr>
        <w:tc>
          <w:tcPr>
            <w:tcW w:type="dxa" w:w="2351"/>
          </w:tcPr>
          <w:p>
            <w:r>
              <w:rPr>
                <w:rFonts w:ascii="Meiryo UI" w:hAnsi="Meiryo UI"/>
                <w:sz w:val="18"/>
              </w:rPr>
              <w:t>OPM</w:t>
            </w:r>
          </w:p>
        </w:tc>
        <w:tc>
          <w:tcPr>
            <w:tcW w:type="dxa" w:w="2351"/>
          </w:tcPr>
          <w:p>
            <w:r>
              <w:rPr>
                <w:rFonts w:ascii="Meiryo UI" w:hAnsi="Meiryo UI"/>
                <w:sz w:val="18"/>
              </w:rPr>
              <w:t>2.7%</w:t>
            </w:r>
          </w:p>
        </w:tc>
        <w:tc>
          <w:tcPr>
            <w:tcW w:type="dxa" w:w="2351"/>
          </w:tcPr>
          <w:p>
            <w:r>
              <w:rPr>
                <w:rFonts w:ascii="Meiryo UI" w:hAnsi="Meiryo UI"/>
                <w:sz w:val="18"/>
              </w:rPr>
              <w:t>4.5-4.6%</w:t>
            </w:r>
          </w:p>
        </w:tc>
        <w:tc>
          <w:tcPr>
            <w:tcW w:type="dxa" w:w="2351"/>
          </w:tcPr>
          <w:p>
            <w:r>
              <w:rPr>
                <w:rFonts w:ascii="Meiryo UI" w:hAnsi="Meiryo UI"/>
                <w:sz w:val="18"/>
              </w:rPr>
              <w:t>~6-7%</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¥141.90(TTM)</w:t>
            </w:r>
          </w:p>
        </w:tc>
        <w:tc>
          <w:tcPr>
            <w:tcW w:type="dxa" w:w="2351"/>
            <w:shd w:val="clear" w:color="auto" w:fill="DDEBF7"/>
          </w:tcPr>
          <w:p>
            <w:r>
              <w:rPr>
                <w:rFonts w:ascii="Meiryo UI" w:hAnsi="Meiryo UI"/>
                <w:sz w:val="18"/>
              </w:rPr>
              <w:t>~¥250-280</w:t>
            </w:r>
          </w:p>
        </w:tc>
        <w:tc>
          <w:tcPr>
            <w:tcW w:type="dxa" w:w="2351"/>
            <w:shd w:val="clear" w:color="auto" w:fill="DDEBF7"/>
          </w:tcPr>
          <w:p>
            <w:r>
              <w:rPr>
                <w:rFonts w:ascii="Meiryo UI" w:hAnsi="Meiryo UI"/>
                <w:sz w:val="18"/>
              </w:rPr>
              <w:t>~¥300-390</w:t>
            </w:r>
          </w:p>
        </w:tc>
      </w:tr>
      <w:tr>
        <w:tc>
          <w:tcPr>
            <w:tcW w:type="dxa" w:w="2351"/>
          </w:tcPr>
          <w:p>
            <w:r>
              <w:rPr>
                <w:rFonts w:ascii="Meiryo UI" w:hAnsi="Meiryo UI"/>
                <w:sz w:val="18"/>
              </w:rPr>
              <w:t>配当</w:t>
            </w:r>
          </w:p>
        </w:tc>
        <w:tc>
          <w:tcPr>
            <w:tcW w:type="dxa" w:w="2351"/>
          </w:tcPr>
          <w:p>
            <w:r>
              <w:rPr>
                <w:rFonts w:ascii="Meiryo UI" w:hAnsi="Meiryo UI"/>
                <w:sz w:val="18"/>
              </w:rPr>
              <w:t>~¥116</w:t>
            </w:r>
          </w:p>
        </w:tc>
        <w:tc>
          <w:tcPr>
            <w:tcW w:type="dxa" w:w="2351"/>
          </w:tcPr>
          <w:p>
            <w:r>
              <w:rPr>
                <w:rFonts w:ascii="Meiryo UI" w:hAnsi="Meiryo UI"/>
                <w:sz w:val="18"/>
              </w:rPr>
              <w:t>~¥110</w:t>
            </w:r>
          </w:p>
        </w:tc>
        <w:tc>
          <w:tcPr>
            <w:tcW w:type="dxa" w:w="2351"/>
          </w:tcPr>
          <w:p>
            <w:r>
              <w:rPr>
                <w:rFonts w:ascii="Meiryo UI" w:hAnsi="Meiryo UI"/>
                <w:sz w:val="18"/>
              </w:rPr>
              <w:t>~¥130-160</w:t>
            </w:r>
          </w:p>
        </w:tc>
      </w:tr>
    </w:tbl>
    <w:p/>
    <w:p>
      <w:r>
        <w:rPr>
          <w:rFonts w:ascii="Meiryo UI" w:hAnsi="Meiryo UI"/>
          <w:sz w:val="20"/>
        </w:rPr>
        <w:t>本決算（2026年5月）でFY3/27ガイダンスがIEEPA撤廃を反映した場合、全アナリストの一斉TP引き上げが発生する。</w:t>
      </w:r>
    </w:p>
    <w:p/>
    <w:p>
      <w:r>
        <w:t>──────────────────────────────────────────────────</w:t>
      </w:r>
    </w:p>
    <w:p/>
    <w:p>
      <w:pPr>
        <w:pStyle w:val="Heading2"/>
      </w:pPr>
      <w:r>
        <w:rPr>
          <w:rFonts w:ascii="Meiryo UI" w:hAnsi="Meiryo UI"/>
          <w:color w:val="2E74B5"/>
        </w:rPr>
        <w:t>【不動産含み益考察】</w:t>
      </w:r>
    </w:p>
    <w:p/>
    <w:p>
      <w:r>
        <w:rPr>
          <w:rFonts w:ascii="Meiryo UI" w:hAnsi="Meiryo UI"/>
          <w:sz w:val="20"/>
        </w:rPr>
        <w:t>Subaruは製造業のため不動産含み益は分析の主軸ではないが：</w:t>
      </w:r>
    </w:p>
    <w:p>
      <w:pPr>
        <w:pStyle w:val="ListBullet"/>
      </w:pPr>
      <w:r>
        <w:rPr>
          <w:rFonts w:ascii="Meiryo UI" w:hAnsi="Meiryo UI"/>
          <w:sz w:val="20"/>
        </w:rPr>
        <w:t>群馬・太田工場群、矢島工場：広大な製造用地を保有</w:t>
      </w:r>
    </w:p>
    <w:p>
      <w:pPr>
        <w:pStyle w:val="ListBullet"/>
      </w:pPr>
      <w:r>
        <w:rPr>
          <w:rFonts w:ascii="Meiryo UI" w:hAnsi="Meiryo UI"/>
          <w:sz w:val="20"/>
        </w:rPr>
        <w:t>IFRS非採用（日本基準）のため時価評価なし</w:t>
      </w:r>
    </w:p>
    <w:p>
      <w:pPr>
        <w:pStyle w:val="ListBullet"/>
      </w:pPr>
      <w:r>
        <w:rPr>
          <w:rFonts w:ascii="Meiryo UI" w:hAnsi="Meiryo UI"/>
          <w:sz w:val="20"/>
        </w:rPr>
        <w:t>不動産含み益は数百億程度と推計するが、¥1.4T純現金の前では軽微</w:t>
      </w:r>
    </w:p>
    <w:p/>
    <w:p>
      <w:r>
        <w:rPr>
          <w:rFonts w:ascii="Meiryo UI" w:hAnsi="Meiryo UI"/>
          <w:sz w:val="20"/>
        </w:rPr>
        <w:t>主要なNAV要因はネット現金¥1.4T（¥1,958/株）であり、これが最大の安全マージン。</w:t>
      </w:r>
    </w:p>
    <w:p/>
    <w:p>
      <w:r>
        <w:t>──────────────────────────────────────────────────</w:t>
      </w:r>
    </w:p>
    <w:p/>
    <w:p>
      <w:pPr>
        <w:pStyle w:val="Heading2"/>
      </w:pPr>
      <w:r>
        <w:rPr>
          <w:rFonts w:ascii="Meiryo UI" w:hAnsi="Meiryo UI"/>
          <w:color w:val="2E74B5"/>
        </w:rPr>
        <w:t>【IR質問状：竹村トレードカンパニー → スバルIR担当】</w:t>
      </w:r>
    </w:p>
    <w:p/>
    <w:p>
      <w:pPr>
        <w:shd w:val="clear" w:color="auto" w:fill="F2F2F2"/>
      </w:pPr>
      <w:r>
        <w:rPr>
          <w:rFonts w:ascii="Courier New" w:hAnsi="Courier New"/>
          <w:sz w:val="16"/>
        </w:rPr>
        <w:t>件名：IEEPA違憲判決後の業績影響確認（竹村トレードカンパニー）</w:t>
        <w:br/>
        <w:br/>
        <w:t>株式会社SUBARU 経営企画部IR推進課 御中</w:t>
        <w:br/>
        <w:br/>
        <w:t>竹村トレードカンパニーの浅井と申します。</w:t>
        <w:br/>
        <w:t>2026年4月22日の米CBPによるIEEPA関税還付手続き開始を受け、</w:t>
        <w:br/>
        <w:t>以下5点についてご確認をお願いいたします。</w:t>
        <w:br/>
        <w:br/>
        <w:t>Q1【IEEPA関税の貴社影響額の内訳】</w:t>
        <w:br/>
        <w:t>現行開示の「トランプ関税影響¥276B」のうち、</w:t>
        <w:br/>
        <w:t>IEEPA（相互関税24%）対象分と非IEEPA（Section232等）対象分の</w:t>
        <w:br/>
        <w:t>内訳を可能な範囲でお教えください。</w:t>
        <w:br/>
        <w:t>FY3/27のOPへの改善額を試算する上で不可欠な情報です。</w:t>
        <w:br/>
        <w:br/>
        <w:t>Q2【FY3/27業績予想（IEEPA除去後）の織り込み状況】</w:t>
        <w:br/>
        <w:t>2026年5月発表予定の本決算において、</w:t>
        <w:br/>
        <w:t>IEEPA撤廃後の前提でFY3/27ガイダンスを策定予定でしょうか。</w:t>
        <w:br/>
        <w:t>仮の感応度（¥100B関税コスト減少→OP改善額）があればお聞かせください。</w:t>
        <w:br/>
        <w:br/>
        <w:t>Q3【SIA（米インディアナ）の追加生産能力増強計画】</w:t>
        <w:br/>
        <w:t>IEEPA撤廃により日本からの輸出車の競争力が回復しますが、</w:t>
        <w:br/>
        <w:t>逆に北米生産増強の戦略的優先度は下がりましたか。</w:t>
        <w:br/>
        <w:t>現在のSIA稼働率と、FY3/27-28に向けた生産計画の方向性を教えてください。</w:t>
        <w:br/>
        <w:br/>
        <w:t>Q4【ネット現金¥1.4Tの活用方針】</w:t>
        <w:br/>
        <w:t>市場価値の76%相当のネット現金について、</w:t>
        <w:br/>
        <w:t>①自己株式取得、②増配、③M&amp;A・資本提携のどれを優先する方針ですか。</w:t>
        <w:br/>
        <w:t>現取締役会で議論されているROE改善策（目標10%）の具体的な施策をお聞かせください。</w:t>
        <w:br/>
        <w:br/>
        <w:t>Q5【米国シェア回復戦略：Forester値下げ後の展望】</w:t>
        <w:br/>
        <w:t>$1,500のForester価格引き下げを実施しましたが、</w:t>
        <w:br/>
        <w:t>3月の▲23.5%の販売減はどのくらいが関税効果（価格）で</w:t>
        <w:br/>
        <w:t>どのくらいが需要構造変化（EV普及・競合）によるものですか。</w:t>
        <w:br/>
        <w:t>FY3/27の米国台数回復目標（550K台か600K台か）があればお聞かせください。</w:t>
        <w:br/>
        <w:br/>
        <w:t>以上、よろしくお願いいたします。</w:t>
        <w:br/>
        <w:t>竹村トレードカンパニー 浅井</w:t>
        <w:br/>
        <w:t>contact@takemura-trading.co.jp</w:t>
      </w:r>
    </w:p>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判定</w:t>
            </w:r>
          </w:p>
        </w:tc>
        <w:tc>
          <w:tcPr>
            <w:tcW w:type="dxa" w:w="4703"/>
          </w:tcPr>
          <w:p>
            <w:r>
              <w:rPr>
                <w:rFonts w:ascii="Meiryo UI" w:hAnsi="Meiryo UI"/>
                <w:sz w:val="18"/>
              </w:rPr>
              <w:t>STRONG BUY</w:t>
            </w:r>
          </w:p>
        </w:tc>
      </w:tr>
      <w:tr>
        <w:tc>
          <w:tcPr>
            <w:tcW w:type="dxa" w:w="4703"/>
            <w:shd w:val="clear" w:color="auto" w:fill="DDEBF7"/>
          </w:tcPr>
          <w:p>
            <w:r>
              <w:rPr>
                <w:rFonts w:ascii="Meiryo UI" w:hAnsi="Meiryo UI"/>
                <w:sz w:val="18"/>
              </w:rPr>
              <w:t>確率加重FV</w:t>
            </w:r>
          </w:p>
        </w:tc>
        <w:tc>
          <w:tcPr>
            <w:tcW w:type="dxa" w:w="4703"/>
            <w:shd w:val="clear" w:color="auto" w:fill="DDEBF7"/>
          </w:tcPr>
          <w:p>
            <w:r>
              <w:rPr>
                <w:rFonts w:ascii="Meiryo UI" w:hAnsi="Meiryo UI"/>
                <w:sz w:val="18"/>
              </w:rPr>
              <w:t>¥3,660（Rev.2：将来関税リスク反映後）</w:t>
            </w:r>
          </w:p>
        </w:tc>
      </w:tr>
      <w:tr>
        <w:tc>
          <w:tcPr>
            <w:tcW w:type="dxa" w:w="4703"/>
          </w:tcPr>
          <w:p>
            <w:r>
              <w:rPr>
                <w:rFonts w:ascii="Meiryo UI" w:hAnsi="Meiryo UI"/>
                <w:sz w:val="18"/>
              </w:rPr>
              <w:t>ターゲット（Base）</w:t>
            </w:r>
          </w:p>
        </w:tc>
        <w:tc>
          <w:tcPr>
            <w:tcW w:type="dxa" w:w="4703"/>
          </w:tcPr>
          <w:p>
            <w:r>
              <w:rPr>
                <w:rFonts w:ascii="Meiryo UI" w:hAnsi="Meiryo UI"/>
                <w:sz w:val="18"/>
              </w:rPr>
              <w:t>¥3,600（Rev.2 TP、旧¥3,700→▲¥100）</w:t>
            </w:r>
          </w:p>
        </w:tc>
      </w:tr>
      <w:tr>
        <w:tc>
          <w:tcPr>
            <w:tcW w:type="dxa" w:w="4703"/>
            <w:shd w:val="clear" w:color="auto" w:fill="DDEBF7"/>
          </w:tcPr>
          <w:p>
            <w:r>
              <w:rPr>
                <w:rFonts w:ascii="Meiryo UI" w:hAnsi="Meiryo UI"/>
                <w:sz w:val="18"/>
              </w:rPr>
              <w:t>Bull TP</w:t>
            </w:r>
          </w:p>
        </w:tc>
        <w:tc>
          <w:tcPr>
            <w:tcW w:type="dxa" w:w="4703"/>
            <w:shd w:val="clear" w:color="auto" w:fill="DDEBF7"/>
          </w:tcPr>
          <w:p>
            <w:r>
              <w:rPr>
                <w:rFonts w:ascii="Meiryo UI" w:hAnsi="Meiryo UI"/>
                <w:sz w:val="18"/>
              </w:rPr>
              <w:t>¥4,800</w:t>
            </w:r>
          </w:p>
        </w:tc>
      </w:tr>
      <w:tr>
        <w:tc>
          <w:tcPr>
            <w:tcW w:type="dxa" w:w="4703"/>
          </w:tcPr>
          <w:p>
            <w:r>
              <w:rPr>
                <w:rFonts w:ascii="Meiryo UI" w:hAnsi="Meiryo UI"/>
                <w:sz w:val="18"/>
              </w:rPr>
              <w:t>Bear FV</w:t>
            </w:r>
          </w:p>
        </w:tc>
        <w:tc>
          <w:tcPr>
            <w:tcW w:type="dxa" w:w="4703"/>
          </w:tcPr>
          <w:p>
            <w:r>
              <w:rPr>
                <w:rFonts w:ascii="Meiryo UI" w:hAnsi="Meiryo UI"/>
                <w:sz w:val="18"/>
              </w:rPr>
              <w:t>¥2,800（ネット現金床。Section 232全発動シナリオ）</w:t>
            </w:r>
          </w:p>
        </w:tc>
      </w:tr>
      <w:tr>
        <w:tc>
          <w:tcPr>
            <w:tcW w:type="dxa" w:w="4703"/>
            <w:shd w:val="clear" w:color="auto" w:fill="DDEBF7"/>
          </w:tcPr>
          <w:p>
            <w:r>
              <w:rPr>
                <w:rFonts w:ascii="Meiryo UI" w:hAnsi="Meiryo UI"/>
                <w:sz w:val="18"/>
              </w:rPr>
              <w:t>現値（4/22）</w:t>
            </w:r>
          </w:p>
        </w:tc>
        <w:tc>
          <w:tcPr>
            <w:tcW w:type="dxa" w:w="4703"/>
            <w:shd w:val="clear" w:color="auto" w:fill="DDEBF7"/>
          </w:tcPr>
          <w:p>
            <w:r>
              <w:rPr>
                <w:rFonts w:ascii="Meiryo UI" w:hAnsi="Meiryo UI"/>
                <w:sz w:val="18"/>
              </w:rPr>
              <w:t>¥2,570.50</w:t>
            </w:r>
          </w:p>
        </w:tc>
      </w:tr>
      <w:tr>
        <w:tc>
          <w:tcPr>
            <w:tcW w:type="dxa" w:w="4703"/>
          </w:tcPr>
          <w:p>
            <w:r>
              <w:rPr>
                <w:rFonts w:ascii="Meiryo UI" w:hAnsi="Meiryo UI"/>
                <w:sz w:val="18"/>
              </w:rPr>
              <w:t>アップサイド（Base）</w:t>
            </w:r>
          </w:p>
        </w:tc>
        <w:tc>
          <w:tcPr>
            <w:tcW w:type="dxa" w:w="4703"/>
          </w:tcPr>
          <w:p>
            <w:r>
              <w:rPr>
                <w:rFonts w:ascii="Meiryo UI" w:hAnsi="Meiryo UI"/>
                <w:sz w:val="18"/>
              </w:rPr>
              <w:t>+40.0%（Rev.2修正後）</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4.5%（FY3/26E）→ 5-6%期待（FY3/27E）</w:t>
            </w:r>
          </w:p>
        </w:tc>
      </w:tr>
      <w:tr>
        <w:tc>
          <w:tcPr>
            <w:tcW w:type="dxa" w:w="4703"/>
          </w:tcPr>
          <w:p>
            <w:r>
              <w:rPr>
                <w:rFonts w:ascii="Meiryo UI" w:hAnsi="Meiryo UI"/>
                <w:sz w:val="18"/>
              </w:rPr>
              <w:t>SL</w:t>
            </w:r>
          </w:p>
        </w:tc>
        <w:tc>
          <w:tcPr>
            <w:tcW w:type="dxa" w:w="4703"/>
          </w:tcPr>
          <w:p>
            <w:r>
              <w:rPr>
                <w:rFonts w:ascii="Meiryo UI" w:hAnsi="Meiryo UI"/>
                <w:sz w:val="18"/>
              </w:rPr>
              <w:t>¥2,100（▲18.3%）</w:t>
            </w:r>
          </w:p>
        </w:tc>
      </w:tr>
      <w:tr>
        <w:tc>
          <w:tcPr>
            <w:tcW w:type="dxa" w:w="4703"/>
            <w:shd w:val="clear" w:color="auto" w:fill="DDEBF7"/>
          </w:tcPr>
          <w:p>
            <w:r>
              <w:rPr>
                <w:rFonts w:ascii="Meiryo UI" w:hAnsi="Meiryo UI"/>
                <w:sz w:val="18"/>
              </w:rPr>
              <w:t>推奨ポジション</w:t>
            </w:r>
          </w:p>
        </w:tc>
        <w:tc>
          <w:tcPr>
            <w:tcW w:type="dxa" w:w="4703"/>
            <w:shd w:val="clear" w:color="auto" w:fill="DDEBF7"/>
          </w:tcPr>
          <w:p>
            <w:r>
              <w:rPr>
                <w:rFonts w:ascii="Meiryo UI" w:hAnsi="Meiryo UI"/>
                <w:sz w:val="18"/>
              </w:rPr>
              <w:t>最大2.0%</w:t>
            </w:r>
          </w:p>
        </w:tc>
      </w:tr>
      <w:tr>
        <w:tc>
          <w:tcPr>
            <w:tcW w:type="dxa" w:w="4703"/>
          </w:tcPr>
          <w:p>
            <w:r>
              <w:rPr>
                <w:rFonts w:ascii="Meiryo UI" w:hAnsi="Meiryo UI"/>
                <w:sz w:val="18"/>
              </w:rPr>
              <w:t>主要トリガー</w:t>
            </w:r>
          </w:p>
        </w:tc>
        <w:tc>
          <w:tcPr>
            <w:tcW w:type="dxa" w:w="4703"/>
          </w:tcPr>
          <w:p>
            <w:r>
              <w:rPr>
                <w:rFonts w:ascii="Meiryo UI" w:hAnsi="Meiryo UI"/>
                <w:sz w:val="18"/>
              </w:rPr>
              <w:t>2026年5月 本決算でのFY3/27 OP¥280B+ガイダンス</w:t>
            </w:r>
          </w:p>
        </w:tc>
      </w:tr>
      <w:tr>
        <w:tc>
          <w:tcPr>
            <w:tcW w:type="dxa" w:w="4703"/>
            <w:shd w:val="clear" w:color="auto" w:fill="DDEBF7"/>
          </w:tcPr>
          <w:p>
            <w:r>
              <w:rPr>
                <w:rFonts w:ascii="Meiryo UI" w:hAnsi="Meiryo UI"/>
                <w:sz w:val="18"/>
              </w:rPr>
              <w:t>Bloomberg旧FV</w:t>
            </w:r>
          </w:p>
        </w:tc>
        <w:tc>
          <w:tcPr>
            <w:tcW w:type="dxa" w:w="4703"/>
            <w:shd w:val="clear" w:color="auto" w:fill="DDEBF7"/>
          </w:tcPr>
          <w:p>
            <w:r>
              <w:rPr>
                <w:rFonts w:ascii="Meiryo UI" w:hAnsi="Meiryo UI"/>
                <w:sz w:val="18"/>
              </w:rPr>
              <w:t>¥2,400-2,800（IEEPA考慮前、旧情報）</w:t>
            </w:r>
          </w:p>
        </w:tc>
      </w:tr>
      <w:tr>
        <w:tc>
          <w:tcPr>
            <w:tcW w:type="dxa" w:w="4703"/>
          </w:tcPr>
          <w:p>
            <w:r>
              <w:rPr>
                <w:rFonts w:ascii="Meiryo UI" w:hAnsi="Meiryo UI"/>
                <w:sz w:val="18"/>
              </w:rPr>
              <w:t>浅井修正FV</w:t>
            </w:r>
          </w:p>
        </w:tc>
        <w:tc>
          <w:tcPr>
            <w:tcW w:type="dxa" w:w="4703"/>
          </w:tcPr>
          <w:p>
            <w:r>
              <w:rPr>
                <w:rFonts w:ascii="Meiryo UI" w:hAnsi="Meiryo UI"/>
                <w:sz w:val="18"/>
              </w:rPr>
              <w:t>¥3,700-3,800（IEEPA完全除去後）</w:t>
            </w:r>
          </w:p>
        </w:tc>
      </w:tr>
      <w:tr>
        <w:tc>
          <w:tcPr>
            <w:tcW w:type="dxa" w:w="4703"/>
            <w:shd w:val="clear" w:color="auto" w:fill="DDEBF7"/>
          </w:tcPr>
          <w:p>
            <w:r>
              <w:rPr>
                <w:rFonts w:ascii="Meiryo UI" w:hAnsi="Meiryo UI"/>
                <w:sz w:val="18"/>
              </w:rPr>
              <w:t>主要リスク</w:t>
            </w:r>
          </w:p>
        </w:tc>
        <w:tc>
          <w:tcPr>
            <w:tcW w:type="dxa" w:w="4703"/>
            <w:shd w:val="clear" w:color="auto" w:fill="DDEBF7"/>
          </w:tcPr>
          <w:p>
            <w:r>
              <w:rPr>
                <w:rFonts w:ascii="Meiryo UI" w:hAnsi="Meiryo UI"/>
                <w:sz w:val="18"/>
              </w:rPr>
              <w:t>円高（USD/JPY¥145方向）、米国台数回復遅延</w:t>
            </w:r>
          </w:p>
        </w:tc>
      </w:tr>
    </w:tbl>
    <w:p/>
    <w:p>
      <w:r>
        <w:t>──────────────────────────────────────────────────</w:t>
      </w:r>
    </w:p>
    <w:p/>
    <w:p>
      <w:pPr>
        <w:pStyle w:val="Heading2"/>
      </w:pPr>
      <w:r>
        <w:rPr>
          <w:rFonts w:ascii="Meiryo UI" w:hAnsi="Meiryo UI"/>
          <w:color w:val="2E74B5"/>
        </w:rPr>
        <w:t>【浅井スコア最終判定】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w:t>
            </w:r>
          </w:p>
        </w:tc>
        <w:tc>
          <w:tcPr>
            <w:tcW w:type="dxa" w:w="3135"/>
          </w:tcPr>
          <w:p>
            <w:r>
              <w:rPr>
                <w:rFonts w:ascii="Meiryo UI" w:hAnsi="Meiryo UI"/>
                <w:sz w:val="18"/>
              </w:rPr>
              <w:t>◎</w:t>
            </w:r>
          </w:p>
        </w:tc>
        <w:tc>
          <w:tcPr>
            <w:tcW w:type="dxa" w:w="3135"/>
          </w:tcPr>
          <w:p>
            <w:r>
              <w:rPr>
                <w:rFonts w:ascii="Meiryo UI" w:hAnsi="Meiryo UI"/>
                <w:sz w:val="18"/>
              </w:rPr>
              <w:t>EV/EBITDA1.1x、PBR0.67x、ネット現金76%</w:t>
            </w:r>
          </w:p>
        </w:tc>
      </w:tr>
      <w:tr>
        <w:tc>
          <w:tcPr>
            <w:tcW w:type="dxa" w:w="3135"/>
            <w:shd w:val="clear" w:color="auto" w:fill="DDEBF7"/>
          </w:tcPr>
          <w:p>
            <w:r>
              <w:rPr>
                <w:rFonts w:ascii="Meiryo UI" w:hAnsi="Meiryo UI"/>
                <w:sz w:val="18"/>
              </w:rPr>
              <w:t>IEEPA触媒</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¥200B+改善余地、コンセンサス未反映</w:t>
            </w:r>
          </w:p>
        </w:tc>
      </w:tr>
      <w:tr>
        <w:tc>
          <w:tcPr>
            <w:tcW w:type="dxa" w:w="3135"/>
          </w:tcPr>
          <w:p>
            <w:r>
              <w:rPr>
                <w:rFonts w:ascii="Meiryo UI" w:hAnsi="Meiryo UI"/>
                <w:sz w:val="18"/>
              </w:rPr>
              <w:t>業績回復</w:t>
            </w:r>
          </w:p>
        </w:tc>
        <w:tc>
          <w:tcPr>
            <w:tcW w:type="dxa" w:w="3135"/>
          </w:tcPr>
          <w:p>
            <w:r>
              <w:rPr>
                <w:rFonts w:ascii="Meiryo UI" w:hAnsi="Meiryo UI"/>
                <w:sz w:val="18"/>
              </w:rPr>
              <w:t>○</w:t>
            </w:r>
          </w:p>
        </w:tc>
        <w:tc>
          <w:tcPr>
            <w:tcW w:type="dxa" w:w="3135"/>
          </w:tcPr>
          <w:p>
            <w:r>
              <w:rPr>
                <w:rFonts w:ascii="Meiryo UI" w:hAnsi="Meiryo UI"/>
                <w:sz w:val="18"/>
              </w:rPr>
              <w:t>FY3/26ワン・オフ解消、FY3/27正常化</w:t>
            </w:r>
          </w:p>
        </w:tc>
      </w:tr>
      <w:tr>
        <w:tc>
          <w:tcPr>
            <w:tcW w:type="dxa" w:w="3135"/>
            <w:shd w:val="clear" w:color="auto" w:fill="DDEBF7"/>
          </w:tcPr>
          <w:p>
            <w:r>
              <w:rPr>
                <w:rFonts w:ascii="Meiryo UI" w:hAnsi="Meiryo UI"/>
                <w:sz w:val="18"/>
              </w:rPr>
              <w:t>需要環境</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米国台数-23.5%、EV遅れ</w:t>
            </w:r>
          </w:p>
        </w:tc>
      </w:tr>
      <w:tr>
        <w:tc>
          <w:tcPr>
            <w:tcW w:type="dxa" w:w="3135"/>
          </w:tcPr>
          <w:p>
            <w:r>
              <w:rPr>
                <w:rFonts w:ascii="Meiryo UI" w:hAnsi="Meiryo UI"/>
                <w:sz w:val="18"/>
              </w:rPr>
              <w:t>地政学</w:t>
            </w:r>
          </w:p>
        </w:tc>
        <w:tc>
          <w:tcPr>
            <w:tcW w:type="dxa" w:w="3135"/>
          </w:tcPr>
          <w:p>
            <w:r>
              <w:rPr>
                <w:rFonts w:ascii="Meiryo UI" w:hAnsi="Meiryo UI"/>
                <w:sz w:val="18"/>
              </w:rPr>
              <w:t>△</w:t>
            </w:r>
          </w:p>
        </w:tc>
        <w:tc>
          <w:tcPr>
            <w:tcW w:type="dxa" w:w="3135"/>
          </w:tcPr>
          <w:p>
            <w:r>
              <w:rPr>
                <w:rFonts w:ascii="Meiryo UI" w:hAnsi="Meiryo UI"/>
                <w:sz w:val="18"/>
              </w:rPr>
              <w:t>ホルムズ継続→ガソリン高→SUV需要圧</w:t>
            </w:r>
          </w:p>
        </w:tc>
      </w:tr>
      <w:tr>
        <w:tc>
          <w:tcPr>
            <w:tcW w:type="dxa" w:w="3135"/>
            <w:shd w:val="clear" w:color="auto" w:fill="DDEBF7"/>
          </w:tcPr>
          <w:p>
            <w:r>
              <w:rPr>
                <w:rFonts w:ascii="Meiryo UI" w:hAnsi="Meiryo UI"/>
                <w:sz w:val="18"/>
              </w:rPr>
              <w:t>総合スコア</w:t>
            </w:r>
          </w:p>
        </w:tc>
        <w:tc>
          <w:tcPr>
            <w:tcW w:type="dxa" w:w="3135"/>
            <w:shd w:val="clear" w:color="auto" w:fill="DDEBF7"/>
          </w:tcPr>
          <w:p>
            <w:r>
              <w:rPr>
                <w:rFonts w:ascii="Meiryo UI" w:hAnsi="Meiryo UI"/>
                <w:sz w:val="18"/>
              </w:rPr>
              <w:t>+85（STRONG BUY）</w:t>
            </w:r>
          </w:p>
        </w:tc>
        <w:tc>
          <w:tcPr>
            <w:tcW w:type="dxa" w:w="3135"/>
            <w:shd w:val="clear" w:color="auto" w:fill="DDEBF7"/>
          </w:tcPr>
          <w:p>
            <w:r>
              <w:rPr>
                <w:rFonts w:ascii="Meiryo UI" w:hAnsi="Meiryo UI"/>
                <w:sz w:val="18"/>
              </w:rPr>
              <w:t>Rev.2：将来Section 232リスク▲7ptを反映。それでもネット現金¥1.4T×IEEPA還付で明確なSTRONG BUY</w:t>
            </w:r>
          </w:p>
        </w:tc>
      </w:tr>
    </w:tbl>
    <w:p/>
    <w:p>
      <w:r>
        <w:t>──────────────────────────────────────────────────</w:t>
      </w:r>
    </w:p>
    <w:p/>
    <w:p>
      <w:r>
        <w:rPr>
          <w:rFonts w:ascii="Meiryo UI" w:hAnsi="Meiryo UI"/>
          <w:sz w:val="20"/>
        </w:rPr>
        <w:t>Bloomberg Research統合・IEEPA特別分析版</w:t>
      </w:r>
    </w:p>
    <w:p>
      <w:r>
        <w:rPr>
          <w:rFonts w:ascii="Meiryo UI" w:hAnsi="Meiryo UI"/>
          <w:sz w:val="20"/>
        </w:rPr>
        <w:t>データソース：Bloomberg BQL（04/22/26）・米CBP CAPE稼働発表・各社レポート（UBS/Mizuho/Daiwa/SBI/Okasan/SMBC Nikko）・竹村トレードカンパニー独自試算</w:t>
      </w:r>
    </w:p>
    <w:p>
      <w:r>
        <w:rPr>
          <w:rFonts w:ascii="Meiryo UI" w:hAnsi="Meiryo UI"/>
          <w:sz w:val="20"/>
        </w:rPr>
        <w:t>本レポートは竹村トレードカンパニー内部分析用。投資の最終判断は社長判断によるものとします。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