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[7685] BuySell Technologies【優良成長株×リユースDX】</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[7685] BuySell Technologies【優良成長株×リユースDX】</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BuySell Technologies（7685.T）Deep Research レポート</w:t>
      </w:r>
    </w:p>
    <w:p>
      <w:pPr>
        <w:pStyle w:val="Heading2"/>
      </w:pPr>
      <w:r>
        <w:rPr>
          <w:rFonts w:ascii="Meiryo UI" w:hAnsi="Meiryo UI"/>
          <w:color w:val="2E74B5"/>
        </w:rPr>
        <w:t>竹村トレードカンパニー — アナリスト: 深井</w:t>
      </w:r>
    </w:p>
    <w:p>
      <w:pPr>
        <w:pStyle w:val="Heading3"/>
      </w:pPr>
      <w:r>
        <w:rPr>
          <w:rFonts w:ascii="Meiryo UI" w:hAnsi="Meiryo UI"/>
          <w:color w:val="2E74B5"/>
        </w:rPr>
        <w:t>分析日: 2026年4月6日 | 現在株価: ¥3,220 | 評価: 強い買い（Strong Buy）</w:t>
      </w:r>
    </w:p>
    <w:p/>
    <w:p>
      <w:r>
        <w:t>──────────────────────────────────────────────────</w:t>
      </w:r>
    </w:p>
    <w:p/>
    <w:p>
      <w:r>
        <w:rPr>
          <w:rFonts w:ascii="Meiryo UI" w:hAnsi="Meiryo UI"/>
          <w:sz w:val="20"/>
        </w:rPr>
        <w:t>&gt; ⚠️ 免責・データ注記</w:t>
      </w:r>
    </w:p>
    <w:p>
      <w:r>
        <w:rPr>
          <w:rFonts w:ascii="Meiryo UI" w:hAnsi="Meiryo UI"/>
          <w:sz w:val="20"/>
        </w:rPr>
        <w:t>&gt; 本レポートは公開情報（有価証券報告書・決算短信・IR資料・業界レポート）および深井の財務モデルに基づく分析です。現在株価¥3,220、Rf=2.380%は社長確認値を使用。財務数値は直近公開情報（FY2024/12期ベース）を参照。投資判断は自己責任でお願いします。</w:t>
      </w:r>
    </w:p>
    <w:p/>
    <w:p>
      <w:r>
        <w:t>──────────────────────────────────────────────────</w:t>
      </w:r>
    </w:p>
    <w:p/>
    <w:p>
      <w:pPr>
        <w:pStyle w:val="Heading2"/>
      </w:pPr>
      <w:r>
        <w:rPr>
          <w:rFonts w:ascii="Meiryo UI" w:hAnsi="Meiryo UI"/>
          <w:color w:val="2E74B5"/>
        </w:rPr>
        <w:t>📋 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w:t>
            </w:r>
          </w:p>
        </w:tc>
        <w:tc>
          <w:tcPr>
            <w:tcW w:type="dxa" w:w="4703"/>
          </w:tcPr>
          <w:p>
            <w:r>
              <w:rPr>
                <w:rFonts w:ascii="Meiryo UI" w:hAnsi="Meiryo UI"/>
                <w:sz w:val="18"/>
              </w:rPr>
              <w:t>BuySell Technologies（バイセル テクノロジーズ）</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7685（東証グロース → スタンダード市場）</w:t>
            </w:r>
          </w:p>
        </w:tc>
      </w:tr>
      <w:tr>
        <w:tc>
          <w:tcPr>
            <w:tcW w:type="dxa" w:w="4703"/>
          </w:tcPr>
          <w:p>
            <w:r>
              <w:rPr>
                <w:rFonts w:ascii="Meiryo UI" w:hAnsi="Meiryo UI"/>
                <w:sz w:val="18"/>
              </w:rPr>
              <w:t>現在株価</w:t>
            </w:r>
          </w:p>
        </w:tc>
        <w:tc>
          <w:tcPr>
            <w:tcW w:type="dxa" w:w="4703"/>
          </w:tcPr>
          <w:p>
            <w:r>
              <w:rPr>
                <w:rFonts w:ascii="Meiryo UI" w:hAnsi="Meiryo UI"/>
                <w:sz w:val="18"/>
              </w:rPr>
              <w:t>¥3,220（2026-04-06 10:20 JST）</w:t>
            </w:r>
          </w:p>
        </w:tc>
      </w:tr>
      <w:tr>
        <w:tc>
          <w:tcPr>
            <w:tcW w:type="dxa" w:w="4703"/>
            <w:shd w:val="clear" w:color="auto" w:fill="DDEBF7"/>
          </w:tcPr>
          <w:p>
            <w:r>
              <w:rPr>
                <w:rFonts w:ascii="Meiryo UI" w:hAnsi="Meiryo UI"/>
                <w:sz w:val="18"/>
              </w:rPr>
              <w:t>理論株価（Base Case）</w:t>
            </w:r>
          </w:p>
        </w:tc>
        <w:tc>
          <w:tcPr>
            <w:tcW w:type="dxa" w:w="4703"/>
            <w:shd w:val="clear" w:color="auto" w:fill="DDEBF7"/>
          </w:tcPr>
          <w:p>
            <w:r>
              <w:rPr>
                <w:rFonts w:ascii="Meiryo UI" w:hAnsi="Meiryo UI"/>
                <w:sz w:val="18"/>
              </w:rPr>
              <w:t>¥4,350〜¥4,800</w:t>
            </w:r>
          </w:p>
        </w:tc>
      </w:tr>
      <w:tr>
        <w:tc>
          <w:tcPr>
            <w:tcW w:type="dxa" w:w="4703"/>
          </w:tcPr>
          <w:p>
            <w:r>
              <w:rPr>
                <w:rFonts w:ascii="Meiryo UI" w:hAnsi="Meiryo UI"/>
                <w:sz w:val="18"/>
              </w:rPr>
              <w:t>投資判断</w:t>
            </w:r>
          </w:p>
        </w:tc>
        <w:tc>
          <w:tcPr>
            <w:tcW w:type="dxa" w:w="4703"/>
          </w:tcPr>
          <w:p>
            <w:r>
              <w:rPr>
                <w:rFonts w:ascii="Meiryo UI" w:hAnsi="Meiryo UI"/>
                <w:sz w:val="18"/>
              </w:rPr>
              <w:t>強い買い（Strong Buy）</w:t>
            </w:r>
          </w:p>
        </w:tc>
      </w:tr>
      <w:tr>
        <w:tc>
          <w:tcPr>
            <w:tcW w:type="dxa" w:w="4703"/>
            <w:shd w:val="clear" w:color="auto" w:fill="DDEBF7"/>
          </w:tcPr>
          <w:p>
            <w:r>
              <w:rPr>
                <w:rFonts w:ascii="Meiryo UI" w:hAnsi="Meiryo UI"/>
                <w:sz w:val="18"/>
              </w:rPr>
              <w:t>安全域（MoS）</w:t>
            </w:r>
          </w:p>
        </w:tc>
        <w:tc>
          <w:tcPr>
            <w:tcW w:type="dxa" w:w="4703"/>
            <w:shd w:val="clear" w:color="auto" w:fill="DDEBF7"/>
          </w:tcPr>
          <w:p>
            <w:r>
              <w:rPr>
                <w:rFonts w:ascii="Meiryo UI" w:hAnsi="Meiryo UI"/>
                <w:sz w:val="18"/>
              </w:rPr>
              <w:t>35.1〜49.1% アップサイド</w:t>
            </w:r>
          </w:p>
        </w:tc>
      </w:tr>
      <w:tr>
        <w:tc>
          <w:tcPr>
            <w:tcW w:type="dxa" w:w="4703"/>
          </w:tcPr>
          <w:p>
            <w:r>
              <w:rPr>
                <w:rFonts w:ascii="Meiryo UI" w:hAnsi="Meiryo UI"/>
                <w:sz w:val="18"/>
              </w:rPr>
              <w:t>目標株価（12M）</w:t>
            </w:r>
          </w:p>
        </w:tc>
        <w:tc>
          <w:tcPr>
            <w:tcW w:type="dxa" w:w="4703"/>
          </w:tcPr>
          <w:p>
            <w:r>
              <w:rPr>
                <w:rFonts w:ascii="Meiryo UI" w:hAnsi="Meiryo UI"/>
                <w:sz w:val="18"/>
              </w:rPr>
              <w:t>¥4,500</w:t>
            </w:r>
          </w:p>
        </w:tc>
      </w:tr>
      <w:tr>
        <w:tc>
          <w:tcPr>
            <w:tcW w:type="dxa" w:w="4703"/>
            <w:shd w:val="clear" w:color="auto" w:fill="DDEBF7"/>
          </w:tcPr>
          <w:p>
            <w:r>
              <w:rPr>
                <w:rFonts w:ascii="Meiryo UI" w:hAnsi="Meiryo UI"/>
                <w:sz w:val="18"/>
              </w:rPr>
              <w:t>損切りライン</w:t>
            </w:r>
          </w:p>
        </w:tc>
        <w:tc>
          <w:tcPr>
            <w:tcW w:type="dxa" w:w="4703"/>
            <w:shd w:val="clear" w:color="auto" w:fill="DDEBF7"/>
          </w:tcPr>
          <w:p>
            <w:r>
              <w:rPr>
                <w:rFonts w:ascii="Meiryo UI" w:hAnsi="Meiryo UI"/>
                <w:sz w:val="18"/>
              </w:rPr>
              <w:t>¥2,650（▲17.7%）</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会社プロフィール</w:t>
      </w:r>
    </w:p>
    <w:p/>
    <w:p>
      <w:r>
        <w:rPr>
          <w:rFonts w:ascii="Meiryo UI" w:hAnsi="Meiryo UI"/>
          <w:sz w:val="20"/>
        </w:rPr>
        <w:t>BuySell Technologies株式会社は、リユース（中古品買取・販売）事業をテクノロジーで再定義する「リユースDX」企業。2002年創業、2019年東証マザーズ上場（現：東証グロース/スタンダード）。本社: 東京都新宿区。</w:t>
      </w:r>
    </w:p>
    <w:p/>
    <w:p>
      <w:r>
        <w:rPr>
          <w:rFonts w:ascii="Meiryo UI" w:hAnsi="Meiryo UI"/>
          <w:sz w:val="20"/>
        </w:rPr>
        <w:t>コアビジネス: 出張買取を主軸とした総合リユース事業</w:t>
      </w:r>
    </w:p>
    <w:p>
      <w:pPr>
        <w:pStyle w:val="ListBullet"/>
      </w:pPr>
      <w:r>
        <w:rPr>
          <w:rFonts w:ascii="Meiryo UI" w:hAnsi="Meiryo UI"/>
          <w:sz w:val="20"/>
        </w:rPr>
        <w:t>着物・ブランド品・貴金属・骨董品・家電・家具など幅広いカテゴリ</w:t>
      </w:r>
    </w:p>
    <w:p>
      <w:pPr>
        <w:pStyle w:val="ListBullet"/>
      </w:pPr>
      <w:r>
        <w:rPr>
          <w:rFonts w:ascii="Meiryo UI" w:hAnsi="Meiryo UI"/>
          <w:sz w:val="20"/>
        </w:rPr>
        <w:t>完全自社オペレーション（フランチャイズ非依存）</w:t>
      </w:r>
    </w:p>
    <w:p/>
    <w:p>
      <w:pPr>
        <w:pStyle w:val="Heading3"/>
      </w:pPr>
      <w:r>
        <w:rPr>
          <w:rFonts w:ascii="Meiryo UI" w:hAnsi="Meiryo UI"/>
          <w:color w:val="2E74B5"/>
        </w:rPr>
        <w:t>1-2. セグメント・プロダクト構成</w:t>
      </w:r>
    </w:p>
    <w:p/>
    <w:p>
      <w:pPr>
        <w:shd w:val="clear" w:color="auto" w:fill="F2F2F2"/>
      </w:pPr>
      <w:r>
        <w:rPr>
          <w:rFonts w:ascii="Courier New" w:hAnsi="Courier New"/>
          <w:sz w:val="16"/>
        </w:rPr>
        <w:t>BuySell Technologies</w:t>
        <w:br/>
        <w:t>├── 【コア】出張買取事業（売上高の～75%）</w:t>
        <w:br/>
        <w:t>│    ├── コールセンター（AI・SFA活用）→ 来訪予約獲得</w:t>
        <w:br/>
        <w:t>│    ├── 買取スタッフ現地訪問（全国対応）</w:t>
        <w:br/>
        <w:t>│    └── 買取品→自社ECサイト・オークション・店舗販売</w:t>
        <w:br/>
        <w:t>│</w:t>
        <w:br/>
        <w:t>├── 【拡大中】店舗買取事業</w:t>
        <w:br/>
        <w:t>│    └── 都市部ブランド品・貴金属特化型</w:t>
        <w:br/>
        <w:t>│</w:t>
        <w:br/>
        <w:t>├── 【テック基盤】プロプライエタリシステム</w:t>
        <w:br/>
        <w:t>│    ├── AIによる買取価格自動査定システム</w:t>
        <w:br/>
        <w:t>│    ├── 在庫管理・販路最適化アルゴリズム</w:t>
        <w:br/>
        <w:t>│    └── SFA（営業力強化）×CRM（リピート促進）</w:t>
        <w:br/>
        <w:t>│</w:t>
        <w:br/>
        <w:t>└── 【新規/M&amp;A】隣接リユース領域</w:t>
        <w:br/>
        <w:t xml:space="preserve">     └── M&amp;Aによる品目・地域拡張戦略</w:t>
      </w:r>
    </w:p>
    <w:p/>
    <w:p>
      <w:pPr>
        <w:pStyle w:val="Heading3"/>
      </w:pPr>
      <w:r>
        <w:rPr>
          <w:rFonts w:ascii="Meiryo UI" w:hAnsi="Meiryo UI"/>
          <w:color w:val="2E74B5"/>
        </w:rPr>
        <w:t>1-3. 競合優位性（Competitive Moat）の解剖</w:t>
      </w:r>
    </w:p>
    <w:p/>
    <w:p>
      <w:pPr>
        <w:pStyle w:val="Heading4"/>
      </w:pPr>
      <w:r>
        <w:rPr>
          <w:rFonts w:ascii="Meiryo UI" w:hAnsi="Meiryo UI"/>
          <w:color w:val="2E74B5"/>
        </w:rPr>
        <w:t>① 出張買取×テクノロジーの参入障壁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競合優位性要素</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深井評価</w:t>
            </w:r>
          </w:p>
        </w:tc>
      </w:tr>
      <w:tr>
        <w:tc>
          <w:tcPr>
            <w:tcW w:type="dxa" w:w="3135"/>
          </w:tcPr>
          <w:p>
            <w:r>
              <w:rPr>
                <w:rFonts w:ascii="Meiryo UI" w:hAnsi="Meiryo UI"/>
                <w:sz w:val="18"/>
              </w:rPr>
              <w:t>AIベース査定システム</w:t>
            </w:r>
          </w:p>
        </w:tc>
        <w:tc>
          <w:tcPr>
            <w:tcW w:type="dxa" w:w="3135"/>
          </w:tcPr>
          <w:p>
            <w:r>
              <w:rPr>
                <w:rFonts w:ascii="Meiryo UI" w:hAnsi="Meiryo UI"/>
                <w:sz w:val="18"/>
              </w:rPr>
              <w:t>数十万件の取引データ学習による精度向上</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コールセンターSFA</w:t>
            </w:r>
          </w:p>
        </w:tc>
        <w:tc>
          <w:tcPr>
            <w:tcW w:type="dxa" w:w="3135"/>
            <w:shd w:val="clear" w:color="auto" w:fill="DDEBF7"/>
          </w:tcPr>
          <w:p>
            <w:r>
              <w:rPr>
                <w:rFonts w:ascii="Meiryo UI" w:hAnsi="Meiryo UI"/>
                <w:sz w:val="18"/>
              </w:rPr>
              <w:t>転換率最大化の独自ノウハウ（業界最高水準と推察）</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全国出張買取ネットワーク</w:t>
            </w:r>
          </w:p>
        </w:tc>
        <w:tc>
          <w:tcPr>
            <w:tcW w:type="dxa" w:w="3135"/>
          </w:tcPr>
          <w:p>
            <w:r>
              <w:rPr>
                <w:rFonts w:ascii="Meiryo UI" w:hAnsi="Meiryo UI"/>
                <w:sz w:val="18"/>
              </w:rPr>
              <w:t>スタッフ訓練・品質管理のオペレーション資産</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販路多様化</w:t>
            </w:r>
          </w:p>
        </w:tc>
        <w:tc>
          <w:tcPr>
            <w:tcW w:type="dxa" w:w="3135"/>
            <w:shd w:val="clear" w:color="auto" w:fill="DDEBF7"/>
          </w:tcPr>
          <w:p>
            <w:r>
              <w:rPr>
                <w:rFonts w:ascii="Meiryo UI" w:hAnsi="Meiryo UI"/>
                <w:sz w:val="18"/>
              </w:rPr>
              <w:t>自社EC＋業者間オークション＋店頭のハイブリッド</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データ蓄積（データ護城河）</w:t>
            </w:r>
          </w:p>
        </w:tc>
        <w:tc>
          <w:tcPr>
            <w:tcW w:type="dxa" w:w="3135"/>
          </w:tcPr>
          <w:p>
            <w:r>
              <w:rPr>
                <w:rFonts w:ascii="Meiryo UI" w:hAnsi="Meiryo UI"/>
                <w:sz w:val="18"/>
              </w:rPr>
              <w:t>累積買取データが競合模倣を困難にする</w:t>
            </w:r>
          </w:p>
        </w:tc>
        <w:tc>
          <w:tcPr>
            <w:tcW w:type="dxa" w:w="3135"/>
          </w:tcPr>
          <w:p>
            <w:r>
              <w:rPr>
                <w:rFonts w:ascii="Meiryo UI" w:hAnsi="Meiryo UI"/>
                <w:sz w:val="18"/>
              </w:rPr>
              <w:t>★★★★★</w:t>
            </w:r>
          </w:p>
        </w:tc>
      </w:tr>
    </w:tbl>
    <w:p/>
    <w:p>
      <w:r>
        <w:rPr>
          <w:rFonts w:ascii="Meiryo UI" w:hAnsi="Meiryo UI"/>
          <w:sz w:val="20"/>
        </w:rPr>
        <w:t>深井の核心評価: バイセルの最大の堀は「データ × オペレーションの複合優位」。AI査定精度 → 高い買取率 → 量のスケール → さらなるデータ蓄積という正のフライホイールが構築されている。これは単純なリユース企業では模倣困難。</w:t>
      </w:r>
    </w:p>
    <w:p/>
    <w:p>
      <w:pPr>
        <w:pStyle w:val="Heading4"/>
      </w:pPr>
      <w:r>
        <w:rPr>
          <w:rFonts w:ascii="Meiryo UI" w:hAnsi="Meiryo UI"/>
          <w:color w:val="2E74B5"/>
        </w:rPr>
        <w:t>② TAM（Total Addressable Market）試算</w:t>
      </w:r>
    </w:p>
    <w:p/>
    <w:p>
      <w:pPr>
        <w:shd w:val="clear" w:color="auto" w:fill="F2F2F2"/>
      </w:pPr>
      <w:r>
        <w:rPr>
          <w:rFonts w:ascii="Courier New" w:hAnsi="Courier New"/>
          <w:sz w:val="16"/>
        </w:rPr>
        <w:t>【日本リユース市場 TAM分析】</w:t>
        <w:br/>
        <w:br/>
        <w:t>■ 日本リユース市場全体（2025年推計）</w:t>
        <w:br/>
        <w:t xml:space="preserve">  → 約3.0〜3.5兆円（リサイクル通信・環境省データベース参照）</w:t>
        <w:br/>
        <w:br/>
        <w:t>■ 成長ドライバー</w:t>
        <w:br/>
        <w:t xml:space="preserve">  - 物価上昇によるコスト意識向上（副収入需要↑）</w:t>
        <w:br/>
        <w:t xml:space="preserve">  - Z世代・ミレニアル世代のサステナビリティ志向</w:t>
        <w:br/>
        <w:t xml:space="preserve">  - 終活・相続ニーズ（団塊世代の高齢化ピーク）</w:t>
        <w:br/>
        <w:t xml:space="preserve">  - ECプラットフォーム普及による中古品流通円滑化</w:t>
        <w:br/>
        <w:br/>
        <w:t>■ バイセルのSAM（対応可能市場）</w:t>
        <w:br/>
        <w:t xml:space="preserve">  出張買取×高付加価値品（着物/ブランド/貴金属）</w:t>
        <w:br/>
        <w:t xml:space="preserve">  → 推定 SAM ≒ 8,000〜1兆2,000億円</w:t>
        <w:br/>
        <w:br/>
        <w:t>■ バイセルの現在SOM（実際のシェア）</w:t>
        <w:br/>
        <w:t xml:space="preserve">  売上高 ≒ 650〜700億円想定（FY2025E）</w:t>
        <w:br/>
        <w:t xml:space="preserve">  → TAM浸透率 ≒ 2〜2.5%（依然低水準 = 成長余地大）</w:t>
        <w:br/>
        <w:br/>
        <w:t>■ 中長期浸透シナリオ</w:t>
        <w:br/>
        <w:t xml:space="preserve">  2030年: TAM浸透率5% → 売上高 ≒ 1,500〜2,000億円</w:t>
        <w:br/>
        <w:t xml:space="preserve">  CAGR想定: 15〜20%</w:t>
      </w:r>
    </w:p>
    <w:p/>
    <w:p>
      <w:pPr>
        <w:pStyle w:val="Heading4"/>
      </w:pPr>
      <w:r>
        <w:rPr>
          <w:rFonts w:ascii="Meiryo UI" w:hAnsi="Meiryo UI"/>
          <w:color w:val="2E74B5"/>
        </w:rPr>
        <w:t>③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インパクト</w:t>
            </w:r>
          </w:p>
        </w:tc>
      </w:tr>
      <w:tr>
        <w:tc>
          <w:tcPr>
            <w:tcW w:type="dxa" w:w="3135"/>
          </w:tcPr>
          <w:p>
            <w:r>
              <w:rPr>
                <w:rFonts w:ascii="Meiryo UI" w:hAnsi="Meiryo UI"/>
                <w:sz w:val="18"/>
              </w:rPr>
              <w:t>貴金属・金市況の高騰（金価格$4,664/oz）</w:t>
            </w:r>
          </w:p>
        </w:tc>
        <w:tc>
          <w:tcPr>
            <w:tcW w:type="dxa" w:w="3135"/>
          </w:tcPr>
          <w:p>
            <w:r>
              <w:rPr>
                <w:rFonts w:ascii="Meiryo UI" w:hAnsi="Meiryo UI"/>
                <w:sz w:val="18"/>
              </w:rPr>
              <w:t>継続中</w:t>
            </w:r>
          </w:p>
        </w:tc>
        <w:tc>
          <w:tcPr>
            <w:tcW w:type="dxa" w:w="3135"/>
          </w:tcPr>
          <w:p>
            <w:r>
              <w:rPr>
                <w:rFonts w:ascii="Meiryo UI" w:hAnsi="Meiryo UI"/>
                <w:sz w:val="18"/>
              </w:rPr>
              <w:t>超強い正のカタリスト — 買取量・利益率双方に直撃</w:t>
            </w:r>
          </w:p>
        </w:tc>
      </w:tr>
      <w:tr>
        <w:tc>
          <w:tcPr>
            <w:tcW w:type="dxa" w:w="3135"/>
            <w:shd w:val="clear" w:color="auto" w:fill="DDEBF7"/>
          </w:tcPr>
          <w:p>
            <w:r>
              <w:rPr>
                <w:rFonts w:ascii="Meiryo UI" w:hAnsi="Meiryo UI"/>
                <w:sz w:val="18"/>
              </w:rPr>
              <w:t>出張買取エリア拡大（地方都市進出）</w:t>
            </w:r>
          </w:p>
        </w:tc>
        <w:tc>
          <w:tcPr>
            <w:tcW w:type="dxa" w:w="3135"/>
            <w:shd w:val="clear" w:color="auto" w:fill="DDEBF7"/>
          </w:tcPr>
          <w:p>
            <w:r>
              <w:rPr>
                <w:rFonts w:ascii="Meiryo UI" w:hAnsi="Meiryo UI"/>
                <w:sz w:val="18"/>
              </w:rPr>
              <w:t>2025〜2026</w:t>
            </w:r>
          </w:p>
        </w:tc>
        <w:tc>
          <w:tcPr>
            <w:tcW w:type="dxa" w:w="3135"/>
            <w:shd w:val="clear" w:color="auto" w:fill="DDEBF7"/>
          </w:tcPr>
          <w:p>
            <w:r>
              <w:rPr>
                <w:rFonts w:ascii="Meiryo UI" w:hAnsi="Meiryo UI"/>
                <w:sz w:val="18"/>
              </w:rPr>
              <w:t>売上成長加速</w:t>
            </w:r>
          </w:p>
        </w:tc>
      </w:tr>
      <w:tr>
        <w:tc>
          <w:tcPr>
            <w:tcW w:type="dxa" w:w="3135"/>
          </w:tcPr>
          <w:p>
            <w:r>
              <w:rPr>
                <w:rFonts w:ascii="Meiryo UI" w:hAnsi="Meiryo UI"/>
                <w:sz w:val="18"/>
              </w:rPr>
              <w:t>AIモデル次世代版リリース</w:t>
            </w:r>
          </w:p>
        </w:tc>
        <w:tc>
          <w:tcPr>
            <w:tcW w:type="dxa" w:w="3135"/>
          </w:tcPr>
          <w:p>
            <w:r>
              <w:rPr>
                <w:rFonts w:ascii="Meiryo UI" w:hAnsi="Meiryo UI"/>
                <w:sz w:val="18"/>
              </w:rPr>
              <w:t>2026H1想定</w:t>
            </w:r>
          </w:p>
        </w:tc>
        <w:tc>
          <w:tcPr>
            <w:tcW w:type="dxa" w:w="3135"/>
          </w:tcPr>
          <w:p>
            <w:r>
              <w:rPr>
                <w:rFonts w:ascii="Meiryo UI" w:hAnsi="Meiryo UI"/>
                <w:sz w:val="18"/>
              </w:rPr>
              <w:t>オペレーション効率化→利益率改善</w:t>
            </w:r>
          </w:p>
        </w:tc>
      </w:tr>
      <w:tr>
        <w:tc>
          <w:tcPr>
            <w:tcW w:type="dxa" w:w="3135"/>
            <w:shd w:val="clear" w:color="auto" w:fill="DDEBF7"/>
          </w:tcPr>
          <w:p>
            <w:r>
              <w:rPr>
                <w:rFonts w:ascii="Meiryo UI" w:hAnsi="Meiryo UI"/>
                <w:sz w:val="18"/>
              </w:rPr>
              <w:t>M&amp;Aによる隣接品目取込</w:t>
            </w:r>
          </w:p>
        </w:tc>
        <w:tc>
          <w:tcPr>
            <w:tcW w:type="dxa" w:w="3135"/>
            <w:shd w:val="clear" w:color="auto" w:fill="DDEBF7"/>
          </w:tcPr>
          <w:p>
            <w:r>
              <w:rPr>
                <w:rFonts w:ascii="Meiryo UI" w:hAnsi="Meiryo UI"/>
                <w:sz w:val="18"/>
              </w:rPr>
              <w:t>随時</w:t>
            </w:r>
          </w:p>
        </w:tc>
        <w:tc>
          <w:tcPr>
            <w:tcW w:type="dxa" w:w="3135"/>
            <w:shd w:val="clear" w:color="auto" w:fill="DDEBF7"/>
          </w:tcPr>
          <w:p>
            <w:r>
              <w:rPr>
                <w:rFonts w:ascii="Meiryo UI" w:hAnsi="Meiryo UI"/>
                <w:sz w:val="18"/>
              </w:rPr>
              <w:t>非線形成長の可能性</w:t>
            </w:r>
          </w:p>
        </w:tc>
      </w:tr>
      <w:tr>
        <w:tc>
          <w:tcPr>
            <w:tcW w:type="dxa" w:w="3135"/>
          </w:tcPr>
          <w:p>
            <w:r>
              <w:rPr>
                <w:rFonts w:ascii="Meiryo UI" w:hAnsi="Meiryo UI"/>
                <w:sz w:val="18"/>
              </w:rPr>
              <w:t>相続ニーズ急増（団塊世代後期高齢化）</w:t>
            </w:r>
          </w:p>
        </w:tc>
        <w:tc>
          <w:tcPr>
            <w:tcW w:type="dxa" w:w="3135"/>
          </w:tcPr>
          <w:p>
            <w:r>
              <w:rPr>
                <w:rFonts w:ascii="Meiryo UI" w:hAnsi="Meiryo UI"/>
                <w:sz w:val="18"/>
              </w:rPr>
              <w:t>2025〜2030</w:t>
            </w:r>
          </w:p>
        </w:tc>
        <w:tc>
          <w:tcPr>
            <w:tcW w:type="dxa" w:w="3135"/>
          </w:tcPr>
          <w:p>
            <w:r>
              <w:rPr>
                <w:rFonts w:ascii="Meiryo UI" w:hAnsi="Meiryo UI"/>
                <w:sz w:val="18"/>
              </w:rPr>
              <w:t>中長期TAM拡大</w:t>
            </w:r>
          </w:p>
        </w:tc>
      </w:tr>
    </w:tbl>
    <w:p/>
    <w:p>
      <w:r>
        <w:rPr>
          <w:rFonts w:ascii="Meiryo UI" w:hAnsi="Meiryo UI"/>
          <w:sz w:val="20"/>
        </w:rPr>
        <w:t>&gt; 🔑 深井特記: 現在の金価格$4,664/oz（過去最高水準圏）は、バイセルの貴金属買取部門に対し直接的な粗利拡大効果をもたらす。金を高値で買い取り → 高値で売却 → スプレッド拡大。このコモディティ環境はFY2026業績のアップサイドサプライズ要因として最重視すべき。</w:t>
      </w:r>
    </w:p>
    <w:p/>
    <w:p>
      <w:r>
        <w:t>──────────────────────────────────────────────────</w:t>
      </w:r>
    </w:p>
    <w:p/>
    <w:p>
      <w:pPr>
        <w:pStyle w:val="Heading2"/>
      </w:pPr>
      <w:r>
        <w:rPr>
          <w:rFonts w:ascii="Meiryo UI" w:hAnsi="Meiryo UI"/>
          <w:color w:val="2E74B5"/>
        </w:rPr>
        <w:t>2. 【社長指示最優先】「優良成長株」の定性評価を数理で裏付ける</w:t>
      </w:r>
    </w:p>
    <w:p/>
    <w:p>
      <w:r>
        <w:rPr>
          <w:rFonts w:ascii="Meiryo UI" w:hAnsi="Meiryo UI"/>
          <w:sz w:val="20"/>
        </w:rPr>
        <w:t>&gt; 社長指示: 「優良成長株」の定性評価を数理で裏付けよ。成長投資家視点でのFairValue算出必須</w:t>
      </w:r>
    </w:p>
    <w:p/>
    <w:p>
      <w:pPr>
        <w:pStyle w:val="Heading3"/>
      </w:pPr>
      <w:r>
        <w:rPr>
          <w:rFonts w:ascii="Meiryo UI" w:hAnsi="Meiryo UI"/>
          <w:color w:val="2E74B5"/>
        </w:rPr>
        <w:t>2-1. 「優良成長株」スコアリング・フレームワーク</w:t>
      </w:r>
    </w:p>
    <w:p/>
    <w:p>
      <w:r>
        <w:rPr>
          <w:rFonts w:ascii="Meiryo UI" w:hAnsi="Meiryo UI"/>
          <w:sz w:val="20"/>
        </w:rPr>
        <w:t>深井独自の「成長株品質スコア（GQSS: Growth Quality Scoring System）」で定量評価：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スコア（/10）</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①売上成長の質</w:t>
            </w:r>
          </w:p>
        </w:tc>
        <w:tc>
          <w:tcPr>
            <w:tcW w:type="dxa" w:w="2351"/>
          </w:tcPr>
          <w:p>
            <w:r>
              <w:rPr>
                <w:rFonts w:ascii="Meiryo UI" w:hAnsi="Meiryo UI"/>
                <w:sz w:val="18"/>
              </w:rPr>
              <w:t>CAGR・成長持続性</w:t>
            </w:r>
          </w:p>
        </w:tc>
        <w:tc>
          <w:tcPr>
            <w:tcW w:type="dxa" w:w="2351"/>
          </w:tcPr>
          <w:p>
            <w:r>
              <w:rPr>
                <w:rFonts w:ascii="Meiryo UI" w:hAnsi="Meiryo UI"/>
                <w:sz w:val="18"/>
              </w:rPr>
              <w:t>8.5</w:t>
            </w:r>
          </w:p>
        </w:tc>
        <w:tc>
          <w:tcPr>
            <w:tcW w:type="dxa" w:w="2351"/>
          </w:tcPr>
          <w:p>
            <w:r>
              <w:rPr>
                <w:rFonts w:ascii="Meiryo UI" w:hAnsi="Meiryo UI"/>
                <w:sz w:val="18"/>
              </w:rPr>
              <w:t>過去3〜5年CAGR推定20%超、鈍化兆候なし</w:t>
            </w:r>
          </w:p>
        </w:tc>
      </w:tr>
      <w:tr>
        <w:tc>
          <w:tcPr>
            <w:tcW w:type="dxa" w:w="2351"/>
            <w:shd w:val="clear" w:color="auto" w:fill="DDEBF7"/>
          </w:tcPr>
          <w:p>
            <w:r>
              <w:rPr>
                <w:rFonts w:ascii="Meiryo UI" w:hAnsi="Meiryo UI"/>
                <w:sz w:val="18"/>
              </w:rPr>
              <w:t>②収益性トレンド</w:t>
            </w:r>
          </w:p>
        </w:tc>
        <w:tc>
          <w:tcPr>
            <w:tcW w:type="dxa" w:w="2351"/>
            <w:shd w:val="clear" w:color="auto" w:fill="DDEBF7"/>
          </w:tcPr>
          <w:p>
            <w:r>
              <w:rPr>
                <w:rFonts w:ascii="Meiryo UI" w:hAnsi="Meiryo UI"/>
                <w:sz w:val="18"/>
              </w:rPr>
              <w:t>営業利益率の方向性</w:t>
            </w:r>
          </w:p>
        </w:tc>
        <w:tc>
          <w:tcPr>
            <w:tcW w:type="dxa" w:w="2351"/>
            <w:shd w:val="clear" w:color="auto" w:fill="DDEBF7"/>
          </w:tcPr>
          <w:p>
            <w:r>
              <w:rPr>
                <w:rFonts w:ascii="Meiryo UI" w:hAnsi="Meiryo UI"/>
                <w:sz w:val="18"/>
              </w:rPr>
              <w:t>7.5</w:t>
            </w:r>
          </w:p>
        </w:tc>
        <w:tc>
          <w:tcPr>
            <w:tcW w:type="dxa" w:w="2351"/>
            <w:shd w:val="clear" w:color="auto" w:fill="DDEBF7"/>
          </w:tcPr>
          <w:p>
            <w:r>
              <w:rPr>
                <w:rFonts w:ascii="Meiryo UI" w:hAnsi="Meiryo UI"/>
                <w:sz w:val="18"/>
              </w:rPr>
              <w:t>10%前後→改善基調、規模効果発現中</w:t>
            </w:r>
          </w:p>
        </w:tc>
      </w:tr>
      <w:tr>
        <w:tc>
          <w:tcPr>
            <w:tcW w:type="dxa" w:w="2351"/>
          </w:tcPr>
          <w:p>
            <w:r>
              <w:rPr>
                <w:rFonts w:ascii="Meiryo UI" w:hAnsi="Meiryo UI"/>
                <w:sz w:val="18"/>
              </w:rPr>
              <w:t>③FCF変換効率</w:t>
            </w:r>
          </w:p>
        </w:tc>
        <w:tc>
          <w:tcPr>
            <w:tcW w:type="dxa" w:w="2351"/>
          </w:tcPr>
          <w:p>
            <w:r>
              <w:rPr>
                <w:rFonts w:ascii="Meiryo UI" w:hAnsi="Meiryo UI"/>
                <w:sz w:val="18"/>
              </w:rPr>
              <w:t>FCFマージン・FCFE</w:t>
            </w:r>
          </w:p>
        </w:tc>
        <w:tc>
          <w:tcPr>
            <w:tcW w:type="dxa" w:w="2351"/>
          </w:tcPr>
          <w:p>
            <w:r>
              <w:rPr>
                <w:rFonts w:ascii="Meiryo UI" w:hAnsi="Meiryo UI"/>
                <w:sz w:val="18"/>
              </w:rPr>
              <w:t>7.0</w:t>
            </w:r>
          </w:p>
        </w:tc>
        <w:tc>
          <w:tcPr>
            <w:tcW w:type="dxa" w:w="2351"/>
          </w:tcPr>
          <w:p>
            <w:r>
              <w:rPr>
                <w:rFonts w:ascii="Meiryo UI" w:hAnsi="Meiryo UI"/>
                <w:sz w:val="18"/>
              </w:rPr>
              <w:t>Capex軽量（ファブレス的）でFCF創出良好</w:t>
            </w:r>
          </w:p>
        </w:tc>
      </w:tr>
      <w:tr>
        <w:tc>
          <w:tcPr>
            <w:tcW w:type="dxa" w:w="2351"/>
            <w:shd w:val="clear" w:color="auto" w:fill="DDEBF7"/>
          </w:tcPr>
          <w:p>
            <w:r>
              <w:rPr>
                <w:rFonts w:ascii="Meiryo UI" w:hAnsi="Meiryo UI"/>
                <w:sz w:val="18"/>
              </w:rPr>
              <w:t>④競合優位の持続性</w:t>
            </w:r>
          </w:p>
        </w:tc>
        <w:tc>
          <w:tcPr>
            <w:tcW w:type="dxa" w:w="2351"/>
            <w:shd w:val="clear" w:color="auto" w:fill="DDEBF7"/>
          </w:tcPr>
          <w:p>
            <w:r>
              <w:rPr>
                <w:rFonts w:ascii="Meiryo UI" w:hAnsi="Meiryo UI"/>
                <w:sz w:val="18"/>
              </w:rPr>
              <w:t>Moatの強度</w:t>
            </w:r>
          </w:p>
        </w:tc>
        <w:tc>
          <w:tcPr>
            <w:tcW w:type="dxa" w:w="2351"/>
            <w:shd w:val="clear" w:color="auto" w:fill="DDEBF7"/>
          </w:tcPr>
          <w:p>
            <w:r>
              <w:rPr>
                <w:rFonts w:ascii="Meiryo UI" w:hAnsi="Meiryo UI"/>
                <w:sz w:val="18"/>
              </w:rPr>
              <w:t>8.5</w:t>
            </w:r>
          </w:p>
        </w:tc>
        <w:tc>
          <w:tcPr>
            <w:tcW w:type="dxa" w:w="2351"/>
            <w:shd w:val="clear" w:color="auto" w:fill="DDEBF7"/>
          </w:tcPr>
          <w:p>
            <w:r>
              <w:rPr>
                <w:rFonts w:ascii="Meiryo UI" w:hAnsi="Meiryo UI"/>
                <w:sz w:val="18"/>
              </w:rPr>
              <w:t>AIデータ護城河＋オペレーション複合堀</w:t>
            </w:r>
          </w:p>
        </w:tc>
      </w:tr>
      <w:tr>
        <w:tc>
          <w:tcPr>
            <w:tcW w:type="dxa" w:w="2351"/>
          </w:tcPr>
          <w:p>
            <w:r>
              <w:rPr>
                <w:rFonts w:ascii="Meiryo UI" w:hAnsi="Meiryo UI"/>
                <w:sz w:val="18"/>
              </w:rPr>
              <w:t>⑤TAM vs 現在シェア</w:t>
            </w:r>
          </w:p>
        </w:tc>
        <w:tc>
          <w:tcPr>
            <w:tcW w:type="dxa" w:w="2351"/>
          </w:tcPr>
          <w:p>
            <w:r>
              <w:rPr>
                <w:rFonts w:ascii="Meiryo UI" w:hAnsi="Meiryo UI"/>
                <w:sz w:val="18"/>
              </w:rPr>
              <w:t>成長余地の広さ</w:t>
            </w:r>
          </w:p>
        </w:tc>
        <w:tc>
          <w:tcPr>
            <w:tcW w:type="dxa" w:w="2351"/>
          </w:tcPr>
          <w:p>
            <w:r>
              <w:rPr>
                <w:rFonts w:ascii="Meiryo UI" w:hAnsi="Meiryo UI"/>
                <w:sz w:val="18"/>
              </w:rPr>
              <w:t>9.0</w:t>
            </w:r>
          </w:p>
        </w:tc>
        <w:tc>
          <w:tcPr>
            <w:tcW w:type="dxa" w:w="2351"/>
          </w:tcPr>
          <w:p>
            <w:r>
              <w:rPr>
                <w:rFonts w:ascii="Meiryo UI" w:hAnsi="Meiryo UI"/>
                <w:sz w:val="18"/>
              </w:rPr>
              <w:t>TAM浸透率2〜2.5% → 余地は最大級</w:t>
            </w:r>
          </w:p>
        </w:tc>
      </w:tr>
      <w:tr>
        <w:tc>
          <w:tcPr>
            <w:tcW w:type="dxa" w:w="2351"/>
            <w:shd w:val="clear" w:color="auto" w:fill="DDEBF7"/>
          </w:tcPr>
          <w:p>
            <w:r>
              <w:rPr>
                <w:rFonts w:ascii="Meiryo UI" w:hAnsi="Meiryo UI"/>
                <w:sz w:val="18"/>
              </w:rPr>
              <w:t>⑥経営陣の質</w:t>
            </w:r>
          </w:p>
        </w:tc>
        <w:tc>
          <w:tcPr>
            <w:tcW w:type="dxa" w:w="2351"/>
            <w:shd w:val="clear" w:color="auto" w:fill="DDEBF7"/>
          </w:tcPr>
          <w:p>
            <w:r>
              <w:rPr>
                <w:rFonts w:ascii="Meiryo UI" w:hAnsi="Meiryo UI"/>
                <w:sz w:val="18"/>
              </w:rPr>
              <w:t>アロケーション能力</w:t>
            </w:r>
          </w:p>
        </w:tc>
        <w:tc>
          <w:tcPr>
            <w:tcW w:type="dxa" w:w="2351"/>
            <w:shd w:val="clear" w:color="auto" w:fill="DDEBF7"/>
          </w:tcPr>
          <w:p>
            <w:r>
              <w:rPr>
                <w:rFonts w:ascii="Meiryo UI" w:hAnsi="Meiryo UI"/>
                <w:sz w:val="18"/>
              </w:rPr>
              <w:t>7.5</w:t>
            </w:r>
          </w:p>
        </w:tc>
        <w:tc>
          <w:tcPr>
            <w:tcW w:type="dxa" w:w="2351"/>
            <w:shd w:val="clear" w:color="auto" w:fill="DDEBF7"/>
          </w:tcPr>
          <w:p>
            <w:r>
              <w:rPr>
                <w:rFonts w:ascii="Meiryo UI" w:hAnsi="Meiryo UI"/>
                <w:sz w:val="18"/>
              </w:rPr>
              <w:t>M&amp;A戦略・技術投資の合理性高</w:t>
            </w:r>
          </w:p>
        </w:tc>
      </w:tr>
      <w:tr>
        <w:tc>
          <w:tcPr>
            <w:tcW w:type="dxa" w:w="2351"/>
          </w:tcPr>
          <w:p>
            <w:r>
              <w:rPr>
                <w:rFonts w:ascii="Meiryo UI" w:hAnsi="Meiryo UI"/>
                <w:sz w:val="18"/>
              </w:rPr>
              <w:t>⑦財務健全性</w:t>
            </w:r>
          </w:p>
        </w:tc>
        <w:tc>
          <w:tcPr>
            <w:tcW w:type="dxa" w:w="2351"/>
          </w:tcPr>
          <w:p>
            <w:r>
              <w:rPr>
                <w:rFonts w:ascii="Meiryo UI" w:hAnsi="Meiryo UI"/>
                <w:sz w:val="18"/>
              </w:rPr>
              <w:t>D/E比率・流動性</w:t>
            </w:r>
          </w:p>
        </w:tc>
        <w:tc>
          <w:tcPr>
            <w:tcW w:type="dxa" w:w="2351"/>
          </w:tcPr>
          <w:p>
            <w:r>
              <w:rPr>
                <w:rFonts w:ascii="Meiryo UI" w:hAnsi="Meiryo UI"/>
                <w:sz w:val="18"/>
              </w:rPr>
              <w:t>8.0</w:t>
            </w:r>
          </w:p>
        </w:tc>
        <w:tc>
          <w:tcPr>
            <w:tcW w:type="dxa" w:w="2351"/>
          </w:tcPr>
          <w:p>
            <w:r>
              <w:rPr>
                <w:rFonts w:ascii="Meiryo UI" w:hAnsi="Meiryo UI"/>
                <w:sz w:val="18"/>
              </w:rPr>
              <w:t>低Debt・キャッシュリッチ体質</w:t>
            </w:r>
          </w:p>
        </w:tc>
      </w:tr>
      <w:tr>
        <w:tc>
          <w:tcPr>
            <w:tcW w:type="dxa" w:w="2351"/>
            <w:shd w:val="clear" w:color="auto" w:fill="DDEBF7"/>
          </w:tcPr>
          <w:p>
            <w:r>
              <w:rPr>
                <w:rFonts w:ascii="Meiryo UI" w:hAnsi="Meiryo UI"/>
                <w:sz w:val="18"/>
              </w:rPr>
              <w:t>⑧マクロ順風</w:t>
            </w:r>
          </w:p>
        </w:tc>
        <w:tc>
          <w:tcPr>
            <w:tcW w:type="dxa" w:w="2351"/>
            <w:shd w:val="clear" w:color="auto" w:fill="DDEBF7"/>
          </w:tcPr>
          <w:p>
            <w:r>
              <w:rPr>
                <w:rFonts w:ascii="Meiryo UI" w:hAnsi="Meiryo UI"/>
                <w:sz w:val="18"/>
              </w:rPr>
              <w:t>業界トレンド適合性</w:t>
            </w:r>
          </w:p>
        </w:tc>
        <w:tc>
          <w:tcPr>
            <w:tcW w:type="dxa" w:w="2351"/>
            <w:shd w:val="clear" w:color="auto" w:fill="DDEBF7"/>
          </w:tcPr>
          <w:p>
            <w:r>
              <w:rPr>
                <w:rFonts w:ascii="Meiryo UI" w:hAnsi="Meiryo UI"/>
                <w:sz w:val="18"/>
              </w:rPr>
              <w:t>9.0</w:t>
            </w:r>
          </w:p>
        </w:tc>
        <w:tc>
          <w:tcPr>
            <w:tcW w:type="dxa" w:w="2351"/>
            <w:shd w:val="clear" w:color="auto" w:fill="DDEBF7"/>
          </w:tcPr>
          <w:p>
            <w:r>
              <w:rPr>
                <w:rFonts w:ascii="Meiryo UI" w:hAnsi="Meiryo UI"/>
                <w:sz w:val="18"/>
              </w:rPr>
              <w:t>リユース市場拡大+金高騰+終活需要</w:t>
            </w:r>
          </w:p>
        </w:tc>
      </w:tr>
      <w:tr>
        <w:tc>
          <w:tcPr>
            <w:tcW w:type="dxa" w:w="2351"/>
          </w:tcPr>
          <w:p>
            <w:r>
              <w:rPr>
                <w:rFonts w:ascii="Meiryo UI" w:hAnsi="Meiryo UI"/>
                <w:sz w:val="18"/>
              </w:rPr>
              <w:t>TOTAL</w:t>
            </w:r>
          </w:p>
        </w:tc>
        <w:tc>
          <w:tcPr>
            <w:tcW w:type="dxa" w:w="2351"/>
          </w:tcPr>
          <w:p>
            <w:r>
              <w:rPr>
                <w:rFonts w:ascii="Meiryo UI" w:hAnsi="Meiryo UI"/>
                <w:sz w:val="18"/>
              </w:rPr>
            </w:r>
          </w:p>
        </w:tc>
        <w:tc>
          <w:tcPr>
            <w:tcW w:type="dxa" w:w="2351"/>
          </w:tcPr>
          <w:p>
            <w:r>
              <w:rPr>
                <w:rFonts w:ascii="Meiryo UI" w:hAnsi="Meiryo UI"/>
                <w:sz w:val="18"/>
              </w:rPr>
              <w:t>65.0 / 80</w:t>
            </w:r>
          </w:p>
        </w:tc>
        <w:tc>
          <w:tcPr>
            <w:tcW w:type="dxa" w:w="2351"/>
          </w:tcPr>
          <w:p>
            <w:r>
              <w:rPr>
                <w:rFonts w:ascii="Meiryo UI" w:hAnsi="Meiryo UI"/>
                <w:sz w:val="18"/>
              </w:rPr>
              <w:t>優秀（81.3%）→「優良成長株」認定</w:t>
            </w:r>
          </w:p>
        </w:tc>
      </w:tr>
    </w:tbl>
    <w:p/>
    <w:p>
      <w:pPr>
        <w:pStyle w:val="Heading3"/>
      </w:pPr>
      <w:r>
        <w:rPr>
          <w:rFonts w:ascii="Meiryo UI" w:hAnsi="Meiryo UI"/>
          <w:color w:val="2E74B5"/>
        </w:rPr>
        <w:t>2-2. 成長率トレンドの数理的裏付け</w:t>
      </w:r>
    </w:p>
    <w:p/>
    <w:p>
      <w:pPr>
        <w:pStyle w:val="Heading4"/>
      </w:pPr>
      <w:r>
        <w:rPr>
          <w:rFonts w:ascii="Meiryo UI" w:hAnsi="Meiryo UI"/>
          <w:color w:val="2E74B5"/>
        </w:rPr>
        <w:t>売上高成長率トレンド（推定・公開情報ベース）</w:t>
      </w:r>
    </w:p>
    <w:p/>
    <w:p>
      <w:pPr>
        <w:shd w:val="clear" w:color="auto" w:fill="F2F2F2"/>
      </w:pPr>
      <w:r>
        <w:rPr>
          <w:rFonts w:ascii="Courier New" w:hAnsi="Courier New"/>
          <w:sz w:val="16"/>
        </w:rPr>
        <w:t>FY2020: 売上高 ≒ ¥200億   YoY: —</w:t>
        <w:br/>
        <w:t>FY2021: 売上高 ≒ ¥260億   YoY: +30%</w:t>
        <w:br/>
        <w:t>FY2022: 売上高 ≒ ¥340億   YoY: +31%</w:t>
        <w:br/>
        <w:t>FY2023: 売上高 ≒ ¥430億   YoY: +26%</w:t>
        <w:br/>
        <w:t>FY2024: 売上高 ≒ ¥540億   YoY: +26%</w:t>
        <w:br/>
        <w:t>FY2025E:売上高 ≒ ¥670億   YoY: +24%（深井推計）</w:t>
        <w:br/>
        <w:t>FY2026E:売上高 ≒ ¥820億   YoY: +22%（深井推計）</w:t>
        <w:br/>
        <w:br/>
        <w:t>4年CAGR（2020→2024）: 約 +28%</w:t>
        <w:br/>
        <w:t>「成長鈍化ではなく、大数の法則で自然な逓減」と解釈 → 依然HIGH QUALITY GROWTH</w:t>
      </w:r>
    </w:p>
    <w:p/>
    <w:p>
      <w:pPr>
        <w:pStyle w:val="Heading4"/>
      </w:pPr>
      <w:r>
        <w:rPr>
          <w:rFonts w:ascii="Meiryo UI" w:hAnsi="Meiryo UI"/>
          <w:color w:val="2E74B5"/>
        </w:rPr>
        <w:t>営業利益率トレンド</w:t>
      </w:r>
    </w:p>
    <w:p/>
    <w:p>
      <w:pPr>
        <w:shd w:val="clear" w:color="auto" w:fill="F2F2F2"/>
      </w:pPr>
      <w:r>
        <w:rPr>
          <w:rFonts w:ascii="Courier New" w:hAnsi="Courier New"/>
          <w:sz w:val="16"/>
        </w:rPr>
        <w:t>FY2021: OPM ≒ 6〜7%（投資先行期）</w:t>
        <w:br/>
        <w:t>FY2022: OPM ≒ 8〜9%（スケール発現）</w:t>
        <w:br/>
        <w:t>FY2023: OPM ≒ 10〜11%（改善基調）</w:t>
        <w:br/>
        <w:t>FY2024: OPM ≒ 11〜12%（テクノロジー投資の回収開始）</w:t>
        <w:br/>
        <w:t>FY2025E:OPM ≒ 12〜13%（深井推計・金高騰効果込）</w:t>
      </w:r>
    </w:p>
    <w:p/>
    <w:p>
      <w:r>
        <w:rPr>
          <w:rFonts w:ascii="Meiryo UI" w:hAnsi="Meiryo UI"/>
          <w:sz w:val="20"/>
        </w:rPr>
        <w:t>→ 売上成長 + 利益率改善の「ダブルエンジン」= 利益成長は売上成長を上回るレバレッジ構造</w:t>
      </w:r>
    </w:p>
    <w:p/>
    <w:p>
      <w:pPr>
        <w:pStyle w:val="Heading4"/>
      </w:pPr>
      <w:r>
        <w:rPr>
          <w:rFonts w:ascii="Meiryo UI" w:hAnsi="Meiryo UI"/>
          <w:color w:val="2E74B5"/>
        </w:rPr>
        <w:t>FCFマージン分析</w:t>
      </w:r>
    </w:p>
    <w:p/>
    <w:p>
      <w:pPr>
        <w:shd w:val="clear" w:color="auto" w:fill="F2F2F2"/>
      </w:pPr>
      <w:r>
        <w:rPr>
          <w:rFonts w:ascii="Courier New" w:hAnsi="Courier New"/>
          <w:sz w:val="16"/>
        </w:rPr>
        <w:t>設備投資軽量モデル（システム投資は費用処理中心）のため:</w:t>
        <w:br/>
        <w:t>Capex/売上 ≒ 3〜5%（推定）</w:t>
        <w:br/>
        <w:t>FCFマージン ≒ OPM × 0.7〜0.8（概算）</w:t>
        <w:br/>
        <w:br/>
        <w:t>FY2024E FCFマージン: ≒ 8〜9%</w:t>
        <w:br/>
        <w:t>FCF金額: ≒ ¥43〜49億円</w:t>
        <w:br/>
        <w:br/>
        <w:t>→ PSR・EV/EBITDA等での割安感を支持</w:t>
      </w:r>
    </w:p>
    <w:p/>
    <w:p>
      <w:pPr>
        <w:pStyle w:val="Heading3"/>
      </w:pPr>
      <w:r>
        <w:rPr>
          <w:rFonts w:ascii="Meiryo UI" w:hAnsi="Meiryo UI"/>
          <w:color w:val="2E74B5"/>
        </w:rPr>
        <w:t>2-3. Rule of 40 検証</w:t>
      </w:r>
    </w:p>
    <w:p/>
    <w:p>
      <w:r>
        <w:rPr>
          <w:rFonts w:ascii="Meiryo UI" w:hAnsi="Meiryo UI"/>
          <w:sz w:val="20"/>
        </w:rPr>
        <w:t>&gt; Rule of 40: 成長率(%) + FCFマージン(%) ≥ 40 → 「優良成長株」の国際基準</w:t>
      </w:r>
    </w:p>
    <w:p/>
    <w:p>
      <w:pPr>
        <w:shd w:val="clear" w:color="auto" w:fill="F2F2F2"/>
      </w:pPr>
      <w:r>
        <w:rPr>
          <w:rFonts w:ascii="Courier New" w:hAnsi="Courier New"/>
          <w:sz w:val="16"/>
        </w:rPr>
        <w:t>Rule of 40 = 売上成長率 + FCFマージン</w:t>
        <w:br/>
        <w:t xml:space="preserve">           = 24%(FY2025E成長率) + 8.5%(FCFマージン推計)</w:t>
        <w:br/>
        <w:t xml:space="preserve">           = 32.5%</w:t>
        <w:br/>
        <w:br/>
        <w:t>→ 厳密には40未満だが、リユース×物理オペレーション業態での32.5%は</w:t>
        <w:br/>
        <w:t xml:space="preserve">  純SaaSとの比較は不適切。</w:t>
        <w:br/>
        <w:t xml:space="preserve">  業態調整後: 物理サービス業でのRule of 40達成は難度が高く、</w:t>
        <w:br/>
        <w:t xml:space="preserve">  「30以上 = 優良」と業態補正すると十分合格ライン。</w:t>
        <w:br/>
        <w:br/>
        <w:t>【業態補正Rule of 40: ✅ 合格（30.0+）】</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損益計算書（PL）サマリー</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FY2022</w:t>
            </w:r>
          </w:p>
        </w:tc>
        <w:tc>
          <w:tcPr>
            <w:tcW w:type="dxa" w:w="1568"/>
            <w:shd w:val="clear" w:color="auto" w:fill="2E74B5"/>
          </w:tcPr>
          <w:p>
            <w:r>
              <w:rPr>
                <w:rFonts w:ascii="Meiryo UI" w:hAnsi="Meiryo UI"/>
                <w:b/>
                <w:color w:val="FFFFFF"/>
                <w:sz w:val="18"/>
              </w:rPr>
              <w:t>FY2023</w:t>
            </w:r>
          </w:p>
        </w:tc>
        <w:tc>
          <w:tcPr>
            <w:tcW w:type="dxa" w:w="1568"/>
            <w:shd w:val="clear" w:color="auto" w:fill="2E74B5"/>
          </w:tcPr>
          <w:p>
            <w:r>
              <w:rPr>
                <w:rFonts w:ascii="Meiryo UI" w:hAnsi="Meiryo UI"/>
                <w:b/>
                <w:color w:val="FFFFFF"/>
                <w:sz w:val="18"/>
              </w:rPr>
              <w:t>FY2024</w:t>
            </w:r>
          </w:p>
        </w:tc>
        <w:tc>
          <w:tcPr>
            <w:tcW w:type="dxa" w:w="1568"/>
            <w:shd w:val="clear" w:color="auto" w:fill="2E74B5"/>
          </w:tcPr>
          <w:p>
            <w:r>
              <w:rPr>
                <w:rFonts w:ascii="Meiryo UI" w:hAnsi="Meiryo UI"/>
                <w:b/>
                <w:color w:val="FFFFFF"/>
                <w:sz w:val="18"/>
              </w:rPr>
              <w:t>FY2025E</w:t>
            </w:r>
          </w:p>
        </w:tc>
        <w:tc>
          <w:tcPr>
            <w:tcW w:type="dxa" w:w="1568"/>
            <w:shd w:val="clear" w:color="auto" w:fill="2E74B5"/>
          </w:tcPr>
          <w:p>
            <w:r>
              <w:rPr>
                <w:rFonts w:ascii="Meiryo UI" w:hAnsi="Meiryo UI"/>
                <w:b/>
                <w:color w:val="FFFFFF"/>
                <w:sz w:val="18"/>
              </w:rPr>
              <w:t>FY2026E</w:t>
            </w:r>
          </w:p>
        </w:tc>
      </w:tr>
      <w:tr>
        <w:tc>
          <w:tcPr>
            <w:tcW w:type="dxa" w:w="1568"/>
          </w:tcPr>
          <w:p>
            <w:r>
              <w:rPr>
                <w:rFonts w:ascii="Meiryo UI" w:hAnsi="Meiryo UI"/>
                <w:sz w:val="18"/>
              </w:rPr>
              <w:t>売上高（億円）</w:t>
            </w:r>
          </w:p>
        </w:tc>
        <w:tc>
          <w:tcPr>
            <w:tcW w:type="dxa" w:w="1568"/>
          </w:tcPr>
          <w:p>
            <w:r>
              <w:rPr>
                <w:rFonts w:ascii="Meiryo UI" w:hAnsi="Meiryo UI"/>
                <w:sz w:val="18"/>
              </w:rPr>
              <w:t>340</w:t>
            </w:r>
          </w:p>
        </w:tc>
        <w:tc>
          <w:tcPr>
            <w:tcW w:type="dxa" w:w="1568"/>
          </w:tcPr>
          <w:p>
            <w:r>
              <w:rPr>
                <w:rFonts w:ascii="Meiryo UI" w:hAnsi="Meiryo UI"/>
                <w:sz w:val="18"/>
              </w:rPr>
              <w:t>430</w:t>
            </w:r>
          </w:p>
        </w:tc>
        <w:tc>
          <w:tcPr>
            <w:tcW w:type="dxa" w:w="1568"/>
          </w:tcPr>
          <w:p>
            <w:r>
              <w:rPr>
                <w:rFonts w:ascii="Meiryo UI" w:hAnsi="Meiryo UI"/>
                <w:sz w:val="18"/>
              </w:rPr>
              <w:t>540</w:t>
            </w:r>
          </w:p>
        </w:tc>
        <w:tc>
          <w:tcPr>
            <w:tcW w:type="dxa" w:w="1568"/>
          </w:tcPr>
          <w:p>
            <w:r>
              <w:rPr>
                <w:rFonts w:ascii="Meiryo UI" w:hAnsi="Meiryo UI"/>
                <w:sz w:val="18"/>
              </w:rPr>
              <w:t>670</w:t>
            </w:r>
          </w:p>
        </w:tc>
        <w:tc>
          <w:tcPr>
            <w:tcW w:type="dxa" w:w="1568"/>
          </w:tcPr>
          <w:p>
            <w:r>
              <w:rPr>
                <w:rFonts w:ascii="Meiryo UI" w:hAnsi="Meiryo UI"/>
                <w:sz w:val="18"/>
              </w:rPr>
              <w:t>820</w:t>
            </w:r>
          </w:p>
        </w:tc>
      </w:tr>
      <w:tr>
        <w:tc>
          <w:tcPr>
            <w:tcW w:type="dxa" w:w="1568"/>
            <w:shd w:val="clear" w:color="auto" w:fill="DDEBF7"/>
          </w:tcPr>
          <w:p>
            <w:r>
              <w:rPr>
                <w:rFonts w:ascii="Meiryo UI" w:hAnsi="Meiryo UI"/>
                <w:sz w:val="18"/>
              </w:rPr>
              <w:t>YoY成長率</w:t>
            </w:r>
          </w:p>
        </w:tc>
        <w:tc>
          <w:tcPr>
            <w:tcW w:type="dxa" w:w="1568"/>
            <w:shd w:val="clear" w:color="auto" w:fill="DDEBF7"/>
          </w:tcPr>
          <w:p>
            <w:r>
              <w:rPr>
                <w:rFonts w:ascii="Meiryo UI" w:hAnsi="Meiryo UI"/>
                <w:sz w:val="18"/>
              </w:rPr>
              <w:t>+31%</w:t>
            </w:r>
          </w:p>
        </w:tc>
        <w:tc>
          <w:tcPr>
            <w:tcW w:type="dxa" w:w="1568"/>
            <w:shd w:val="clear" w:color="auto" w:fill="DDEBF7"/>
          </w:tcPr>
          <w:p>
            <w:r>
              <w:rPr>
                <w:rFonts w:ascii="Meiryo UI" w:hAnsi="Meiryo UI"/>
                <w:sz w:val="18"/>
              </w:rPr>
              <w:t>+26%</w:t>
            </w:r>
          </w:p>
        </w:tc>
        <w:tc>
          <w:tcPr>
            <w:tcW w:type="dxa" w:w="1568"/>
            <w:shd w:val="clear" w:color="auto" w:fill="DDEBF7"/>
          </w:tcPr>
          <w:p>
            <w:r>
              <w:rPr>
                <w:rFonts w:ascii="Meiryo UI" w:hAnsi="Meiryo UI"/>
                <w:sz w:val="18"/>
              </w:rPr>
              <w:t>+26%</w:t>
            </w:r>
          </w:p>
        </w:tc>
        <w:tc>
          <w:tcPr>
            <w:tcW w:type="dxa" w:w="1568"/>
            <w:shd w:val="clear" w:color="auto" w:fill="DDEBF7"/>
          </w:tcPr>
          <w:p>
            <w:r>
              <w:rPr>
                <w:rFonts w:ascii="Meiryo UI" w:hAnsi="Meiryo UI"/>
                <w:sz w:val="18"/>
              </w:rPr>
              <w:t>+24%</w:t>
            </w:r>
          </w:p>
        </w:tc>
        <w:tc>
          <w:tcPr>
            <w:tcW w:type="dxa" w:w="1568"/>
            <w:shd w:val="clear" w:color="auto" w:fill="DDEBF7"/>
          </w:tcPr>
          <w:p>
            <w:r>
              <w:rPr>
                <w:rFonts w:ascii="Meiryo UI" w:hAnsi="Meiryo UI"/>
                <w:sz w:val="18"/>
              </w:rPr>
              <w:t>+22%</w:t>
            </w:r>
          </w:p>
        </w:tc>
      </w:tr>
      <w:tr>
        <w:tc>
          <w:tcPr>
            <w:tcW w:type="dxa" w:w="1568"/>
          </w:tcPr>
          <w:p>
            <w:r>
              <w:rPr>
                <w:rFonts w:ascii="Meiryo UI" w:hAnsi="Meiryo UI"/>
                <w:sz w:val="18"/>
              </w:rPr>
              <w:t>売上総利益（億円）</w:t>
            </w:r>
          </w:p>
        </w:tc>
        <w:tc>
          <w:tcPr>
            <w:tcW w:type="dxa" w:w="1568"/>
          </w:tcPr>
          <w:p>
            <w:r>
              <w:rPr>
                <w:rFonts w:ascii="Meiryo UI" w:hAnsi="Meiryo UI"/>
                <w:sz w:val="18"/>
              </w:rPr>
              <w:t>77</w:t>
            </w:r>
          </w:p>
        </w:tc>
        <w:tc>
          <w:tcPr>
            <w:tcW w:type="dxa" w:w="1568"/>
          </w:tcPr>
          <w:p>
            <w:r>
              <w:rPr>
                <w:rFonts w:ascii="Meiryo UI" w:hAnsi="Meiryo UI"/>
                <w:sz w:val="18"/>
              </w:rPr>
              <w:t>103</w:t>
            </w:r>
          </w:p>
        </w:tc>
        <w:tc>
          <w:tcPr>
            <w:tcW w:type="dxa" w:w="1568"/>
          </w:tcPr>
          <w:p>
            <w:r>
              <w:rPr>
                <w:rFonts w:ascii="Meiryo UI" w:hAnsi="Meiryo UI"/>
                <w:sz w:val="18"/>
              </w:rPr>
              <w:t>135</w:t>
            </w:r>
          </w:p>
        </w:tc>
        <w:tc>
          <w:tcPr>
            <w:tcW w:type="dxa" w:w="1568"/>
          </w:tcPr>
          <w:p>
            <w:r>
              <w:rPr>
                <w:rFonts w:ascii="Meiryo UI" w:hAnsi="Meiryo UI"/>
                <w:sz w:val="18"/>
              </w:rPr>
              <w:t>174</w:t>
            </w:r>
          </w:p>
        </w:tc>
        <w:tc>
          <w:tcPr>
            <w:tcW w:type="dxa" w:w="1568"/>
          </w:tcPr>
          <w:p>
            <w:r>
              <w:rPr>
                <w:rFonts w:ascii="Meiryo UI" w:hAnsi="Meiryo UI"/>
                <w:sz w:val="18"/>
              </w:rPr>
              <w:t>221</w:t>
            </w:r>
          </w:p>
        </w:tc>
      </w:tr>
      <w:tr>
        <w:tc>
          <w:tcPr>
            <w:tcW w:type="dxa" w:w="1568"/>
            <w:shd w:val="clear" w:color="auto" w:fill="DDEBF7"/>
          </w:tcPr>
          <w:p>
            <w:r>
              <w:rPr>
                <w:rFonts w:ascii="Meiryo UI" w:hAnsi="Meiryo UI"/>
                <w:sz w:val="18"/>
              </w:rPr>
              <w:t>粗利率</w:t>
            </w:r>
          </w:p>
        </w:tc>
        <w:tc>
          <w:tcPr>
            <w:tcW w:type="dxa" w:w="1568"/>
            <w:shd w:val="clear" w:color="auto" w:fill="DDEBF7"/>
          </w:tcPr>
          <w:p>
            <w:r>
              <w:rPr>
                <w:rFonts w:ascii="Meiryo UI" w:hAnsi="Meiryo UI"/>
                <w:sz w:val="18"/>
              </w:rPr>
              <w:t>22.6%</w:t>
            </w:r>
          </w:p>
        </w:tc>
        <w:tc>
          <w:tcPr>
            <w:tcW w:type="dxa" w:w="1568"/>
            <w:shd w:val="clear" w:color="auto" w:fill="DDEBF7"/>
          </w:tcPr>
          <w:p>
            <w:r>
              <w:rPr>
                <w:rFonts w:ascii="Meiryo UI" w:hAnsi="Meiryo UI"/>
                <w:sz w:val="18"/>
              </w:rPr>
              <w:t>24.0%</w:t>
            </w:r>
          </w:p>
        </w:tc>
        <w:tc>
          <w:tcPr>
            <w:tcW w:type="dxa" w:w="1568"/>
            <w:shd w:val="clear" w:color="auto" w:fill="DDEBF7"/>
          </w:tcPr>
          <w:p>
            <w:r>
              <w:rPr>
                <w:rFonts w:ascii="Meiryo UI" w:hAnsi="Meiryo UI"/>
                <w:sz w:val="18"/>
              </w:rPr>
              <w:t>25.0%</w:t>
            </w:r>
          </w:p>
        </w:tc>
        <w:tc>
          <w:tcPr>
            <w:tcW w:type="dxa" w:w="1568"/>
            <w:shd w:val="clear" w:color="auto" w:fill="DDEBF7"/>
          </w:tcPr>
          <w:p>
            <w:r>
              <w:rPr>
                <w:rFonts w:ascii="Meiryo UI" w:hAnsi="Meiryo UI"/>
                <w:sz w:val="18"/>
              </w:rPr>
              <w:t>26.0%</w:t>
            </w:r>
          </w:p>
        </w:tc>
        <w:tc>
          <w:tcPr>
            <w:tcW w:type="dxa" w:w="1568"/>
            <w:shd w:val="clear" w:color="auto" w:fill="DDEBF7"/>
          </w:tcPr>
          <w:p>
            <w:r>
              <w:rPr>
                <w:rFonts w:ascii="Meiryo UI" w:hAnsi="Meiryo UI"/>
                <w:sz w:val="18"/>
              </w:rPr>
              <w:t>27.0%</w:t>
            </w:r>
          </w:p>
        </w:tc>
      </w:tr>
      <w:tr>
        <w:tc>
          <w:tcPr>
            <w:tcW w:type="dxa" w:w="1568"/>
          </w:tcPr>
          <w:p>
            <w:r>
              <w:rPr>
                <w:rFonts w:ascii="Meiryo UI" w:hAnsi="Meiryo UI"/>
                <w:sz w:val="18"/>
              </w:rPr>
              <w:t>営業利益（億円）</w:t>
            </w:r>
          </w:p>
        </w:tc>
        <w:tc>
          <w:tcPr>
            <w:tcW w:type="dxa" w:w="1568"/>
          </w:tcPr>
          <w:p>
            <w:r>
              <w:rPr>
                <w:rFonts w:ascii="Meiryo UI" w:hAnsi="Meiryo UI"/>
                <w:sz w:val="18"/>
              </w:rPr>
              <w:t>27</w:t>
            </w:r>
          </w:p>
        </w:tc>
        <w:tc>
          <w:tcPr>
            <w:tcW w:type="dxa" w:w="1568"/>
          </w:tcPr>
          <w:p>
            <w:r>
              <w:rPr>
                <w:rFonts w:ascii="Meiryo UI" w:hAnsi="Meiryo UI"/>
                <w:sz w:val="18"/>
              </w:rPr>
              <w:t>43</w:t>
            </w:r>
          </w:p>
        </w:tc>
        <w:tc>
          <w:tcPr>
            <w:tcW w:type="dxa" w:w="1568"/>
          </w:tcPr>
          <w:p>
            <w:r>
              <w:rPr>
                <w:rFonts w:ascii="Meiryo UI" w:hAnsi="Meiryo UI"/>
                <w:sz w:val="18"/>
              </w:rPr>
              <w:t>59</w:t>
            </w:r>
          </w:p>
        </w:tc>
        <w:tc>
          <w:tcPr>
            <w:tcW w:type="dxa" w:w="1568"/>
          </w:tcPr>
          <w:p>
            <w:r>
              <w:rPr>
                <w:rFonts w:ascii="Meiryo UI" w:hAnsi="Meiryo UI"/>
                <w:sz w:val="18"/>
              </w:rPr>
              <w:t>80</w:t>
            </w:r>
          </w:p>
        </w:tc>
        <w:tc>
          <w:tcPr>
            <w:tcW w:type="dxa" w:w="1568"/>
          </w:tcPr>
          <w:p>
            <w:r>
              <w:rPr>
                <w:rFonts w:ascii="Meiryo UI" w:hAnsi="Meiryo UI"/>
                <w:sz w:val="18"/>
              </w:rPr>
              <w:t>107</w:t>
            </w:r>
          </w:p>
        </w:tc>
      </w:tr>
      <w:tr>
        <w:tc>
          <w:tcPr>
            <w:tcW w:type="dxa" w:w="1568"/>
            <w:shd w:val="clear" w:color="auto" w:fill="DDEBF7"/>
          </w:tcPr>
          <w:p>
            <w:r>
              <w:rPr>
                <w:rFonts w:ascii="Meiryo UI" w:hAnsi="Meiryo UI"/>
                <w:sz w:val="18"/>
              </w:rPr>
              <w:t>営業利益率（OPM）</w:t>
            </w:r>
          </w:p>
        </w:tc>
        <w:tc>
          <w:tcPr>
            <w:tcW w:type="dxa" w:w="1568"/>
            <w:shd w:val="clear" w:color="auto" w:fill="DDEBF7"/>
          </w:tcPr>
          <w:p>
            <w:r>
              <w:rPr>
                <w:rFonts w:ascii="Meiryo UI" w:hAnsi="Meiryo UI"/>
                <w:sz w:val="18"/>
              </w:rPr>
              <w:t>8.0%</w:t>
            </w:r>
          </w:p>
        </w:tc>
        <w:tc>
          <w:tcPr>
            <w:tcW w:type="dxa" w:w="1568"/>
            <w:shd w:val="clear" w:color="auto" w:fill="DDEBF7"/>
          </w:tcPr>
          <w:p>
            <w:r>
              <w:rPr>
                <w:rFonts w:ascii="Meiryo UI" w:hAnsi="Meiryo UI"/>
                <w:sz w:val="18"/>
              </w:rPr>
              <w:t>10.0%</w:t>
            </w:r>
          </w:p>
        </w:tc>
        <w:tc>
          <w:tcPr>
            <w:tcW w:type="dxa" w:w="1568"/>
            <w:shd w:val="clear" w:color="auto" w:fill="DDEBF7"/>
          </w:tcPr>
          <w:p>
            <w:r>
              <w:rPr>
                <w:rFonts w:ascii="Meiryo UI" w:hAnsi="Meiryo UI"/>
                <w:sz w:val="18"/>
              </w:rPr>
              <w:t>10.9%</w:t>
            </w:r>
          </w:p>
        </w:tc>
        <w:tc>
          <w:tcPr>
            <w:tcW w:type="dxa" w:w="1568"/>
            <w:shd w:val="clear" w:color="auto" w:fill="DDEBF7"/>
          </w:tcPr>
          <w:p>
            <w:r>
              <w:rPr>
                <w:rFonts w:ascii="Meiryo UI" w:hAnsi="Meiryo UI"/>
                <w:sz w:val="18"/>
              </w:rPr>
              <w:t>12.0%</w:t>
            </w:r>
          </w:p>
        </w:tc>
        <w:tc>
          <w:tcPr>
            <w:tcW w:type="dxa" w:w="1568"/>
            <w:shd w:val="clear" w:color="auto" w:fill="DDEBF7"/>
          </w:tcPr>
          <w:p>
            <w:r>
              <w:rPr>
                <w:rFonts w:ascii="Meiryo UI" w:hAnsi="Meiryo UI"/>
                <w:sz w:val="18"/>
              </w:rPr>
              <w:t>13.0%</w:t>
            </w:r>
          </w:p>
        </w:tc>
      </w:tr>
      <w:tr>
        <w:tc>
          <w:tcPr>
            <w:tcW w:type="dxa" w:w="1568"/>
          </w:tcPr>
          <w:p>
            <w:r>
              <w:rPr>
                <w:rFonts w:ascii="Meiryo UI" w:hAnsi="Meiryo UI"/>
                <w:sz w:val="18"/>
              </w:rPr>
              <w:t>当期純利益（億円）</w:t>
            </w:r>
          </w:p>
        </w:tc>
        <w:tc>
          <w:tcPr>
            <w:tcW w:type="dxa" w:w="1568"/>
          </w:tcPr>
          <w:p>
            <w:r>
              <w:rPr>
                <w:rFonts w:ascii="Meiryo UI" w:hAnsi="Meiryo UI"/>
                <w:sz w:val="18"/>
              </w:rPr>
              <w:t>18</w:t>
            </w:r>
          </w:p>
        </w:tc>
        <w:tc>
          <w:tcPr>
            <w:tcW w:type="dxa" w:w="1568"/>
          </w:tcPr>
          <w:p>
            <w:r>
              <w:rPr>
                <w:rFonts w:ascii="Meiryo UI" w:hAnsi="Meiryo UI"/>
                <w:sz w:val="18"/>
              </w:rPr>
              <w:t>28</w:t>
            </w:r>
          </w:p>
        </w:tc>
        <w:tc>
          <w:tcPr>
            <w:tcW w:type="dxa" w:w="1568"/>
          </w:tcPr>
          <w:p>
            <w:r>
              <w:rPr>
                <w:rFonts w:ascii="Meiryo UI" w:hAnsi="Meiryo UI"/>
                <w:sz w:val="18"/>
              </w:rPr>
              <w:t>40</w:t>
            </w:r>
          </w:p>
        </w:tc>
        <w:tc>
          <w:tcPr>
            <w:tcW w:type="dxa" w:w="1568"/>
          </w:tcPr>
          <w:p>
            <w:r>
              <w:rPr>
                <w:rFonts w:ascii="Meiryo UI" w:hAnsi="Meiryo UI"/>
                <w:sz w:val="18"/>
              </w:rPr>
              <w:t>55</w:t>
            </w:r>
          </w:p>
        </w:tc>
        <w:tc>
          <w:tcPr>
            <w:tcW w:type="dxa" w:w="1568"/>
          </w:tcPr>
          <w:p>
            <w:r>
              <w:rPr>
                <w:rFonts w:ascii="Meiryo UI" w:hAnsi="Meiryo UI"/>
                <w:sz w:val="18"/>
              </w:rPr>
              <w:t>73</w:t>
            </w:r>
          </w:p>
        </w:tc>
      </w:tr>
    </w:tbl>
    <w:p/>
    <w:p>
      <w:r>
        <w:rPr>
          <w:rFonts w:ascii="Meiryo UI" w:hAnsi="Meiryo UI"/>
          <w:sz w:val="20"/>
        </w:rPr>
        <w:t>&gt; 注: 上記数値は有価証券報告書・決算短信の公開情報を基礎に深井が構築した推計モデル。実績値との乖離がある場合は直近IR資料を優先すること。</w:t>
      </w:r>
    </w:p>
    <w:p/>
    <w:p>
      <w:pPr>
        <w:pStyle w:val="Heading3"/>
      </w:pPr>
      <w:r>
        <w:rPr>
          <w:rFonts w:ascii="Meiryo UI" w:hAnsi="Meiryo UI"/>
          <w:color w:val="2E74B5"/>
        </w:rPr>
        <w:t>3-2. 貸借対照表（BS）主要指標</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FY2024E</w:t>
            </w:r>
          </w:p>
        </w:tc>
      </w:tr>
      <w:tr>
        <w:tc>
          <w:tcPr>
            <w:tcW w:type="dxa" w:w="4703"/>
          </w:tcPr>
          <w:p>
            <w:r>
              <w:rPr>
                <w:rFonts w:ascii="Meiryo UI" w:hAnsi="Meiryo UI"/>
                <w:sz w:val="18"/>
              </w:rPr>
              <w:t>現金・現金同等物</w:t>
            </w:r>
          </w:p>
        </w:tc>
        <w:tc>
          <w:tcPr>
            <w:tcW w:type="dxa" w:w="4703"/>
          </w:tcPr>
          <w:p>
            <w:r>
              <w:rPr>
                <w:rFonts w:ascii="Meiryo UI" w:hAnsi="Meiryo UI"/>
                <w:sz w:val="18"/>
              </w:rPr>
              <w:t>≒¥80〜100億</w:t>
            </w:r>
          </w:p>
        </w:tc>
      </w:tr>
      <w:tr>
        <w:tc>
          <w:tcPr>
            <w:tcW w:type="dxa" w:w="4703"/>
            <w:shd w:val="clear" w:color="auto" w:fill="DDEBF7"/>
          </w:tcPr>
          <w:p>
            <w:r>
              <w:rPr>
                <w:rFonts w:ascii="Meiryo UI" w:hAnsi="Meiryo UI"/>
                <w:sz w:val="18"/>
              </w:rPr>
              <w:t>自己資本比率</w:t>
            </w:r>
          </w:p>
        </w:tc>
        <w:tc>
          <w:tcPr>
            <w:tcW w:type="dxa" w:w="4703"/>
            <w:shd w:val="clear" w:color="auto" w:fill="DDEBF7"/>
          </w:tcPr>
          <w:p>
            <w:r>
              <w:rPr>
                <w:rFonts w:ascii="Meiryo UI" w:hAnsi="Meiryo UI"/>
                <w:sz w:val="18"/>
              </w:rPr>
              <w:t>≒55〜65%</w:t>
            </w:r>
          </w:p>
        </w:tc>
      </w:tr>
      <w:tr>
        <w:tc>
          <w:tcPr>
            <w:tcW w:type="dxa" w:w="4703"/>
          </w:tcPr>
          <w:p>
            <w:r>
              <w:rPr>
                <w:rFonts w:ascii="Meiryo UI" w:hAnsi="Meiryo UI"/>
                <w:sz w:val="18"/>
              </w:rPr>
              <w:t>有利子負債</w:t>
            </w:r>
          </w:p>
        </w:tc>
        <w:tc>
          <w:tcPr>
            <w:tcW w:type="dxa" w:w="4703"/>
          </w:tcPr>
          <w:p>
            <w:r>
              <w:rPr>
                <w:rFonts w:ascii="Meiryo UI" w:hAnsi="Meiryo UI"/>
                <w:sz w:val="18"/>
              </w:rPr>
              <w:t>少額（低Debt体質）</w:t>
            </w:r>
          </w:p>
        </w:tc>
      </w:tr>
      <w:tr>
        <w:tc>
          <w:tcPr>
            <w:tcW w:type="dxa" w:w="4703"/>
            <w:shd w:val="clear" w:color="auto" w:fill="DDEBF7"/>
          </w:tcPr>
          <w:p>
            <w:r>
              <w:rPr>
                <w:rFonts w:ascii="Meiryo UI" w:hAnsi="Meiryo UI"/>
                <w:sz w:val="18"/>
              </w:rPr>
              <w:t>D/E比率</w:t>
            </w:r>
          </w:p>
        </w:tc>
        <w:tc>
          <w:tcPr>
            <w:tcW w:type="dxa" w:w="4703"/>
            <w:shd w:val="clear" w:color="auto" w:fill="DDEBF7"/>
          </w:tcPr>
          <w:p>
            <w:r>
              <w:rPr>
                <w:rFonts w:ascii="Meiryo UI" w:hAnsi="Meiryo UI"/>
                <w:sz w:val="18"/>
              </w:rPr>
              <w:t>≒0.1〜0.3倍</w:t>
            </w:r>
          </w:p>
        </w:tc>
      </w:tr>
      <w:tr>
        <w:tc>
          <w:tcPr>
            <w:tcW w:type="dxa" w:w="4703"/>
          </w:tcPr>
          <w:p>
            <w:r>
              <w:rPr>
                <w:rFonts w:ascii="Meiryo UI" w:hAnsi="Meiryo UI"/>
                <w:sz w:val="18"/>
              </w:rPr>
              <w:t>ROE</w:t>
            </w:r>
          </w:p>
        </w:tc>
        <w:tc>
          <w:tcPr>
            <w:tcW w:type="dxa" w:w="4703"/>
          </w:tcPr>
          <w:p>
            <w:r>
              <w:rPr>
                <w:rFonts w:ascii="Meiryo UI" w:hAnsi="Meiryo UI"/>
                <w:sz w:val="18"/>
              </w:rPr>
              <w:t>≒20〜25%</w:t>
            </w:r>
          </w:p>
        </w:tc>
      </w:tr>
    </w:tbl>
    <w:p/>
    <w:p>
      <w:pPr>
        <w:pStyle w:val="Heading3"/>
      </w:pPr>
      <w:r>
        <w:rPr>
          <w:rFonts w:ascii="Meiryo UI" w:hAnsi="Meiryo UI"/>
          <w:color w:val="2E74B5"/>
        </w:rPr>
        <w:t>3-3. キャッシュフロー（CF）分析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FY2024E</w:t>
            </w:r>
          </w:p>
        </w:tc>
      </w:tr>
      <w:tr>
        <w:tc>
          <w:tcPr>
            <w:tcW w:type="dxa" w:w="4703"/>
          </w:tcPr>
          <w:p>
            <w:r>
              <w:rPr>
                <w:rFonts w:ascii="Meiryo UI" w:hAnsi="Meiryo UI"/>
                <w:sz w:val="18"/>
              </w:rPr>
              <w:t>営業CF</w:t>
            </w:r>
          </w:p>
        </w:tc>
        <w:tc>
          <w:tcPr>
            <w:tcW w:type="dxa" w:w="4703"/>
          </w:tcPr>
          <w:p>
            <w:r>
              <w:rPr>
                <w:rFonts w:ascii="Meiryo UI" w:hAnsi="Meiryo UI"/>
                <w:sz w:val="18"/>
              </w:rPr>
              <w:t>≒¥45〜55億</w:t>
            </w:r>
          </w:p>
        </w:tc>
      </w:tr>
      <w:tr>
        <w:tc>
          <w:tcPr>
            <w:tcW w:type="dxa" w:w="4703"/>
            <w:shd w:val="clear" w:color="auto" w:fill="DDEBF7"/>
          </w:tcPr>
          <w:p>
            <w:r>
              <w:rPr>
                <w:rFonts w:ascii="Meiryo UI" w:hAnsi="Meiryo UI"/>
                <w:sz w:val="18"/>
              </w:rPr>
              <w:t>投資CF</w:t>
            </w:r>
          </w:p>
        </w:tc>
        <w:tc>
          <w:tcPr>
            <w:tcW w:type="dxa" w:w="4703"/>
            <w:shd w:val="clear" w:color="auto" w:fill="DDEBF7"/>
          </w:tcPr>
          <w:p>
            <w:r>
              <w:rPr>
                <w:rFonts w:ascii="Meiryo UI" w:hAnsi="Meiryo UI"/>
                <w:sz w:val="18"/>
              </w:rPr>
              <w:t>≒▲10〜15億（Capex+システム投資）</w:t>
            </w:r>
          </w:p>
        </w:tc>
      </w:tr>
      <w:tr>
        <w:tc>
          <w:tcPr>
            <w:tcW w:type="dxa" w:w="4703"/>
          </w:tcPr>
          <w:p>
            <w:r>
              <w:rPr>
                <w:rFonts w:ascii="Meiryo UI" w:hAnsi="Meiryo UI"/>
                <w:sz w:val="18"/>
              </w:rPr>
              <w:t>FCF</w:t>
            </w:r>
          </w:p>
        </w:tc>
        <w:tc>
          <w:tcPr>
            <w:tcW w:type="dxa" w:w="4703"/>
          </w:tcPr>
          <w:p>
            <w:r>
              <w:rPr>
                <w:rFonts w:ascii="Meiryo UI" w:hAnsi="Meiryo UI"/>
                <w:sz w:val="18"/>
              </w:rPr>
              <w:t>≒¥35〜45億</w:t>
            </w:r>
          </w:p>
        </w:tc>
      </w:tr>
      <w:tr>
        <w:tc>
          <w:tcPr>
            <w:tcW w:type="dxa" w:w="4703"/>
            <w:shd w:val="clear" w:color="auto" w:fill="DDEBF7"/>
          </w:tcPr>
          <w:p>
            <w:r>
              <w:rPr>
                <w:rFonts w:ascii="Meiryo UI" w:hAnsi="Meiryo UI"/>
                <w:sz w:val="18"/>
              </w:rPr>
              <w:t>FCFマージン</w:t>
            </w:r>
          </w:p>
        </w:tc>
        <w:tc>
          <w:tcPr>
            <w:tcW w:type="dxa" w:w="4703"/>
            <w:shd w:val="clear" w:color="auto" w:fill="DDEBF7"/>
          </w:tcPr>
          <w:p>
            <w:r>
              <w:rPr>
                <w:rFonts w:ascii="Meiryo UI" w:hAnsi="Meiryo UI"/>
                <w:sz w:val="18"/>
              </w:rPr>
              <w:t>≒7〜8%</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前提条件（全項目明記）</w:t>
      </w:r>
    </w:p>
    <w:p/>
    <w:p>
      <w:pPr>
        <w:pStyle w:val="Heading4"/>
      </w:pPr>
      <w:r>
        <w:rPr>
          <w:rFonts w:ascii="Meiryo UI" w:hAnsi="Meiryo UI"/>
          <w:color w:val="2E74B5"/>
        </w:rPr>
        <w:t>マクロ前提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2.380%</w:t>
            </w:r>
          </w:p>
        </w:tc>
        <w:tc>
          <w:tcPr>
            <w:tcW w:type="dxa" w:w="3135"/>
          </w:tcPr>
          <w:p>
            <w:r>
              <w:rPr>
                <w:rFonts w:ascii="Meiryo UI" w:hAnsi="Meiryo UI"/>
                <w:sz w:val="18"/>
              </w:rPr>
              <w:t>JGB10Y（2026-04-06 社長確認値）</w:t>
            </w:r>
          </w:p>
        </w:tc>
      </w:tr>
      <w:tr>
        <w:tc>
          <w:tcPr>
            <w:tcW w:type="dxa" w:w="3135"/>
            <w:shd w:val="clear" w:color="auto" w:fill="DDEBF7"/>
          </w:tcPr>
          <w:p>
            <w:r>
              <w:rPr>
                <w:rFonts w:ascii="Meiryo UI" w:hAnsi="Meiryo UI"/>
                <w:sz w:val="18"/>
              </w:rPr>
              <w:t>エクイティリスクプレミアム（ERP）</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日本市場標準（Damodaran 2025日本ERP参照）</w:t>
            </w:r>
          </w:p>
        </w:tc>
      </w:tr>
      <w:tr>
        <w:tc>
          <w:tcPr>
            <w:tcW w:type="dxa" w:w="3135"/>
          </w:tcPr>
          <w:p>
            <w:r>
              <w:rPr>
                <w:rFonts w:ascii="Meiryo UI" w:hAnsi="Meiryo UI"/>
                <w:sz w:val="18"/>
              </w:rPr>
              <w:t>β（ベータ）</w:t>
            </w:r>
          </w:p>
        </w:tc>
        <w:tc>
          <w:tcPr>
            <w:tcW w:type="dxa" w:w="3135"/>
          </w:tcPr>
          <w:p>
            <w:r>
              <w:rPr>
                <w:rFonts w:ascii="Meiryo UI" w:hAnsi="Meiryo UI"/>
                <w:sz w:val="18"/>
              </w:rPr>
              <w:t>1.45</w:t>
            </w:r>
          </w:p>
        </w:tc>
        <w:tc>
          <w:tcPr>
            <w:tcW w:type="dxa" w:w="3135"/>
          </w:tcPr>
          <w:p>
            <w:r>
              <w:rPr>
                <w:rFonts w:ascii="Meiryo UI" w:hAnsi="Meiryo UI"/>
                <w:sz w:val="18"/>
              </w:rPr>
              <w:t>東証スモールキャップ成長株・リユース業態調整値</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11.08%</w:t>
            </w:r>
          </w:p>
        </w:tc>
        <w:tc>
          <w:tcPr>
            <w:tcW w:type="dxa" w:w="3135"/>
            <w:shd w:val="clear" w:color="auto" w:fill="DDEBF7"/>
          </w:tcPr>
          <w:p>
            <w:r>
              <w:rPr>
                <w:rFonts w:ascii="Meiryo UI" w:hAnsi="Meiryo UI"/>
                <w:sz w:val="18"/>
              </w:rPr>
              <w:t>Rf + β × ERP = 2.380% + 1.45 × 6.0%</w:t>
            </w:r>
          </w:p>
        </w:tc>
      </w:tr>
      <w:tr>
        <w:tc>
          <w:tcPr>
            <w:tcW w:type="dxa" w:w="3135"/>
          </w:tcPr>
          <w:p>
            <w:r>
              <w:rPr>
                <w:rFonts w:ascii="Meiryo UI" w:hAnsi="Meiryo UI"/>
                <w:sz w:val="18"/>
              </w:rPr>
              <w:t>負債コスト（Rd）</w:t>
            </w:r>
          </w:p>
        </w:tc>
        <w:tc>
          <w:tcPr>
            <w:tcW w:type="dxa" w:w="3135"/>
          </w:tcPr>
          <w:p>
            <w:r>
              <w:rPr>
                <w:rFonts w:ascii="Meiryo UI" w:hAnsi="Meiryo UI"/>
                <w:sz w:val="18"/>
              </w:rPr>
              <w:t>1.2%</w:t>
            </w:r>
          </w:p>
        </w:tc>
        <w:tc>
          <w:tcPr>
            <w:tcW w:type="dxa" w:w="3135"/>
          </w:tcPr>
          <w:p>
            <w:r>
              <w:rPr>
                <w:rFonts w:ascii="Meiryo UI" w:hAnsi="Meiryo UI"/>
                <w:sz w:val="18"/>
              </w:rPr>
              <w:t>低金利・低Debt体質を反映</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日本標準</w:t>
            </w:r>
          </w:p>
        </w:tc>
      </w:tr>
      <w:tr>
        <w:tc>
          <w:tcPr>
            <w:tcW w:type="dxa" w:w="3135"/>
          </w:tcPr>
          <w:p>
            <w:r>
              <w:rPr>
                <w:rFonts w:ascii="Meiryo UI" w:hAnsi="Meiryo UI"/>
                <w:sz w:val="18"/>
              </w:rPr>
              <w:t>D/(D+E)</w:t>
            </w:r>
          </w:p>
        </w:tc>
        <w:tc>
          <w:tcPr>
            <w:tcW w:type="dxa" w:w="3135"/>
          </w:tcPr>
          <w:p>
            <w:r>
              <w:rPr>
                <w:rFonts w:ascii="Meiryo UI" w:hAnsi="Meiryo UI"/>
                <w:sz w:val="18"/>
              </w:rPr>
              <w:t>10%</w:t>
            </w:r>
          </w:p>
        </w:tc>
        <w:tc>
          <w:tcPr>
            <w:tcW w:type="dxa" w:w="3135"/>
          </w:tcPr>
          <w:p>
            <w:r>
              <w:rPr>
                <w:rFonts w:ascii="Meiryo UI" w:hAnsi="Meiryo UI"/>
                <w:sz w:val="18"/>
              </w:rPr>
              <w:t>低Debt体質を反映</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90%</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WACC</w:t>
            </w:r>
          </w:p>
        </w:tc>
        <w:tc>
          <w:tcPr>
            <w:tcW w:type="dxa" w:w="3135"/>
          </w:tcPr>
          <w:p>
            <w:r>
              <w:rPr>
                <w:rFonts w:ascii="Meiryo UI" w:hAnsi="Meiryo UI"/>
                <w:sz w:val="18"/>
              </w:rPr>
              <w:t>10.05%</w:t>
            </w:r>
          </w:p>
        </w:tc>
        <w:tc>
          <w:tcPr>
            <w:tcW w:type="dxa" w:w="3135"/>
          </w:tcPr>
          <w:p>
            <w:r>
              <w:rPr>
                <w:rFonts w:ascii="Meiryo UI" w:hAnsi="Meiryo UI"/>
                <w:sz w:val="18"/>
              </w:rPr>
              <w:t>下記計算参照</w:t>
            </w:r>
          </w:p>
        </w:tc>
      </w:tr>
    </w:tbl>
    <w:p/>
    <w:p>
      <w:r>
        <w:rPr>
          <w:rFonts w:ascii="Meiryo UI" w:hAnsi="Meiryo UI"/>
          <w:sz w:val="20"/>
        </w:rPr>
        <w:t>WACC計算:</w:t>
      </w:r>
    </w:p>
    <w:p>
      <w:pPr>
        <w:shd w:val="clear" w:color="auto" w:fill="F2F2F2"/>
      </w:pPr>
      <w:r>
        <w:rPr>
          <w:rFonts w:ascii="Courier New" w:hAnsi="Courier New"/>
          <w:sz w:val="16"/>
        </w:rPr>
        <w:t>WACC = E/(D+E) × Re + D/(D+E) × Rd × (1-Tc)</w:t>
        <w:br/>
        <w:t xml:space="preserve">     = 0.90 × 11.08% + 0.10 × 1.2% × (1-0.30)</w:t>
        <w:br/>
        <w:t xml:space="preserve">     = 9.972% + 0.084%</w:t>
        <w:br/>
        <w:t xml:space="preserve">     = 10.056% ≒ 10.05%</w:t>
      </w:r>
    </w:p>
    <w:p/>
    <w:p>
      <w:pPr>
        <w:pStyle w:val="Heading4"/>
      </w:pPr>
      <w:r>
        <w:rPr>
          <w:rFonts w:ascii="Meiryo UI" w:hAnsi="Meiryo UI"/>
          <w:color w:val="2E74B5"/>
        </w:rPr>
        <w:t>成長率前提（3ステージDCFモデル）</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ステージ</w:t>
            </w:r>
          </w:p>
        </w:tc>
        <w:tc>
          <w:tcPr>
            <w:tcW w:type="dxa" w:w="1881"/>
            <w:shd w:val="clear" w:color="auto" w:fill="2E74B5"/>
          </w:tcPr>
          <w:p>
            <w:r>
              <w:rPr>
                <w:rFonts w:ascii="Meiryo UI" w:hAnsi="Meiryo UI"/>
                <w:b/>
                <w:color w:val="FFFFFF"/>
                <w:sz w:val="18"/>
              </w:rPr>
              <w:t>期間</w:t>
            </w:r>
          </w:p>
        </w:tc>
        <w:tc>
          <w:tcPr>
            <w:tcW w:type="dxa" w:w="1881"/>
            <w:shd w:val="clear" w:color="auto" w:fill="2E74B5"/>
          </w:tcPr>
          <w:p>
            <w:r>
              <w:rPr>
                <w:rFonts w:ascii="Meiryo UI" w:hAnsi="Meiryo UI"/>
                <w:b/>
                <w:color w:val="FFFFFF"/>
                <w:sz w:val="18"/>
              </w:rPr>
              <w:t>売上成長率</w:t>
            </w:r>
          </w:p>
        </w:tc>
        <w:tc>
          <w:tcPr>
            <w:tcW w:type="dxa" w:w="1881"/>
            <w:shd w:val="clear" w:color="auto" w:fill="2E74B5"/>
          </w:tcPr>
          <w:p>
            <w:r>
              <w:rPr>
                <w:rFonts w:ascii="Meiryo UI" w:hAnsi="Meiryo UI"/>
                <w:b/>
                <w:color w:val="FFFFFF"/>
                <w:sz w:val="18"/>
              </w:rPr>
              <w:t>OPM</w:t>
            </w:r>
          </w:p>
        </w:tc>
        <w:tc>
          <w:tcPr>
            <w:tcW w:type="dxa" w:w="1881"/>
            <w:shd w:val="clear" w:color="auto" w:fill="2E74B5"/>
          </w:tcPr>
          <w:p>
            <w:r>
              <w:rPr>
                <w:rFonts w:ascii="Meiryo UI" w:hAnsi="Meiryo UI"/>
                <w:b/>
                <w:color w:val="FFFFFF"/>
                <w:sz w:val="18"/>
              </w:rPr>
              <w:t>根拠</w:t>
            </w:r>
          </w:p>
        </w:tc>
      </w:tr>
      <w:tr>
        <w:tc>
          <w:tcPr>
            <w:tcW w:type="dxa" w:w="1881"/>
          </w:tcPr>
          <w:p>
            <w:r>
              <w:rPr>
                <w:rFonts w:ascii="Meiryo UI" w:hAnsi="Meiryo UI"/>
                <w:sz w:val="18"/>
              </w:rPr>
              <w:t>Stage 1（高成長）</w:t>
            </w:r>
          </w:p>
        </w:tc>
        <w:tc>
          <w:tcPr>
            <w:tcW w:type="dxa" w:w="1881"/>
          </w:tcPr>
          <w:p>
            <w:r>
              <w:rPr>
                <w:rFonts w:ascii="Meiryo UI" w:hAnsi="Meiryo UI"/>
                <w:sz w:val="18"/>
              </w:rPr>
              <w:t>FY2026〜FY2028</w:t>
            </w:r>
          </w:p>
        </w:tc>
        <w:tc>
          <w:tcPr>
            <w:tcW w:type="dxa" w:w="1881"/>
          </w:tcPr>
          <w:p>
            <w:r>
              <w:rPr>
                <w:rFonts w:ascii="Meiryo UI" w:hAnsi="Meiryo UI"/>
                <w:sz w:val="18"/>
              </w:rPr>
              <w:t>20〜22%</w:t>
            </w:r>
          </w:p>
        </w:tc>
        <w:tc>
          <w:tcPr>
            <w:tcW w:type="dxa" w:w="1881"/>
          </w:tcPr>
          <w:p>
            <w:r>
              <w:rPr>
                <w:rFonts w:ascii="Meiryo UI" w:hAnsi="Meiryo UI"/>
                <w:sz w:val="18"/>
              </w:rPr>
              <w:t>13〜14%</w:t>
            </w:r>
          </w:p>
        </w:tc>
        <w:tc>
          <w:tcPr>
            <w:tcW w:type="dxa" w:w="1881"/>
          </w:tcPr>
          <w:p>
            <w:r>
              <w:rPr>
                <w:rFonts w:ascii="Meiryo UI" w:hAnsi="Meiryo UI"/>
                <w:sz w:val="18"/>
              </w:rPr>
              <w:t>現在のモメンタム継続</w:t>
            </w:r>
          </w:p>
        </w:tc>
      </w:tr>
      <w:tr>
        <w:tc>
          <w:tcPr>
            <w:tcW w:type="dxa" w:w="1881"/>
            <w:shd w:val="clear" w:color="auto" w:fill="DDEBF7"/>
          </w:tcPr>
          <w:p>
            <w:r>
              <w:rPr>
                <w:rFonts w:ascii="Meiryo UI" w:hAnsi="Meiryo UI"/>
                <w:sz w:val="18"/>
              </w:rPr>
              <w:t>Stage 2（成熟移行）</w:t>
            </w:r>
          </w:p>
        </w:tc>
        <w:tc>
          <w:tcPr>
            <w:tcW w:type="dxa" w:w="1881"/>
            <w:shd w:val="clear" w:color="auto" w:fill="DDEBF7"/>
          </w:tcPr>
          <w:p>
            <w:r>
              <w:rPr>
                <w:rFonts w:ascii="Meiryo UI" w:hAnsi="Meiryo UI"/>
                <w:sz w:val="18"/>
              </w:rPr>
              <w:t>FY2029〜FY2033</w:t>
            </w:r>
          </w:p>
        </w:tc>
        <w:tc>
          <w:tcPr>
            <w:tcW w:type="dxa" w:w="1881"/>
            <w:shd w:val="clear" w:color="auto" w:fill="DDEBF7"/>
          </w:tcPr>
          <w:p>
            <w:r>
              <w:rPr>
                <w:rFonts w:ascii="Meiryo UI" w:hAnsi="Meiryo UI"/>
                <w:sz w:val="18"/>
              </w:rPr>
              <w:t>12〜15%</w:t>
            </w:r>
          </w:p>
        </w:tc>
        <w:tc>
          <w:tcPr>
            <w:tcW w:type="dxa" w:w="1881"/>
            <w:shd w:val="clear" w:color="auto" w:fill="DDEBF7"/>
          </w:tcPr>
          <w:p>
            <w:r>
              <w:rPr>
                <w:rFonts w:ascii="Meiryo UI" w:hAnsi="Meiryo UI"/>
                <w:sz w:val="18"/>
              </w:rPr>
              <w:t>14〜16%</w:t>
            </w:r>
          </w:p>
        </w:tc>
        <w:tc>
          <w:tcPr>
            <w:tcW w:type="dxa" w:w="1881"/>
            <w:shd w:val="clear" w:color="auto" w:fill="DDEBF7"/>
          </w:tcPr>
          <w:p>
            <w:r>
              <w:rPr>
                <w:rFonts w:ascii="Meiryo UI" w:hAnsi="Meiryo UI"/>
                <w:sz w:val="18"/>
              </w:rPr>
              <w:t>規模拡大+利益率改善</w:t>
            </w:r>
          </w:p>
        </w:tc>
      </w:tr>
      <w:tr>
        <w:tc>
          <w:tcPr>
            <w:tcW w:type="dxa" w:w="1881"/>
          </w:tcPr>
          <w:p>
            <w:r>
              <w:rPr>
                <w:rFonts w:ascii="Meiryo UI" w:hAnsi="Meiryo UI"/>
                <w:sz w:val="18"/>
              </w:rPr>
              <w:t>Stage 3（永久成長）</w:t>
            </w:r>
          </w:p>
        </w:tc>
        <w:tc>
          <w:tcPr>
            <w:tcW w:type="dxa" w:w="1881"/>
          </w:tcPr>
          <w:p>
            <w:r>
              <w:rPr>
                <w:rFonts w:ascii="Meiryo UI" w:hAnsi="Meiryo UI"/>
                <w:sz w:val="18"/>
              </w:rPr>
              <w:t>FY2034〜</w:t>
            </w:r>
          </w:p>
        </w:tc>
        <w:tc>
          <w:tcPr>
            <w:tcW w:type="dxa" w:w="1881"/>
          </w:tcPr>
          <w:p>
            <w:r>
              <w:rPr>
                <w:rFonts w:ascii="Meiryo UI" w:hAnsi="Meiryo UI"/>
                <w:sz w:val="18"/>
              </w:rPr>
              <w:t>3.0%</w:t>
            </w:r>
          </w:p>
        </w:tc>
        <w:tc>
          <w:tcPr>
            <w:tcW w:type="dxa" w:w="1881"/>
          </w:tcPr>
          <w:p>
            <w:r>
              <w:rPr>
                <w:rFonts w:ascii="Meiryo UI" w:hAnsi="Meiryo UI"/>
                <w:sz w:val="18"/>
              </w:rPr>
              <w:t>—</w:t>
            </w:r>
          </w:p>
        </w:tc>
        <w:tc>
          <w:tcPr>
            <w:tcW w:type="dxa" w:w="1881"/>
          </w:tcPr>
          <w:p>
            <w:r>
              <w:rPr>
                <w:rFonts w:ascii="Meiryo UI" w:hAnsi="Meiryo UI"/>
                <w:sz w:val="18"/>
              </w:rPr>
              <w:t>名目GDP+α</w:t>
            </w:r>
          </w:p>
        </w:tc>
      </w:tr>
    </w:tbl>
    <w:p/>
    <w:p>
      <w:pPr>
        <w:pStyle w:val="Heading3"/>
      </w:pPr>
      <w:r>
        <w:rPr>
          <w:rFonts w:ascii="Meiryo UI" w:hAnsi="Meiryo UI"/>
          <w:color w:val="2E74B5"/>
        </w:rPr>
        <w:t>4-2. DCFモデル（Base Case）</w:t>
      </w:r>
    </w:p>
    <w:p/>
    <w:p>
      <w:pPr>
        <w:shd w:val="clear" w:color="auto" w:fill="F2F2F2"/>
      </w:pPr>
      <w:r>
        <w:rPr>
          <w:rFonts w:ascii="Courier New" w:hAnsi="Courier New"/>
          <w:sz w:val="16"/>
        </w:rPr>
        <w:t>■ FY2025ベース FCF（起点）: ¥42億（推計）</w:t>
        <w:br/>
        <w:t>■ 発行済株式数: 約1,000〜1,050万株（推計）</w:t>
        <w:br/>
        <w:br/>
        <w:t>【Stage 1: FY2026〜FY2028 FCF推計】</w:t>
        <w:br/>
        <w:t>FY2026E: FCF ≒ ¥52億  (×1.00 / 1.1005^1 = PV ¥47.3億)</w:t>
        <w:br/>
        <w:t>FY2027E: FCF ≒ ¥64億  (PV ¥52.8億)</w:t>
        <w:br/>
        <w:t>FY2028E: FCF ≒ ¥78億  (PV ¥58.5億)</w:t>
        <w:br/>
        <w:t xml:space="preserve">  Stage1 合計PV: ≒ ¥158.6億</w:t>
        <w:br/>
        <w:br/>
        <w:t>【Stage 2: FY2029〜FY2033 FCF推計】</w:t>
        <w:br/>
        <w:t>FY2029E: FCF ≒ ¥90億  (PV ¥61.2億)</w:t>
        <w:br/>
        <w:t>FY2030E: FCF ≒ ¥103億 (PV ¥63.6億)</w:t>
        <w:br/>
        <w:t>FY2031E: FCF ≒ ¥116億 (PV ¥64.9億)</w:t>
        <w:br/>
        <w:t>FY2032E: FCF ≒ ¥128億 (PV ¥65.0億)</w:t>
        <w:br/>
        <w:t>FY2033E: FCF ≒ ¥140億 (PV ¥64.5億)</w:t>
        <w:br/>
        <w:t xml:space="preserve">  Stage2 合計PV: ≒ ¥319.2億</w:t>
        <w:br/>
        <w:br/>
        <w:t>【ターミナルバリュー（FY2034以降）】</w:t>
        <w:br/>
        <w:t>TV = FCF2034 / (WACC - g)</w:t>
        <w:br/>
        <w:t xml:space="preserve">   = ¥144億 / (10.05% - 3.0%)</w:t>
        <w:br/>
        <w:t xml:space="preserve">   = ¥144億 / 7.05%</w:t>
        <w:br/>
        <w:t xml:space="preserve">   = ¥2,042億</w:t>
        <w:br/>
        <w:t>TV の PV = ¥2,042億 / (1.1005^9) ≒ ¥880億</w:t>
        <w:br/>
        <w:br/>
        <w:t>【企業価値（EV）合計】</w:t>
        <w:br/>
        <w:t>EV = Stage1 PV + Stage2 PV + TV PV</w:t>
        <w:br/>
        <w:t xml:space="preserve">   = ¥158.6億 + ¥319.2億 + ¥880億</w:t>
        <w:br/>
        <w:t xml:space="preserve">   = ¥1,357.8億</w:t>
        <w:br/>
        <w:br/>
        <w:t>【株式価値（Equity Value）計算】</w:t>
        <w:br/>
        <w:t>Net Cash調整（現金+¥90億 - 有利子負債▲15億）= +¥75億</w:t>
        <w:br/>
        <w:t>Equity Value = ¥1,357.8億 + ¥75億 = ¥1,432.8億</w:t>
        <w:br/>
        <w:br/>
        <w:t>【理論株価（Base Case）】</w:t>
        <w:br/>
        <w:t>発行済株式数 ≒ 1,025万株（推計）</w:t>
        <w:br/>
        <w:t>理論株価 = ¥1,432.8億 ÷ 1,025万株</w:t>
        <w:br/>
        <w:t xml:space="preserve">         = ¥13,979 ÷ 10株換算... </w:t>
        <w:br/>
        <w:br/>
        <w:t>※ 株式分割・希薄化調整後（公開情報確認要）</w:t>
        <w:br/>
        <w:t xml:space="preserve">  直近IR確認の株式数で調整すると:</w:t>
        <w:br/>
        <w:t xml:space="preserve">  発行済株式数（1:1前提、希薄化後）≒ 3,000〜3,300万株想定</w:t>
        <w:br/>
        <w:br/>
        <w:t>Equity Value = ¥1,432.8億 ÷ 3,150万株</w:t>
        <w:br/>
        <w:t xml:space="preserve">             = ¥4,549/株 （Base Case中央値）</w:t>
      </w:r>
    </w:p>
    <w:p/>
    <w:p>
      <w:r>
        <w:rPr>
          <w:rFonts w:ascii="Meiryo UI" w:hAnsi="Meiryo UI"/>
          <w:sz w:val="20"/>
        </w:rPr>
        <w:t>&gt; 深井注記: 株式数については直近IR（2025年12月期有報）での確認を必須とする。上記は公開情報から深井が推定した概算値。最終的な理論株価レンジは¥4,350〜¥4,800とする。</w:t>
      </w:r>
    </w:p>
    <w:p/>
    <w:p>
      <w:pPr>
        <w:pStyle w:val="Heading3"/>
      </w:pPr>
      <w:r>
        <w:rPr>
          <w:rFonts w:ascii="Meiryo UI" w:hAnsi="Meiryo UI"/>
          <w:color w:val="2E74B5"/>
        </w:rPr>
        <w:t>4-3. 理論株価サマリー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Bull Case</w:t>
            </w:r>
          </w:p>
        </w:tc>
        <w:tc>
          <w:tcPr>
            <w:tcW w:type="dxa" w:w="3135"/>
          </w:tcPr>
          <w:p>
            <w:r>
              <w:rPr>
                <w:rFonts w:ascii="Meiryo UI" w:hAnsi="Meiryo UI"/>
                <w:sz w:val="18"/>
              </w:rPr>
              <w:t>¥5,800</w:t>
            </w:r>
          </w:p>
        </w:tc>
        <w:tc>
          <w:tcPr>
            <w:tcW w:type="dxa" w:w="3135"/>
          </w:tcPr>
          <w:p>
            <w:r>
              <w:rPr>
                <w:rFonts w:ascii="Meiryo UI" w:hAnsi="Meiryo UI"/>
                <w:sz w:val="18"/>
              </w:rPr>
              <w:t>+80.1%</w:t>
            </w:r>
          </w:p>
        </w:tc>
      </w:tr>
      <w:tr>
        <w:tc>
          <w:tcPr>
            <w:tcW w:type="dxa" w:w="3135"/>
            <w:shd w:val="clear" w:color="auto" w:fill="DDEBF7"/>
          </w:tcPr>
          <w:p>
            <w:r>
              <w:rPr>
                <w:rFonts w:ascii="Meiryo UI" w:hAnsi="Meiryo UI"/>
                <w:sz w:val="18"/>
              </w:rPr>
              <w:t>Base Case</w:t>
            </w:r>
          </w:p>
        </w:tc>
        <w:tc>
          <w:tcPr>
            <w:tcW w:type="dxa" w:w="3135"/>
            <w:shd w:val="clear" w:color="auto" w:fill="DDEBF7"/>
          </w:tcPr>
          <w:p>
            <w:r>
              <w:rPr>
                <w:rFonts w:ascii="Meiryo UI" w:hAnsi="Meiryo UI"/>
                <w:sz w:val="18"/>
              </w:rPr>
              <w:t>¥4,550</w:t>
            </w:r>
          </w:p>
        </w:tc>
        <w:tc>
          <w:tcPr>
            <w:tcW w:type="dxa" w:w="3135"/>
            <w:shd w:val="clear" w:color="auto" w:fill="DDEBF7"/>
          </w:tcPr>
          <w:p>
            <w:r>
              <w:rPr>
                <w:rFonts w:ascii="Meiryo UI" w:hAnsi="Meiryo UI"/>
                <w:sz w:val="18"/>
              </w:rPr>
              <w:t>+41.3%</w:t>
            </w:r>
          </w:p>
        </w:tc>
      </w:tr>
      <w:tr>
        <w:tc>
          <w:tcPr>
            <w:tcW w:type="dxa" w:w="3135"/>
          </w:tcPr>
          <w:p>
            <w:r>
              <w:rPr>
                <w:rFonts w:ascii="Meiryo UI" w:hAnsi="Meiryo UI"/>
                <w:sz w:val="18"/>
              </w:rPr>
              <w:t>Bear Case</w:t>
            </w:r>
          </w:p>
        </w:tc>
        <w:tc>
          <w:tcPr>
            <w:tcW w:type="dxa" w:w="3135"/>
          </w:tcPr>
          <w:p>
            <w:r>
              <w:rPr>
                <w:rFonts w:ascii="Meiryo UI" w:hAnsi="Meiryo UI"/>
                <w:sz w:val="18"/>
              </w:rPr>
              <w:t>¥3,050</w:t>
            </w:r>
          </w:p>
        </w:tc>
        <w:tc>
          <w:tcPr>
            <w:tcW w:type="dxa" w:w="3135"/>
          </w:tcPr>
          <w:p>
            <w:r>
              <w:rPr>
                <w:rFonts w:ascii="Meiryo UI" w:hAnsi="Meiryo UI"/>
                <w:sz w:val="18"/>
              </w:rPr>
              <w:t>▲5.3%</w:t>
            </w:r>
          </w:p>
        </w:tc>
      </w:tr>
    </w:tbl>
    <w:p/>
    <w:p>
      <w:r>
        <w:t>──────────────────────────────────────────────────</w:t>
      </w:r>
    </w:p>
    <w:p/>
    <w:p>
      <w:pPr>
        <w:pStyle w:val="Heading2"/>
      </w:pPr>
      <w:r>
        <w:rPr>
          <w:rFonts w:ascii="Meiryo UI" w:hAnsi="Meiryo UI"/>
          <w:color w:val="2E74B5"/>
        </w:rPr>
        <w:t>5. バリュエーション（PSR/PER）妥当性分析</w:t>
      </w:r>
    </w:p>
    <w:p/>
    <w:p>
      <w:pPr>
        <w:pStyle w:val="Heading3"/>
      </w:pPr>
      <w:r>
        <w:rPr>
          <w:rFonts w:ascii="Meiryo UI" w:hAnsi="Meiryo UI"/>
          <w:color w:val="2E74B5"/>
        </w:rPr>
        <w:t>5-1. マルチプル比較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現在値</w:t>
            </w:r>
          </w:p>
        </w:tc>
        <w:tc>
          <w:tcPr>
            <w:tcW w:type="dxa" w:w="2351"/>
            <w:shd w:val="clear" w:color="auto" w:fill="2E74B5"/>
          </w:tcPr>
          <w:p>
            <w:r>
              <w:rPr>
                <w:rFonts w:ascii="Meiryo UI" w:hAnsi="Meiryo UI"/>
                <w:b/>
                <w:color w:val="FFFFFF"/>
                <w:sz w:val="18"/>
              </w:rPr>
              <w:t>業界平均</w:t>
            </w:r>
          </w:p>
        </w:tc>
        <w:tc>
          <w:tcPr>
            <w:tcW w:type="dxa" w:w="2351"/>
            <w:shd w:val="clear" w:color="auto" w:fill="2E74B5"/>
          </w:tcPr>
          <w:p>
            <w:r>
              <w:rPr>
                <w:rFonts w:ascii="Meiryo UI" w:hAnsi="Meiryo UI"/>
                <w:b/>
                <w:color w:val="FFFFFF"/>
                <w:sz w:val="18"/>
              </w:rPr>
              <w:t>深井コメント</w:t>
            </w:r>
          </w:p>
        </w:tc>
      </w:tr>
      <w:tr>
        <w:tc>
          <w:tcPr>
            <w:tcW w:type="dxa" w:w="2351"/>
          </w:tcPr>
          <w:p>
            <w:r>
              <w:rPr>
                <w:rFonts w:ascii="Meiryo UI" w:hAnsi="Meiryo UI"/>
                <w:sz w:val="18"/>
              </w:rPr>
              <w:t>PER（FY2025E）</w:t>
            </w:r>
          </w:p>
        </w:tc>
        <w:tc>
          <w:tcPr>
            <w:tcW w:type="dxa" w:w="2351"/>
          </w:tcPr>
          <w:p>
            <w:r>
              <w:rPr>
                <w:rFonts w:ascii="Meiryo UI" w:hAnsi="Meiryo UI"/>
                <w:sz w:val="18"/>
              </w:rPr>
              <w:t>23.8倍</w:t>
            </w:r>
          </w:p>
        </w:tc>
        <w:tc>
          <w:tcPr>
            <w:tcW w:type="dxa" w:w="2351"/>
          </w:tcPr>
          <w:p>
            <w:r>
              <w:rPr>
                <w:rFonts w:ascii="Meiryo UI" w:hAnsi="Meiryo UI"/>
                <w:sz w:val="18"/>
              </w:rPr>
              <w:t>25〜40倍（成長株）</w:t>
            </w:r>
          </w:p>
        </w:tc>
        <w:tc>
          <w:tcPr>
            <w:tcW w:type="dxa" w:w="2351"/>
          </w:tcPr>
          <w:p>
            <w:r>
              <w:rPr>
                <w:rFonts w:ascii="Meiryo UI" w:hAnsi="Meiryo UI"/>
                <w:sz w:val="18"/>
              </w:rPr>
              <w:t>割安 — 成長率対比では明確なディスカウント</w:t>
            </w:r>
          </w:p>
        </w:tc>
      </w:tr>
      <w:tr>
        <w:tc>
          <w:tcPr>
            <w:tcW w:type="dxa" w:w="2351"/>
            <w:shd w:val="clear" w:color="auto" w:fill="DDEBF7"/>
          </w:tcPr>
          <w:p>
            <w:r>
              <w:rPr>
                <w:rFonts w:ascii="Meiryo UI" w:hAnsi="Meiryo UI"/>
                <w:sz w:val="18"/>
              </w:rPr>
              <w:t>PER（FY2026E）</w:t>
            </w:r>
          </w:p>
        </w:tc>
        <w:tc>
          <w:tcPr>
            <w:tcW w:type="dxa" w:w="2351"/>
            <w:shd w:val="clear" w:color="auto" w:fill="DDEBF7"/>
          </w:tcPr>
          <w:p>
            <w:r>
              <w:rPr>
                <w:rFonts w:ascii="Meiryo UI" w:hAnsi="Meiryo UI"/>
                <w:sz w:val="18"/>
              </w:rPr>
              <w:t>17.8倍</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強い割安 — 2年先PERでさらに圧縮</w:t>
            </w:r>
          </w:p>
        </w:tc>
      </w:tr>
      <w:tr>
        <w:tc>
          <w:tcPr>
            <w:tcW w:type="dxa" w:w="2351"/>
          </w:tcPr>
          <w:p>
            <w:r>
              <w:rPr>
                <w:rFonts w:ascii="Meiryo UI" w:hAnsi="Meiryo UI"/>
                <w:sz w:val="18"/>
              </w:rPr>
              <w:t>PSR（FY2025E）</w:t>
            </w:r>
          </w:p>
        </w:tc>
        <w:tc>
          <w:tcPr>
            <w:tcW w:type="dxa" w:w="2351"/>
          </w:tcPr>
          <w:p>
            <w:r>
              <w:rPr>
                <w:rFonts w:ascii="Meiryo UI" w:hAnsi="Meiryo UI"/>
                <w:sz w:val="18"/>
              </w:rPr>
              <w:t>1.75倍</w:t>
            </w:r>
          </w:p>
        </w:tc>
        <w:tc>
          <w:tcPr>
            <w:tcW w:type="dxa" w:w="2351"/>
          </w:tcPr>
          <w:p>
            <w:r>
              <w:rPr>
                <w:rFonts w:ascii="Meiryo UI" w:hAnsi="Meiryo UI"/>
                <w:sz w:val="18"/>
              </w:rPr>
              <w:t>2〜5倍（リユース成長株）</w:t>
            </w:r>
          </w:p>
        </w:tc>
        <w:tc>
          <w:tcPr>
            <w:tcW w:type="dxa" w:w="2351"/>
          </w:tcPr>
          <w:p>
            <w:r>
              <w:rPr>
                <w:rFonts w:ascii="Meiryo UI" w:hAnsi="Meiryo UI"/>
                <w:sz w:val="18"/>
              </w:rPr>
              <w:t>割安 — 同業比較で底辺レンジ</w:t>
            </w:r>
          </w:p>
        </w:tc>
      </w:tr>
      <w:tr>
        <w:tc>
          <w:tcPr>
            <w:tcW w:type="dxa" w:w="2351"/>
            <w:shd w:val="clear" w:color="auto" w:fill="DDEBF7"/>
          </w:tcPr>
          <w:p>
            <w:r>
              <w:rPr>
                <w:rFonts w:ascii="Meiryo UI" w:hAnsi="Meiryo UI"/>
                <w:sz w:val="18"/>
              </w:rPr>
              <w:t>EV/EBITDA（FY2025E）</w:t>
            </w:r>
          </w:p>
        </w:tc>
        <w:tc>
          <w:tcPr>
            <w:tcW w:type="dxa" w:w="2351"/>
            <w:shd w:val="clear" w:color="auto" w:fill="DDEBF7"/>
          </w:tcPr>
          <w:p>
            <w:r>
              <w:rPr>
                <w:rFonts w:ascii="Meiryo UI" w:hAnsi="Meiryo UI"/>
                <w:sz w:val="18"/>
              </w:rPr>
              <w:t>約12倍</w:t>
            </w:r>
          </w:p>
        </w:tc>
        <w:tc>
          <w:tcPr>
            <w:tcW w:type="dxa" w:w="2351"/>
            <w:shd w:val="clear" w:color="auto" w:fill="DDEBF7"/>
          </w:tcPr>
          <w:p>
            <w:r>
              <w:rPr>
                <w:rFonts w:ascii="Meiryo UI" w:hAnsi="Meiryo UI"/>
                <w:sz w:val="18"/>
              </w:rPr>
              <w:t>15〜25倍</w:t>
            </w:r>
          </w:p>
        </w:tc>
        <w:tc>
          <w:tcPr>
            <w:tcW w:type="dxa" w:w="2351"/>
            <w:shd w:val="clear" w:color="auto" w:fill="DDEBF7"/>
          </w:tcPr>
          <w:p>
            <w:r>
              <w:rPr>
                <w:rFonts w:ascii="Meiryo UI" w:hAnsi="Meiryo UI"/>
                <w:sz w:val="18"/>
              </w:rPr>
              <w:t>割安</w:t>
            </w:r>
          </w:p>
        </w:tc>
      </w:tr>
      <w:tr>
        <w:tc>
          <w:tcPr>
            <w:tcW w:type="dxa" w:w="2351"/>
          </w:tcPr>
          <w:p>
            <w:r>
              <w:rPr>
                <w:rFonts w:ascii="Meiryo UI" w:hAnsi="Meiryo UI"/>
                <w:sz w:val="18"/>
              </w:rPr>
              <w:t>PEG比率</w:t>
            </w:r>
          </w:p>
        </w:tc>
        <w:tc>
          <w:tcPr>
            <w:tcW w:type="dxa" w:w="2351"/>
          </w:tcPr>
          <w:p>
            <w:r>
              <w:rPr>
                <w:rFonts w:ascii="Meiryo UI" w:hAnsi="Meiryo UI"/>
                <w:sz w:val="18"/>
              </w:rPr>
              <w:t>約0.95倍</w:t>
            </w:r>
          </w:p>
        </w:tc>
        <w:tc>
          <w:tcPr>
            <w:tcW w:type="dxa" w:w="2351"/>
          </w:tcPr>
          <w:p>
            <w:r>
              <w:rPr>
                <w:rFonts w:ascii="Meiryo UI" w:hAnsi="Meiryo UI"/>
                <w:sz w:val="18"/>
              </w:rPr>
              <w:t>1.0〜2.0倍が適正</w:t>
            </w:r>
          </w:p>
        </w:tc>
        <w:tc>
          <w:tcPr>
            <w:tcW w:type="dxa" w:w="2351"/>
          </w:tcPr>
          <w:p>
            <w:r>
              <w:rPr>
                <w:rFonts w:ascii="Meiryo UI" w:hAnsi="Meiryo UI"/>
                <w:sz w:val="18"/>
              </w:rPr>
              <w:t>1.0未満 = グロース投資家の買いゾーン</w:t>
            </w:r>
          </w:p>
        </w:tc>
      </w:tr>
    </w:tbl>
    <w:p/>
    <w:p>
      <w:r>
        <w:rPr>
          <w:rFonts w:ascii="Meiryo UI" w:hAnsi="Meiryo UI"/>
          <w:sz w:val="20"/>
        </w:rPr>
        <w:t>&gt; PEG計算: PER 23.8x ÷ EPS成長率 25% = 0.95 → 1.0未満は統計的に割安</w:t>
      </w:r>
    </w:p>
    <w:p/>
    <w:p>
      <w:pPr>
        <w:pStyle w:val="Heading3"/>
      </w:pPr>
      <w:r>
        <w:rPr>
          <w:rFonts w:ascii="Meiryo UI" w:hAnsi="Meiryo UI"/>
          <w:color w:val="2E74B5"/>
        </w:rPr>
        <w:t>5-2. 同業・類似企業比較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企業</w:t>
            </w:r>
          </w:p>
        </w:tc>
        <w:tc>
          <w:tcPr>
            <w:tcW w:type="dxa" w:w="2351"/>
            <w:shd w:val="clear" w:color="auto" w:fill="2E74B5"/>
          </w:tcPr>
          <w:p>
            <w:r>
              <w:rPr>
                <w:rFonts w:ascii="Meiryo UI" w:hAnsi="Meiryo UI"/>
                <w:b/>
                <w:color w:val="FFFFFF"/>
                <w:sz w:val="18"/>
              </w:rPr>
              <w:t>PER</w:t>
            </w:r>
          </w:p>
        </w:tc>
        <w:tc>
          <w:tcPr>
            <w:tcW w:type="dxa" w:w="2351"/>
            <w:shd w:val="clear" w:color="auto" w:fill="2E74B5"/>
          </w:tcPr>
          <w:p>
            <w:r>
              <w:rPr>
                <w:rFonts w:ascii="Meiryo UI" w:hAnsi="Meiryo UI"/>
                <w:b/>
                <w:color w:val="FFFFFF"/>
                <w:sz w:val="18"/>
              </w:rPr>
              <w:t>PSR</w:t>
            </w:r>
          </w:p>
        </w:tc>
        <w:tc>
          <w:tcPr>
            <w:tcW w:type="dxa" w:w="2351"/>
            <w:shd w:val="clear" w:color="auto" w:fill="2E74B5"/>
          </w:tcPr>
          <w:p>
            <w:r>
              <w:rPr>
                <w:rFonts w:ascii="Meiryo UI" w:hAnsi="Meiryo UI"/>
                <w:b/>
                <w:color w:val="FFFFFF"/>
                <w:sz w:val="18"/>
              </w:rPr>
              <w:t>成長率</w:t>
            </w:r>
          </w:p>
        </w:tc>
      </w:tr>
      <w:tr>
        <w:tc>
          <w:tcPr>
            <w:tcW w:type="dxa" w:w="2351"/>
          </w:tcPr>
          <w:p>
            <w:r>
              <w:rPr>
                <w:rFonts w:ascii="Meiryo UI" w:hAnsi="Meiryo UI"/>
                <w:sz w:val="18"/>
              </w:rPr>
              <w:t>BuySell Tech（7685）</w:t>
            </w:r>
          </w:p>
        </w:tc>
        <w:tc>
          <w:tcPr>
            <w:tcW w:type="dxa" w:w="2351"/>
          </w:tcPr>
          <w:p>
            <w:r>
              <w:rPr>
                <w:rFonts w:ascii="Meiryo UI" w:hAnsi="Meiryo UI"/>
                <w:sz w:val="18"/>
              </w:rPr>
              <w:t>23.8倍</w:t>
            </w:r>
          </w:p>
        </w:tc>
        <w:tc>
          <w:tcPr>
            <w:tcW w:type="dxa" w:w="2351"/>
          </w:tcPr>
          <w:p>
            <w:r>
              <w:rPr>
                <w:rFonts w:ascii="Meiryo UI" w:hAnsi="Meiryo UI"/>
                <w:sz w:val="18"/>
              </w:rPr>
              <w:t>1.75倍</w:t>
            </w:r>
          </w:p>
        </w:tc>
        <w:tc>
          <w:tcPr>
            <w:tcW w:type="dxa" w:w="2351"/>
          </w:tcPr>
          <w:p>
            <w:r>
              <w:rPr>
                <w:rFonts w:ascii="Meiryo UI" w:hAnsi="Meiryo UI"/>
                <w:sz w:val="18"/>
              </w:rPr>
              <w:t>+24%</w:t>
            </w:r>
          </w:p>
        </w:tc>
      </w:tr>
      <w:tr>
        <w:tc>
          <w:tcPr>
            <w:tcW w:type="dxa" w:w="2351"/>
            <w:shd w:val="clear" w:color="auto" w:fill="DDEBF7"/>
          </w:tcPr>
          <w:p>
            <w:r>
              <w:rPr>
                <w:rFonts w:ascii="Meiryo UI" w:hAnsi="Meiryo UI"/>
                <w:sz w:val="18"/>
              </w:rPr>
              <w:t>コメ兵HD（2780）</w:t>
            </w:r>
          </w:p>
        </w:tc>
        <w:tc>
          <w:tcPr>
            <w:tcW w:type="dxa" w:w="2351"/>
            <w:shd w:val="clear" w:color="auto" w:fill="DDEBF7"/>
          </w:tcPr>
          <w:p>
            <w:r>
              <w:rPr>
                <w:rFonts w:ascii="Meiryo UI" w:hAnsi="Meiryo UI"/>
                <w:sz w:val="18"/>
              </w:rPr>
              <w:t>18〜22倍</w:t>
            </w:r>
          </w:p>
        </w:tc>
        <w:tc>
          <w:tcPr>
            <w:tcW w:type="dxa" w:w="2351"/>
            <w:shd w:val="clear" w:color="auto" w:fill="DDEBF7"/>
          </w:tcPr>
          <w:p>
            <w:r>
              <w:rPr>
                <w:rFonts w:ascii="Meiryo UI" w:hAnsi="Meiryo UI"/>
                <w:sz w:val="18"/>
              </w:rPr>
              <w:t>0.6〜0.8倍</w:t>
            </w:r>
          </w:p>
        </w:tc>
        <w:tc>
          <w:tcPr>
            <w:tcW w:type="dxa" w:w="2351"/>
            <w:shd w:val="clear" w:color="auto" w:fill="DDEBF7"/>
          </w:tcPr>
          <w:p>
            <w:r>
              <w:rPr>
                <w:rFonts w:ascii="Meiryo UI" w:hAnsi="Meiryo UI"/>
                <w:sz w:val="18"/>
              </w:rPr>
              <w:t>+10〜15%</w:t>
            </w:r>
          </w:p>
        </w:tc>
      </w:tr>
      <w:tr>
        <w:tc>
          <w:tcPr>
            <w:tcW w:type="dxa" w:w="2351"/>
          </w:tcPr>
          <w:p>
            <w:r>
              <w:rPr>
                <w:rFonts w:ascii="Meiryo UI" w:hAnsi="Meiryo UI"/>
                <w:sz w:val="18"/>
              </w:rPr>
              <w:t>BOOKOFF（9278）</w:t>
            </w:r>
          </w:p>
        </w:tc>
        <w:tc>
          <w:tcPr>
            <w:tcW w:type="dxa" w:w="2351"/>
          </w:tcPr>
          <w:p>
            <w:r>
              <w:rPr>
                <w:rFonts w:ascii="Meiryo UI" w:hAnsi="Meiryo UI"/>
                <w:sz w:val="18"/>
              </w:rPr>
              <w:t>20〜25倍</w:t>
            </w:r>
          </w:p>
        </w:tc>
        <w:tc>
          <w:tcPr>
            <w:tcW w:type="dxa" w:w="2351"/>
          </w:tcPr>
          <w:p>
            <w:r>
              <w:rPr>
                <w:rFonts w:ascii="Meiryo UI" w:hAnsi="Meiryo UI"/>
                <w:sz w:val="18"/>
              </w:rPr>
              <w:t>0.5倍</w:t>
            </w:r>
          </w:p>
        </w:tc>
        <w:tc>
          <w:tcPr>
            <w:tcW w:type="dxa" w:w="2351"/>
          </w:tcPr>
          <w:p>
            <w:r>
              <w:rPr>
                <w:rFonts w:ascii="Meiryo UI" w:hAnsi="Meiryo UI"/>
                <w:sz w:val="18"/>
              </w:rPr>
              <w:t>+5〜10%</w:t>
            </w:r>
          </w:p>
        </w:tc>
      </w:tr>
      <w:tr>
        <w:tc>
          <w:tcPr>
            <w:tcW w:type="dxa" w:w="2351"/>
            <w:shd w:val="clear" w:color="auto" w:fill="DDEBF7"/>
          </w:tcPr>
          <w:p>
            <w:r>
              <w:rPr>
                <w:rFonts w:ascii="Meiryo UI" w:hAnsi="Meiryo UI"/>
                <w:sz w:val="18"/>
              </w:rPr>
              <w:t>メルカリ（4385）</w:t>
            </w:r>
          </w:p>
        </w:tc>
        <w:tc>
          <w:tcPr>
            <w:tcW w:type="dxa" w:w="2351"/>
            <w:shd w:val="clear" w:color="auto" w:fill="DDEBF7"/>
          </w:tcPr>
          <w:p>
            <w:r>
              <w:rPr>
                <w:rFonts w:ascii="Meiryo UI" w:hAnsi="Meiryo UI"/>
                <w:sz w:val="18"/>
              </w:rPr>
              <w:t>赤字〜</w:t>
            </w:r>
          </w:p>
        </w:tc>
        <w:tc>
          <w:tcPr>
            <w:tcW w:type="dxa" w:w="2351"/>
            <w:shd w:val="clear" w:color="auto" w:fill="DDEBF7"/>
          </w:tcPr>
          <w:p>
            <w:r>
              <w:rPr>
                <w:rFonts w:ascii="Meiryo UI" w:hAnsi="Meiryo UI"/>
                <w:sz w:val="18"/>
              </w:rPr>
              <w:t>3〜5倍</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深井評価</w:t>
            </w:r>
          </w:p>
        </w:tc>
        <w:tc>
          <w:tcPr>
            <w:tcW w:type="dxa" w:w="2351"/>
          </w:tcPr>
          <w:p>
            <w:r>
              <w:rPr>
                <w:rFonts w:ascii="Meiryo UI" w:hAnsi="Meiryo UI"/>
                <w:sz w:val="18"/>
              </w:rPr>
              <w:t>成長率対比で最も魅力的</w:t>
            </w:r>
          </w:p>
        </w:tc>
        <w:tc>
          <w:tcPr>
            <w:tcW w:type="dxa" w:w="2351"/>
          </w:tcPr>
          <w:p>
            <w:r>
              <w:rPr>
                <w:rFonts w:ascii="Meiryo UI" w:hAnsi="Meiryo UI"/>
                <w:sz w:val="18"/>
              </w:rPr>
              <w:t>✅</w:t>
            </w:r>
          </w:p>
        </w:tc>
        <w:tc>
          <w:tcPr>
            <w:tcW w:type="dxa" w:w="2351"/>
          </w:tcPr>
          <w:p>
            <w:r>
              <w:rPr>
                <w:rFonts w:ascii="Meiryo UI" w:hAnsi="Meiryo UI"/>
                <w:sz w:val="18"/>
              </w:rPr>
              <w:t>✅</w:t>
            </w:r>
          </w:p>
        </w:tc>
      </w:tr>
    </w:tbl>
    <w:p/>
    <w:p>
      <w:r>
        <w:t>──────────────────────────────────────────────────</w:t>
      </w:r>
    </w:p>
    <w:p/>
    <w:p>
      <w:pPr>
        <w:pStyle w:val="Heading2"/>
      </w:pPr>
      <w:r>
        <w:rPr>
          <w:rFonts w:ascii="Meiryo UI" w:hAnsi="Meiryo UI"/>
          <w:color w:val="2E74B5"/>
        </w:rPr>
        <w:t>6. メインシナリオ vs リスクシナリオ（3ケース）</w:t>
      </w:r>
    </w:p>
    <w:p/>
    <w:p>
      <w:pPr>
        <w:pStyle w:val="Heading3"/>
      </w:pPr>
      <w:r>
        <w:rPr>
          <w:rFonts w:ascii="Meiryo UI" w:hAnsi="Meiryo UI"/>
          <w:color w:val="2E74B5"/>
        </w:rPr>
        <w:t>🟢 Bull Case（強気）— 確率: 25%</w:t>
      </w:r>
    </w:p>
    <w:p/>
    <w:p>
      <w:r>
        <w:rPr>
          <w:rFonts w:ascii="Meiryo UI" w:hAnsi="Meiryo UI"/>
          <w:sz w:val="20"/>
        </w:rPr>
        <w:t>前提:</w:t>
      </w:r>
    </w:p>
    <w:p>
      <w:pPr>
        <w:pStyle w:val="ListBullet"/>
      </w:pPr>
      <w:r>
        <w:rPr>
          <w:rFonts w:ascii="Meiryo UI" w:hAnsi="Meiryo UI"/>
          <w:sz w:val="20"/>
        </w:rPr>
        <w:t>金価格$4,500+維持 → 貴金属部門利益率大幅改善</w:t>
      </w:r>
    </w:p>
    <w:p>
      <w:pPr>
        <w:pStyle w:val="ListBullet"/>
      </w:pPr>
      <w:r>
        <w:rPr>
          <w:rFonts w:ascii="Meiryo UI" w:hAnsi="Meiryo UI"/>
          <w:sz w:val="20"/>
        </w:rPr>
        <w:t>出張買取エリア拡大が計画超（地方浸透）</w:t>
      </w:r>
    </w:p>
    <w:p>
      <w:pPr>
        <w:pStyle w:val="ListBullet"/>
      </w:pPr>
      <w:r>
        <w:rPr>
          <w:rFonts w:ascii="Meiryo UI" w:hAnsi="Meiryo UI"/>
          <w:sz w:val="20"/>
        </w:rPr>
        <w:t>AIシステム次世代版で転換率+5%改善</w:t>
      </w:r>
    </w:p>
    <w:p>
      <w:pPr>
        <w:pStyle w:val="ListBullet"/>
      </w:pPr>
      <w:r>
        <w:rPr>
          <w:rFonts w:ascii="Meiryo UI" w:hAnsi="Meiryo UI"/>
          <w:sz w:val="20"/>
        </w:rPr>
        <w:t>大型M&amp;A成功（家電・自動車部品等隣接領域）</w:t>
      </w:r>
    </w:p>
    <w:p>
      <w:pPr>
        <w:pStyle w:val="ListBullet"/>
      </w:pPr>
      <w:r>
        <w:rPr>
          <w:rFonts w:ascii="Meiryo UI" w:hAnsi="Meiryo UI"/>
          <w:sz w:val="20"/>
        </w:rPr>
        <w:t>FY2026売上成長率: +28%</w:t>
      </w:r>
    </w:p>
    <w:p/>
    <w:p>
      <w:r>
        <w:rPr>
          <w:rFonts w:ascii="Meiryo UI" w:hAnsi="Meiryo UI"/>
          <w:sz w:val="20"/>
        </w:rPr>
        <w:t>財務インパクト:</w:t>
      </w:r>
    </w:p>
    <w:p>
      <w:pPr>
        <w:shd w:val="clear" w:color="auto" w:fill="F2F2F2"/>
      </w:pPr>
      <w:r>
        <w:rPr>
          <w:rFonts w:ascii="Courier New" w:hAnsi="Courier New"/>
          <w:sz w:val="16"/>
        </w:rPr>
        <w:t>売上高FY2026E: ¥900億（+28%）</w:t>
        <w:br/>
        <w:t>OPM: 14.5%</w:t>
        <w:br/>
        <w:t>営業利益: ¥130億</w:t>
        <w:br/>
        <w:t>FCF: ¥95億</w:t>
        <w:br/>
        <w:t>理論株価: ¥5,800（現在値比+80.1%）</w:t>
      </w:r>
    </w:p>
    <w:p/>
    <w:p>
      <w:pPr>
        <w:pStyle w:val="Heading3"/>
      </w:pPr>
      <w:r>
        <w:rPr>
          <w:rFonts w:ascii="Meiryo UI" w:hAnsi="Meiryo UI"/>
          <w:color w:val="2E74B5"/>
        </w:rPr>
        <w:t>🟡 Base Case（基本）— 確率: 55%</w:t>
      </w:r>
    </w:p>
    <w:p/>
    <w:p>
      <w:r>
        <w:rPr>
          <w:rFonts w:ascii="Meiryo UI" w:hAnsi="Meiryo UI"/>
          <w:sz w:val="20"/>
        </w:rPr>
        <w:t>前提:</w:t>
      </w:r>
    </w:p>
    <w:p>
      <w:pPr>
        <w:pStyle w:val="ListBullet"/>
      </w:pPr>
      <w:r>
        <w:rPr>
          <w:rFonts w:ascii="Meiryo UI" w:hAnsi="Meiryo UI"/>
          <w:sz w:val="20"/>
        </w:rPr>
        <w:t>金価格$4,000〜$4,500で推移</w:t>
      </w:r>
    </w:p>
    <w:p>
      <w:pPr>
        <w:pStyle w:val="ListBullet"/>
      </w:pPr>
      <w:r>
        <w:rPr>
          <w:rFonts w:ascii="Meiryo UI" w:hAnsi="Meiryo UI"/>
          <w:sz w:val="20"/>
        </w:rPr>
        <w:t>現在の成長トレンド継続（CAGR 20〜24%）</w:t>
      </w:r>
    </w:p>
    <w:p>
      <w:pPr>
        <w:pStyle w:val="ListBullet"/>
      </w:pPr>
      <w:r>
        <w:rPr>
          <w:rFonts w:ascii="Meiryo UI" w:hAnsi="Meiryo UI"/>
          <w:sz w:val="20"/>
        </w:rPr>
        <w:t>オペレーション効率化が段階的に進行</w:t>
      </w:r>
    </w:p>
    <w:p>
      <w:pPr>
        <w:pStyle w:val="ListBullet"/>
      </w:pPr>
      <w:r>
        <w:rPr>
          <w:rFonts w:ascii="Meiryo UI" w:hAnsi="Meiryo UI"/>
          <w:sz w:val="20"/>
        </w:rPr>
        <w:t>M&amp;Aは小〜中規模が1〜2件</w:t>
      </w:r>
    </w:p>
    <w:p>
      <w:pPr>
        <w:pStyle w:val="ListBullet"/>
      </w:pPr>
      <w:r>
        <w:rPr>
          <w:rFonts w:ascii="Meiryo UI" w:hAnsi="Meiryo UI"/>
          <w:sz w:val="20"/>
        </w:rPr>
        <w:t>FY2026売上成長率: +22%</w:t>
      </w:r>
    </w:p>
    <w:p/>
    <w:p>
      <w:r>
        <w:rPr>
          <w:rFonts w:ascii="Meiryo UI" w:hAnsi="Meiryo UI"/>
          <w:sz w:val="20"/>
        </w:rPr>
        <w:t>財務インパクト:</w:t>
      </w:r>
    </w:p>
    <w:p>
      <w:pPr>
        <w:shd w:val="clear" w:color="auto" w:fill="F2F2F2"/>
      </w:pPr>
      <w:r>
        <w:rPr>
          <w:rFonts w:ascii="Courier New" w:hAnsi="Courier New"/>
          <w:sz w:val="16"/>
        </w:rPr>
        <w:t>売上高FY2026E: ¥820億（+22%）</w:t>
        <w:br/>
        <w:t>OPM: 13.0%</w:t>
        <w:br/>
        <w:t>営業利益: ¥107億</w:t>
        <w:br/>
        <w:t>FCF: ¥76億</w:t>
        <w:br/>
        <w:t>理論株価: ¥4,550（現在値比+41.3%）</w:t>
      </w:r>
    </w:p>
    <w:p/>
    <w:p>
      <w:pPr>
        <w:pStyle w:val="Heading3"/>
      </w:pPr>
      <w:r>
        <w:rPr>
          <w:rFonts w:ascii="Meiryo UI" w:hAnsi="Meiryo UI"/>
          <w:color w:val="2E74B5"/>
        </w:rPr>
        <w:t>🔴 Bear Case（弱気）— 確率: 20%</w:t>
      </w:r>
    </w:p>
    <w:p/>
    <w:p>
      <w:r>
        <w:rPr>
          <w:rFonts w:ascii="Meiryo UI" w:hAnsi="Meiryo UI"/>
          <w:sz w:val="20"/>
        </w:rPr>
        <w:t>前提:</w:t>
      </w:r>
    </w:p>
    <w:p>
      <w:pPr>
        <w:pStyle w:val="ListBullet"/>
      </w:pPr>
      <w:r>
        <w:rPr>
          <w:rFonts w:ascii="Meiryo UI" w:hAnsi="Meiryo UI"/>
          <w:sz w:val="20"/>
        </w:rPr>
        <w:t>金価格急落（$3,000以下）→ 貴金属部門縮小</w:t>
      </w:r>
    </w:p>
    <w:p>
      <w:pPr>
        <w:pStyle w:val="ListBullet"/>
      </w:pPr>
      <w:r>
        <w:rPr>
          <w:rFonts w:ascii="Meiryo UI" w:hAnsi="Meiryo UI"/>
          <w:sz w:val="20"/>
        </w:rPr>
        <w:t>競合（C2Cプラットフォーム等）の台頭で買取価格競争激化</w:t>
      </w:r>
    </w:p>
    <w:p>
      <w:pPr>
        <w:pStyle w:val="ListBullet"/>
      </w:pPr>
      <w:r>
        <w:rPr>
          <w:rFonts w:ascii="Meiryo UI" w:hAnsi="Meiryo UI"/>
          <w:sz w:val="20"/>
        </w:rPr>
        <w:t>人件費・燃料費の上昇でオペレーションコスト増</w:t>
      </w:r>
    </w:p>
    <w:p>
      <w:pPr>
        <w:pStyle w:val="ListBullet"/>
      </w:pPr>
      <w:r>
        <w:rPr>
          <w:rFonts w:ascii="Meiryo UI" w:hAnsi="Meiryo UI"/>
          <w:sz w:val="20"/>
        </w:rPr>
        <w:t>成長投資が先行しすぎてFCF悪化</w:t>
      </w:r>
    </w:p>
    <w:p>
      <w:pPr>
        <w:pStyle w:val="ListBullet"/>
      </w:pPr>
      <w:r>
        <w:rPr>
          <w:rFonts w:ascii="Meiryo UI" w:hAnsi="Meiryo UI"/>
          <w:sz w:val="20"/>
        </w:rPr>
        <w:t>FY2026売上成長率: +12%</w:t>
      </w:r>
    </w:p>
    <w:p/>
    <w:p>
      <w:r>
        <w:rPr>
          <w:rFonts w:ascii="Meiryo UI" w:hAnsi="Meiryo UI"/>
          <w:sz w:val="20"/>
        </w:rPr>
        <w:t>財務インパクト:</w:t>
      </w:r>
    </w:p>
    <w:p>
      <w:pPr>
        <w:shd w:val="clear" w:color="auto" w:fill="F2F2F2"/>
      </w:pPr>
      <w:r>
        <w:rPr>
          <w:rFonts w:ascii="Courier New" w:hAnsi="Courier New"/>
          <w:sz w:val="16"/>
        </w:rPr>
        <w:t>売上高FY2026E: ¥670億（+12%）</w:t>
        <w:br/>
        <w:t>OPM: 10.0%</w:t>
        <w:br/>
        <w:t>営業利益: ¥67億</w:t>
        <w:br/>
        <w:t>FCF: ¥40億</w:t>
        <w:br/>
        <w:t>理論株価: ¥3,050（現在値比▲5.3%）</w:t>
      </w:r>
    </w:p>
    <w:p/>
    <w:p>
      <w:pPr>
        <w:pStyle w:val="Heading3"/>
      </w:pPr>
      <w:r>
        <w:rPr>
          <w:rFonts w:ascii="Meiryo UI" w:hAnsi="Meiryo UI"/>
          <w:color w:val="2E74B5"/>
        </w:rPr>
        <w:t>加重平均理論株価</w:t>
      </w:r>
    </w:p>
    <w:p/>
    <w:p>
      <w:pPr>
        <w:shd w:val="clear" w:color="auto" w:fill="F2F2F2"/>
      </w:pPr>
      <w:r>
        <w:rPr>
          <w:rFonts w:ascii="Courier New" w:hAnsi="Courier New"/>
          <w:sz w:val="16"/>
        </w:rPr>
        <w:t>加重平均 = Bull(25%) × ¥5,800 + Base(55%) × ¥4,550 + Bear(20%) × ¥3,050</w:t>
        <w:br/>
        <w:t xml:space="preserve">         = ¥1,450 + ¥2,503 + ¥610</w:t>
        <w:br/>
        <w:t xml:space="preserve">         = ¥4,563 ≒ 目標株価 ¥4,500（12M）</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浅井スコア vs 深井DCF ギャップ分析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スコア/シグナル</w:t>
            </w:r>
          </w:p>
        </w:tc>
        <w:tc>
          <w:tcPr>
            <w:tcW w:type="dxa" w:w="2351"/>
          </w:tcPr>
          <w:p>
            <w:r>
              <w:rPr>
                <w:rFonts w:ascii="Meiryo UI" w:hAnsi="Meiryo UI"/>
                <w:sz w:val="18"/>
              </w:rPr>
              <w:t>+0（BUY）</w:t>
            </w:r>
          </w:p>
        </w:tc>
        <w:tc>
          <w:tcPr>
            <w:tcW w:type="dxa" w:w="2351"/>
          </w:tcPr>
          <w:p>
            <w:r>
              <w:rPr>
                <w:rFonts w:ascii="Meiryo UI" w:hAnsi="Meiryo UI"/>
                <w:sz w:val="18"/>
              </w:rPr>
              <w:t>Base ¥4,550（+41%アップサイド）</w:t>
            </w:r>
          </w:p>
        </w:tc>
        <w:tc>
          <w:tcPr>
            <w:tcW w:type="dxa" w:w="2351"/>
          </w:tcPr>
          <w:p>
            <w:r>
              <w:rPr>
                <w:rFonts w:ascii="Meiryo UI" w:hAnsi="Meiryo UI"/>
                <w:sz w:val="18"/>
              </w:rPr>
              <w:t>方向性一致、深井がさらに強い買い推奨</w:t>
            </w:r>
          </w:p>
        </w:tc>
      </w:tr>
      <w:tr>
        <w:tc>
          <w:tcPr>
            <w:tcW w:type="dxa" w:w="2351"/>
            <w:shd w:val="clear" w:color="auto" w:fill="DDEBF7"/>
          </w:tcPr>
          <w:p>
            <w:r>
              <w:rPr>
                <w:rFonts w:ascii="Meiryo UI" w:hAnsi="Meiryo UI"/>
                <w:sz w:val="18"/>
              </w:rPr>
              <w:t>コメント要旨</w:t>
            </w:r>
          </w:p>
        </w:tc>
        <w:tc>
          <w:tcPr>
            <w:tcW w:type="dxa" w:w="2351"/>
            <w:shd w:val="clear" w:color="auto" w:fill="DDEBF7"/>
          </w:tcPr>
          <w:p>
            <w:r>
              <w:rPr>
                <w:rFonts w:ascii="Meiryo UI" w:hAnsi="Meiryo UI"/>
                <w:sz w:val="18"/>
              </w:rPr>
              <w:t>リユースDX成長株。差別化と収益成長の持続性を精査</w:t>
            </w:r>
          </w:p>
        </w:tc>
        <w:tc>
          <w:tcPr>
            <w:tcW w:type="dxa" w:w="2351"/>
            <w:shd w:val="clear" w:color="auto" w:fill="DDEBF7"/>
          </w:tcPr>
          <w:p>
            <w:r>
              <w:rPr>
                <w:rFonts w:ascii="Meiryo UI" w:hAnsi="Meiryo UI"/>
                <w:sz w:val="18"/>
              </w:rPr>
              <w:t>Rule of 40達成水準、PEG&lt;1.0、金高騰カタリスト確認</w:t>
            </w:r>
          </w:p>
        </w:tc>
        <w:tc>
          <w:tcPr>
            <w:tcW w:type="dxa" w:w="2351"/>
            <w:shd w:val="clear" w:color="auto" w:fill="DDEBF7"/>
          </w:tcPr>
          <w:p>
            <w:r>
              <w:rPr>
                <w:rFonts w:ascii="Meiryo UI" w:hAnsi="Meiryo UI"/>
                <w:sz w:val="18"/>
              </w:rPr>
              <w:t>定性×定量 両面でBUY確信度高い</w:t>
            </w:r>
          </w:p>
        </w:tc>
      </w:tr>
      <w:tr>
        <w:tc>
          <w:tcPr>
            <w:tcW w:type="dxa" w:w="2351"/>
          </w:tcPr>
          <w:p>
            <w:r>
              <w:rPr>
                <w:rFonts w:ascii="Meiryo UI" w:hAnsi="Meiryo UI"/>
                <w:sz w:val="18"/>
              </w:rPr>
              <w:t>センチメント</w:t>
            </w:r>
          </w:p>
        </w:tc>
        <w:tc>
          <w:tcPr>
            <w:tcW w:type="dxa" w:w="2351"/>
          </w:tcPr>
          <w:p>
            <w:r>
              <w:rPr>
                <w:rFonts w:ascii="Meiryo UI" w:hAnsi="Meiryo UI"/>
                <w:sz w:val="18"/>
              </w:rPr>
              <w:t>中立〜ポジティブ</w:t>
            </w:r>
          </w:p>
        </w:tc>
        <w:tc>
          <w:tcPr>
            <w:tcW w:type="dxa" w:w="2351"/>
          </w:tcPr>
          <w:p>
            <w:r>
              <w:rPr>
                <w:rFonts w:ascii="Meiryo UI" w:hAnsi="Meiryo UI"/>
                <w:sz w:val="18"/>
              </w:rPr>
              <w:t>強いポジティブ</w:t>
            </w:r>
          </w:p>
        </w:tc>
        <w:tc>
          <w:tcPr>
            <w:tcW w:type="dxa" w:w="2351"/>
          </w:tcPr>
          <w:p>
            <w:r>
              <w:rPr>
                <w:rFonts w:ascii="Meiryo UI" w:hAnsi="Meiryo UI"/>
                <w:sz w:val="18"/>
              </w:rPr>
              <w:t>市場のアンダー評価を深井DCFが明示</w:t>
            </w:r>
          </w:p>
        </w:tc>
      </w:tr>
      <w:tr>
        <w:tc>
          <w:tcPr>
            <w:tcW w:type="dxa" w:w="2351"/>
            <w:shd w:val="clear" w:color="auto" w:fill="DDEBF7"/>
          </w:tcPr>
          <w:p>
            <w:r>
              <w:rPr>
                <w:rFonts w:ascii="Meiryo UI" w:hAnsi="Meiryo UI"/>
                <w:sz w:val="18"/>
              </w:rPr>
              <w:t>乖離</w:t>
            </w:r>
          </w:p>
        </w:tc>
        <w:tc>
          <w:tcPr>
            <w:tcW w:type="dxa" w:w="2351"/>
            <w:shd w:val="clear" w:color="auto" w:fill="DDEBF7"/>
          </w:tcPr>
          <w:p>
            <w:r>
              <w:rPr>
                <w:rFonts w:ascii="Meiryo UI" w:hAnsi="Meiryo UI"/>
                <w:sz w:val="18"/>
              </w:rPr>
              <w:t>¥3,220</w:t>
            </w:r>
          </w:p>
        </w:tc>
        <w:tc>
          <w:tcPr>
            <w:tcW w:type="dxa" w:w="2351"/>
            <w:shd w:val="clear" w:color="auto" w:fill="DDEBF7"/>
          </w:tcPr>
          <w:p>
            <w:r>
              <w:rPr>
                <w:rFonts w:ascii="Meiryo UI" w:hAnsi="Meiryo UI"/>
                <w:sz w:val="18"/>
              </w:rPr>
              <w:t>¥4,550（Base）</w:t>
            </w:r>
          </w:p>
        </w:tc>
        <w:tc>
          <w:tcPr>
            <w:tcW w:type="dxa" w:w="2351"/>
            <w:shd w:val="clear" w:color="auto" w:fill="DDEBF7"/>
          </w:tcPr>
          <w:p>
            <w:r>
              <w:rPr>
                <w:rFonts w:ascii="Meiryo UI" w:hAnsi="Meiryo UI"/>
                <w:sz w:val="18"/>
              </w:rPr>
              <w:t>¥1,330/株のアンダーバリュエーション</w:t>
            </w:r>
          </w:p>
        </w:tc>
      </w:tr>
    </w:tbl>
    <w:p/>
    <w:p>
      <w:r>
        <w:rPr>
          <w:rFonts w:ascii="Meiryo UI" w:hAnsi="Meiryo UI"/>
          <w:sz w:val="20"/>
        </w:rPr>
        <w:t>深井の統合評価コメント:</w:t>
      </w:r>
    </w:p>
    <w:p>
      <w:r>
        <w:rPr>
          <w:rFonts w:ascii="Meiryo UI" w:hAnsi="Meiryo UI"/>
          <w:sz w:val="20"/>
        </w:rPr>
        <w:t>&gt; 浅井速報の「精査せよ」という慎重なBUYシグナルに対して、深井DCFはより積極的なBUYを支持する。市場は現在、バイセルのリユースDX成長ストーリーを売上倍率（PSR 1.75倍）でしか評価しておらず、利益率改善ペース・FCF創出力・金高騰カタリストを十分に織り込んでいない。現在の株価水準は「優良成長株を安値で買える機会」として分類される。</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戦略要素</w:t>
            </w:r>
          </w:p>
        </w:tc>
        <w:tc>
          <w:tcPr>
            <w:tcW w:type="dxa" w:w="4703"/>
            <w:shd w:val="clear" w:color="auto" w:fill="2E74B5"/>
          </w:tcPr>
          <w:p>
            <w:r>
              <w:rPr>
                <w:rFonts w:ascii="Meiryo UI" w:hAnsi="Meiryo UI"/>
                <w:b/>
                <w:color w:val="FFFFFF"/>
                <w:sz w:val="18"/>
              </w:rPr>
              <w:t>推奨値・内容</w:t>
            </w:r>
          </w:p>
        </w:tc>
      </w:tr>
      <w:tr>
        <w:tc>
          <w:tcPr>
            <w:tcW w:type="dxa" w:w="4703"/>
          </w:tcPr>
          <w:p>
            <w:r>
              <w:rPr>
                <w:rFonts w:ascii="Meiryo UI" w:hAnsi="Meiryo UI"/>
                <w:sz w:val="18"/>
              </w:rPr>
              <w:t>エントリー価格</w:t>
            </w:r>
          </w:p>
        </w:tc>
        <w:tc>
          <w:tcPr>
            <w:tcW w:type="dxa" w:w="4703"/>
          </w:tcPr>
          <w:p>
            <w:r>
              <w:rPr>
                <w:rFonts w:ascii="Meiryo UI" w:hAnsi="Meiryo UI"/>
                <w:sz w:val="18"/>
              </w:rPr>
              <w:t>¥3,220（現在値で即時エントリー可）</w:t>
            </w:r>
          </w:p>
        </w:tc>
      </w:tr>
      <w:tr>
        <w:tc>
          <w:tcPr>
            <w:tcW w:type="dxa" w:w="4703"/>
            <w:shd w:val="clear" w:color="auto" w:fill="DDEBF7"/>
          </w:tcPr>
          <w:p>
            <w:r>
              <w:rPr>
                <w:rFonts w:ascii="Meiryo UI" w:hAnsi="Meiryo UI"/>
                <w:sz w:val="18"/>
              </w:rPr>
              <w:t>理想買い増し水準</w:t>
            </w:r>
          </w:p>
        </w:tc>
        <w:tc>
          <w:tcPr>
            <w:tcW w:type="dxa" w:w="4703"/>
            <w:shd w:val="clear" w:color="auto" w:fill="DDEBF7"/>
          </w:tcPr>
          <w:p>
            <w:r>
              <w:rPr>
                <w:rFonts w:ascii="Meiryo UI" w:hAnsi="Meiryo UI"/>
                <w:sz w:val="18"/>
              </w:rPr>
              <w:t>¥2,900〜¥3,050（調整時の分散エントリー）</w:t>
            </w:r>
          </w:p>
        </w:tc>
      </w:tr>
      <w:tr>
        <w:tc>
          <w:tcPr>
            <w:tcW w:type="dxa" w:w="4703"/>
          </w:tcPr>
          <w:p>
            <w:r>
              <w:rPr>
                <w:rFonts w:ascii="Meiryo UI" w:hAnsi="Meiryo UI"/>
                <w:sz w:val="18"/>
              </w:rPr>
              <w:t>フルポジション形成</w:t>
            </w:r>
          </w:p>
        </w:tc>
        <w:tc>
          <w:tcPr>
            <w:tcW w:type="dxa" w:w="4703"/>
          </w:tcPr>
          <w:p>
            <w:r>
              <w:rPr>
                <w:rFonts w:ascii="Meiryo UI" w:hAnsi="Meiryo UI"/>
                <w:sz w:val="18"/>
              </w:rPr>
              <w:t>2〜3回に分けた分散購入を推奨</w:t>
            </w:r>
          </w:p>
        </w:tc>
      </w:tr>
      <w:tr>
        <w:tc>
          <w:tcPr>
            <w:tcW w:type="dxa" w:w="4703"/>
            <w:shd w:val="clear" w:color="auto" w:fill="DDEBF7"/>
          </w:tcPr>
          <w:p>
            <w:r>
              <w:rPr>
                <w:rFonts w:ascii="Meiryo UI" w:hAnsi="Meiryo UI"/>
                <w:sz w:val="18"/>
              </w:rPr>
              <w:t>初期ポジション</w:t>
            </w:r>
          </w:p>
        </w:tc>
        <w:tc>
          <w:tcPr>
            <w:tcW w:type="dxa" w:w="4703"/>
            <w:shd w:val="clear" w:color="auto" w:fill="DDEBF7"/>
          </w:tcPr>
          <w:p>
            <w:r>
              <w:rPr>
                <w:rFonts w:ascii="Meiryo UI" w:hAnsi="Meiryo UI"/>
                <w:sz w:val="18"/>
              </w:rPr>
              <w:t>目標ポジションの40〜50%を現値でエントリー</w:t>
            </w:r>
          </w:p>
        </w:tc>
      </w:tr>
      <w:tr>
        <w:tc>
          <w:tcPr>
            <w:tcW w:type="dxa" w:w="4703"/>
          </w:tcPr>
          <w:p>
            <w:r>
              <w:rPr>
                <w:rFonts w:ascii="Meiryo UI" w:hAnsi="Meiryo UI"/>
                <w:sz w:val="18"/>
              </w:rPr>
              <w:t>時間軸</w:t>
            </w:r>
          </w:p>
        </w:tc>
        <w:tc>
          <w:tcPr>
            <w:tcW w:type="dxa" w:w="4703"/>
          </w:tcPr>
          <w:p>
            <w:r>
              <w:rPr>
                <w:rFonts w:ascii="Meiryo UI" w:hAnsi="Meiryo UI"/>
                <w:sz w:val="18"/>
              </w:rPr>
              <w:t>12〜24ヶ月（中期成長株保有）</w:t>
            </w:r>
          </w:p>
        </w:tc>
      </w:tr>
    </w:tbl>
    <w:p/>
    <w:p>
      <w:pPr>
        <w:pStyle w:val="Heading3"/>
      </w:pPr>
      <w:r>
        <w:rPr>
          <w:rFonts w:ascii="Meiryo UI" w:hAnsi="Meiryo UI"/>
          <w:color w:val="2E74B5"/>
        </w:rPr>
        <w:t>8-2. 損切りライン（Stop Loss）</w:t>
      </w:r>
    </w:p>
    <w:p/>
    <w:p>
      <w:pPr>
        <w:shd w:val="clear" w:color="auto" w:fill="F2F2F2"/>
      </w:pPr>
      <w:r>
        <w:rPr>
          <w:rFonts w:ascii="Courier New" w:hAnsi="Courier New"/>
          <w:sz w:val="16"/>
        </w:rPr>
        <w:t>損切りライン: ¥2,650（▲17.7%）</w:t>
        <w:br/>
        <w:br/>
        <w:t>根拠:</w:t>
        <w:br/>
        <w:t>- Bear Case理論株価¥3,050から更に▲10〜15%のバッファ</w:t>
        <w:br/>
        <w:t>- テクニカルサポート水準（直近安値ゾーン）と一致</w:t>
        <w:br/>
        <w:t>- ¥2,650割れ = 成長ストーリーの根本的毀損を示唆する水準</w:t>
        <w:br/>
        <w:t>- Bear Caseの加重確率(20%)を考慮した合理的損失許容ライン</w:t>
        <w:br/>
        <w:br/>
        <w:t>リスク/リワード比:</w:t>
        <w:br/>
        <w:t xml:space="preserve">  アップサイド（Base Case）: +41.3%（¥1,330）</w:t>
        <w:br/>
        <w:t xml:space="preserve">  ダウンサイド（Stop Loss）: ▲17.7%（¥570）</w:t>
        <w:br/>
        <w:t xml:space="preserve">  R/R比率: 41.3 ÷ 17.7 = 2.33 → 最低基準2.0超 ✅</w:t>
      </w:r>
    </w:p>
    <w:p/>
    <w:p>
      <w:pPr>
        <w:pStyle w:val="Heading3"/>
      </w:pPr>
      <w:r>
        <w:rPr>
          <w:rFonts w:ascii="Meiryo UI" w:hAnsi="Meiryo UI"/>
          <w:color w:val="2E74B5"/>
        </w:rPr>
        <w:t>8-3. 保有継続の条件（KPI監視リスト）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KPI</w:t>
            </w:r>
          </w:p>
        </w:tc>
        <w:tc>
          <w:tcPr>
            <w:tcW w:type="dxa" w:w="3135"/>
            <w:shd w:val="clear" w:color="auto" w:fill="2E74B5"/>
          </w:tcPr>
          <w:p>
            <w:r>
              <w:rPr>
                <w:rFonts w:ascii="Meiryo UI" w:hAnsi="Meiryo UI"/>
                <w:b/>
                <w:color w:val="FFFFFF"/>
                <w:sz w:val="18"/>
              </w:rPr>
              <w:t>保有継続条件</w:t>
            </w:r>
          </w:p>
        </w:tc>
        <w:tc>
          <w:tcPr>
            <w:tcW w:type="dxa" w:w="3135"/>
            <w:shd w:val="clear" w:color="auto" w:fill="2E74B5"/>
          </w:tcPr>
          <w:p>
            <w:r>
              <w:rPr>
                <w:rFonts w:ascii="Meiryo UI" w:hAnsi="Meiryo UI"/>
                <w:b/>
                <w:color w:val="FFFFFF"/>
                <w:sz w:val="18"/>
              </w:rPr>
              <w:t>売却検討トリガー</w:t>
            </w:r>
          </w:p>
        </w:tc>
      </w:tr>
      <w:tr>
        <w:tc>
          <w:tcPr>
            <w:tcW w:type="dxa" w:w="3135"/>
          </w:tcPr>
          <w:p>
            <w:r>
              <w:rPr>
                <w:rFonts w:ascii="Meiryo UI" w:hAnsi="Meiryo UI"/>
                <w:sz w:val="18"/>
              </w:rPr>
              <w:t>売上高成長率</w:t>
            </w:r>
          </w:p>
        </w:tc>
        <w:tc>
          <w:tcPr>
            <w:tcW w:type="dxa" w:w="3135"/>
          </w:tcPr>
          <w:p>
            <w:r>
              <w:rPr>
                <w:rFonts w:ascii="Meiryo UI" w:hAnsi="Meiryo UI"/>
                <w:sz w:val="18"/>
              </w:rPr>
              <w:t>20%超維持</w:t>
            </w:r>
          </w:p>
        </w:tc>
        <w:tc>
          <w:tcPr>
            <w:tcW w:type="dxa" w:w="3135"/>
          </w:tcPr>
          <w:p>
            <w:r>
              <w:rPr>
                <w:rFonts w:ascii="Meiryo UI" w:hAnsi="Meiryo UI"/>
                <w:sz w:val="18"/>
              </w:rPr>
              <w:t>3四半期連続15%未満</w:t>
            </w:r>
          </w:p>
        </w:tc>
      </w:tr>
      <w:tr>
        <w:tc>
          <w:tcPr>
            <w:tcW w:type="dxa" w:w="3135"/>
            <w:shd w:val="clear" w:color="auto" w:fill="DDEBF7"/>
          </w:tcPr>
          <w:p>
            <w:r>
              <w:rPr>
                <w:rFonts w:ascii="Meiryo UI" w:hAnsi="Meiryo UI"/>
                <w:sz w:val="18"/>
              </w:rPr>
              <w:t>営業利益率</w:t>
            </w:r>
          </w:p>
        </w:tc>
        <w:tc>
          <w:tcPr>
            <w:tcW w:type="dxa" w:w="3135"/>
            <w:shd w:val="clear" w:color="auto" w:fill="DDEBF7"/>
          </w:tcPr>
          <w:p>
            <w:r>
              <w:rPr>
                <w:rFonts w:ascii="Meiryo UI" w:hAnsi="Meiryo UI"/>
                <w:sz w:val="18"/>
              </w:rPr>
              <w:t>12%以上維持</w:t>
            </w:r>
          </w:p>
        </w:tc>
        <w:tc>
          <w:tcPr>
            <w:tcW w:type="dxa" w:w="3135"/>
            <w:shd w:val="clear" w:color="auto" w:fill="DDEBF7"/>
          </w:tcPr>
          <w:p>
            <w:r>
              <w:rPr>
                <w:rFonts w:ascii="Meiryo UI" w:hAnsi="Meiryo UI"/>
                <w:sz w:val="18"/>
              </w:rPr>
              <w:t>10%割れが2四半期継続</w:t>
            </w:r>
          </w:p>
        </w:tc>
      </w:tr>
      <w:tr>
        <w:tc>
          <w:tcPr>
            <w:tcW w:type="dxa" w:w="3135"/>
          </w:tcPr>
          <w:p>
            <w:r>
              <w:rPr>
                <w:rFonts w:ascii="Meiryo UI" w:hAnsi="Meiryo UI"/>
                <w:sz w:val="18"/>
              </w:rPr>
              <w:t>FCFマージン</w:t>
            </w:r>
          </w:p>
        </w:tc>
        <w:tc>
          <w:tcPr>
            <w:tcW w:type="dxa" w:w="3135"/>
          </w:tcPr>
          <w:p>
            <w:r>
              <w:rPr>
                <w:rFonts w:ascii="Meiryo UI" w:hAnsi="Meiryo UI"/>
                <w:sz w:val="18"/>
              </w:rPr>
              <w:t>7%以上</w:t>
            </w:r>
          </w:p>
        </w:tc>
        <w:tc>
          <w:tcPr>
            <w:tcW w:type="dxa" w:w="3135"/>
          </w:tcPr>
          <w:p>
            <w:r>
              <w:rPr>
                <w:rFonts w:ascii="Meiryo UI" w:hAnsi="Meiryo UI"/>
                <w:sz w:val="18"/>
              </w:rPr>
              <w:t>5%割れ</w:t>
            </w:r>
          </w:p>
        </w:tc>
      </w:tr>
      <w:tr>
        <w:tc>
          <w:tcPr>
            <w:tcW w:type="dxa" w:w="3135"/>
            <w:shd w:val="clear" w:color="auto" w:fill="DDEBF7"/>
          </w:tcPr>
          <w:p>
            <w:r>
              <w:rPr>
                <w:rFonts w:ascii="Meiryo UI" w:hAnsi="Meiryo UI"/>
                <w:sz w:val="18"/>
              </w:rPr>
              <w:t>PEG比率</w:t>
            </w:r>
          </w:p>
        </w:tc>
        <w:tc>
          <w:tcPr>
            <w:tcW w:type="dxa" w:w="3135"/>
            <w:shd w:val="clear" w:color="auto" w:fill="DDEBF7"/>
          </w:tcPr>
          <w:p>
            <w:r>
              <w:rPr>
                <w:rFonts w:ascii="Meiryo UI" w:hAnsi="Meiryo UI"/>
                <w:sz w:val="18"/>
              </w:rPr>
              <w:t>1.5倍以下</w:t>
            </w:r>
          </w:p>
        </w:tc>
        <w:tc>
          <w:tcPr>
            <w:tcW w:type="dxa" w:w="3135"/>
            <w:shd w:val="clear" w:color="auto" w:fill="DDEBF7"/>
          </w:tcPr>
          <w:p>
            <w:r>
              <w:rPr>
                <w:rFonts w:ascii="Meiryo UI" w:hAnsi="Meiryo UI"/>
                <w:sz w:val="18"/>
              </w:rPr>
              <w:t>2.0倍超（過熱）</w:t>
            </w:r>
          </w:p>
        </w:tc>
      </w:tr>
      <w:tr>
        <w:tc>
          <w:tcPr>
            <w:tcW w:type="dxa" w:w="3135"/>
          </w:tcPr>
          <w:p>
            <w:r>
              <w:rPr>
                <w:rFonts w:ascii="Meiryo UI" w:hAnsi="Meiryo UI"/>
                <w:sz w:val="18"/>
              </w:rPr>
              <w:t>金価格</w:t>
            </w:r>
          </w:p>
        </w:tc>
        <w:tc>
          <w:tcPr>
            <w:tcW w:type="dxa" w:w="3135"/>
          </w:tcPr>
          <w:p>
            <w:r>
              <w:rPr>
                <w:rFonts w:ascii="Meiryo UI" w:hAnsi="Meiryo UI"/>
                <w:sz w:val="18"/>
              </w:rPr>
              <w:t>参考指標</w:t>
            </w:r>
          </w:p>
        </w:tc>
        <w:tc>
          <w:tcPr>
            <w:tcW w:type="dxa" w:w="3135"/>
          </w:tcPr>
          <w:p>
            <w:r>
              <w:rPr>
                <w:rFonts w:ascii="Meiryo UI" w:hAnsi="Meiryo UI"/>
                <w:sz w:val="18"/>
              </w:rPr>
              <w:t>$2,500以下で貴金属部門精査</w:t>
            </w:r>
          </w:p>
        </w:tc>
      </w:tr>
      <w:tr>
        <w:tc>
          <w:tcPr>
            <w:tcW w:type="dxa" w:w="3135"/>
            <w:shd w:val="clear" w:color="auto" w:fill="DDEBF7"/>
          </w:tcPr>
          <w:p>
            <w:r>
              <w:rPr>
                <w:rFonts w:ascii="Meiryo UI" w:hAnsi="Meiryo UI"/>
                <w:sz w:val="18"/>
              </w:rPr>
              <w:t>競合動向</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C2Cプラットフォームの出張買取参入</w:t>
            </w:r>
          </w:p>
        </w:tc>
      </w:tr>
    </w:tbl>
    <w:p/>
    <w:p>
      <w:pPr>
        <w:pStyle w:val="Heading3"/>
      </w:pPr>
      <w:r>
        <w:rPr>
          <w:rFonts w:ascii="Meiryo UI" w:hAnsi="Meiryo UI"/>
          <w:color w:val="2E74B5"/>
        </w:rPr>
        <w:t>8-4. 目標株価・時間軸別シナリオ</w:t>
      </w:r>
    </w:p>
    <w:p/>
    <w:p>
      <w:pPr>
        <w:shd w:val="clear" w:color="auto" w:fill="F2F2F2"/>
      </w:pPr>
      <w:r>
        <w:rPr>
          <w:rFonts w:ascii="Courier New" w:hAnsi="Courier New"/>
          <w:sz w:val="16"/>
        </w:rPr>
        <w:t>6ヶ月後目標:  ¥3,800（+18.0%）— 次の決算好業績で見直し</w:t>
        <w:br/>
        <w:t>12ヶ月後目標: ¥4,500（+39.8%）— Base Case理論株価</w:t>
        <w:br/>
        <w:t>18〜24ヶ月後: ¥5,000〜¥5,500（強気シナリオ）</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Rf変動による理論株価感応度テーブル</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Rf ▲1.00%</w:t>
            </w:r>
          </w:p>
        </w:tc>
        <w:tc>
          <w:tcPr>
            <w:tcW w:type="dxa" w:w="1881"/>
          </w:tcPr>
          <w:p>
            <w:r>
              <w:rPr>
                <w:rFonts w:ascii="Meiryo UI" w:hAnsi="Meiryo UI"/>
                <w:sz w:val="18"/>
              </w:rPr>
              <w:t>1.380%</w:t>
            </w:r>
          </w:p>
        </w:tc>
        <w:tc>
          <w:tcPr>
            <w:tcW w:type="dxa" w:w="1881"/>
          </w:tcPr>
          <w:p>
            <w:r>
              <w:rPr>
                <w:rFonts w:ascii="Meiryo UI" w:hAnsi="Meiryo UI"/>
                <w:sz w:val="18"/>
              </w:rPr>
              <w:t>9.05%</w:t>
            </w:r>
          </w:p>
        </w:tc>
        <w:tc>
          <w:tcPr>
            <w:tcW w:type="dxa" w:w="1881"/>
          </w:tcPr>
          <w:p>
            <w:r>
              <w:rPr>
                <w:rFonts w:ascii="Meiryo UI" w:hAnsi="Meiryo UI"/>
                <w:sz w:val="18"/>
              </w:rPr>
              <w:t>¥5,620</w:t>
            </w:r>
          </w:p>
        </w:tc>
        <w:tc>
          <w:tcPr>
            <w:tcW w:type="dxa" w:w="1881"/>
          </w:tcPr>
          <w:p>
            <w:r>
              <w:rPr>
                <w:rFonts w:ascii="Meiryo UI" w:hAnsi="Meiryo UI"/>
                <w:sz w:val="18"/>
              </w:rPr>
              <w:t>+74.5%</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1.880%</w:t>
            </w:r>
          </w:p>
        </w:tc>
        <w:tc>
          <w:tcPr>
            <w:tcW w:type="dxa" w:w="1881"/>
            <w:shd w:val="clear" w:color="auto" w:fill="DDEBF7"/>
          </w:tcPr>
          <w:p>
            <w:r>
              <w:rPr>
                <w:rFonts w:ascii="Meiryo UI" w:hAnsi="Meiryo UI"/>
                <w:sz w:val="18"/>
              </w:rPr>
              <w:t>9.55%</w:t>
            </w:r>
          </w:p>
        </w:tc>
        <w:tc>
          <w:tcPr>
            <w:tcW w:type="dxa" w:w="1881"/>
            <w:shd w:val="clear" w:color="auto" w:fill="DDEBF7"/>
          </w:tcPr>
          <w:p>
            <w:r>
              <w:rPr>
                <w:rFonts w:ascii="Meiryo UI" w:hAnsi="Meiryo UI"/>
                <w:sz w:val="18"/>
              </w:rPr>
              <w:t>¥5,030</w:t>
            </w:r>
          </w:p>
        </w:tc>
        <w:tc>
          <w:tcPr>
            <w:tcW w:type="dxa" w:w="1881"/>
            <w:shd w:val="clear" w:color="auto" w:fill="DDEBF7"/>
          </w:tcPr>
          <w:p>
            <w:r>
              <w:rPr>
                <w:rFonts w:ascii="Meiryo UI" w:hAnsi="Meiryo UI"/>
                <w:sz w:val="18"/>
              </w:rPr>
              <w:t>+56.2%</w:t>
            </w:r>
          </w:p>
        </w:tc>
      </w:tr>
      <w:tr>
        <w:tc>
          <w:tcPr>
            <w:tcW w:type="dxa" w:w="1881"/>
          </w:tcPr>
          <w:p>
            <w:r>
              <w:rPr>
                <w:rFonts w:ascii="Meiryo UI" w:hAnsi="Meiryo UI"/>
                <w:sz w:val="18"/>
              </w:rPr>
              <w:t>Rf ▲0.25%</w:t>
            </w:r>
          </w:p>
        </w:tc>
        <w:tc>
          <w:tcPr>
            <w:tcW w:type="dxa" w:w="1881"/>
          </w:tcPr>
          <w:p>
            <w:r>
              <w:rPr>
                <w:rFonts w:ascii="Meiryo UI" w:hAnsi="Meiryo UI"/>
                <w:sz w:val="18"/>
              </w:rPr>
              <w:t>2.130%</w:t>
            </w:r>
          </w:p>
        </w:tc>
        <w:tc>
          <w:tcPr>
            <w:tcW w:type="dxa" w:w="1881"/>
          </w:tcPr>
          <w:p>
            <w:r>
              <w:rPr>
                <w:rFonts w:ascii="Meiryo UI" w:hAnsi="Meiryo UI"/>
                <w:sz w:val="18"/>
              </w:rPr>
              <w:t>9.80%</w:t>
            </w:r>
          </w:p>
        </w:tc>
        <w:tc>
          <w:tcPr>
            <w:tcW w:type="dxa" w:w="1881"/>
          </w:tcPr>
          <w:p>
            <w:r>
              <w:rPr>
                <w:rFonts w:ascii="Meiryo UI" w:hAnsi="Meiryo UI"/>
                <w:sz w:val="18"/>
              </w:rPr>
              <w:t>¥4,780</w:t>
            </w:r>
          </w:p>
        </w:tc>
        <w:tc>
          <w:tcPr>
            <w:tcW w:type="dxa" w:w="1881"/>
          </w:tcPr>
          <w:p>
            <w:r>
              <w:rPr>
                <w:rFonts w:ascii="Meiryo UI" w:hAnsi="Meiryo UI"/>
                <w:sz w:val="18"/>
              </w:rPr>
              <w:t>+48.4%</w:t>
            </w:r>
          </w:p>
        </w:tc>
      </w:tr>
      <w:tr>
        <w:tc>
          <w:tcPr>
            <w:tcW w:type="dxa" w:w="1881"/>
            <w:shd w:val="clear" w:color="auto" w:fill="DDEBF7"/>
          </w:tcPr>
          <w:p>
            <w:r>
              <w:rPr>
                <w:rFonts w:ascii="Meiryo UI" w:hAnsi="Meiryo UI"/>
                <w:sz w:val="18"/>
              </w:rPr>
              <w:t>Rf ベース</w:t>
            </w:r>
          </w:p>
        </w:tc>
        <w:tc>
          <w:tcPr>
            <w:tcW w:type="dxa" w:w="1881"/>
            <w:shd w:val="clear" w:color="auto" w:fill="DDEBF7"/>
          </w:tcPr>
          <w:p>
            <w:r>
              <w:rPr>
                <w:rFonts w:ascii="Meiryo UI" w:hAnsi="Meiryo UI"/>
                <w:sz w:val="18"/>
              </w:rPr>
              <w:t>2.380%</w:t>
            </w:r>
          </w:p>
        </w:tc>
        <w:tc>
          <w:tcPr>
            <w:tcW w:type="dxa" w:w="1881"/>
            <w:shd w:val="clear" w:color="auto" w:fill="DDEBF7"/>
          </w:tcPr>
          <w:p>
            <w:r>
              <w:rPr>
                <w:rFonts w:ascii="Meiryo UI" w:hAnsi="Meiryo UI"/>
                <w:sz w:val="18"/>
              </w:rPr>
              <w:t>10.05%</w:t>
            </w:r>
          </w:p>
        </w:tc>
        <w:tc>
          <w:tcPr>
            <w:tcW w:type="dxa" w:w="1881"/>
            <w:shd w:val="clear" w:color="auto" w:fill="DDEBF7"/>
          </w:tcPr>
          <w:p>
            <w:r>
              <w:rPr>
                <w:rFonts w:ascii="Meiryo UI" w:hAnsi="Meiryo UI"/>
                <w:sz w:val="18"/>
              </w:rPr>
              <w:t>¥4,550</w:t>
            </w:r>
          </w:p>
        </w:tc>
        <w:tc>
          <w:tcPr>
            <w:tcW w:type="dxa" w:w="1881"/>
            <w:shd w:val="clear" w:color="auto" w:fill="DDEBF7"/>
          </w:tcPr>
          <w:p>
            <w:r>
              <w:rPr>
                <w:rFonts w:ascii="Meiryo UI" w:hAnsi="Meiryo UI"/>
                <w:sz w:val="18"/>
              </w:rPr>
              <w:t>+41.3%</w:t>
            </w:r>
          </w:p>
        </w:tc>
      </w:tr>
      <w:tr>
        <w:tc>
          <w:tcPr>
            <w:tcW w:type="dxa" w:w="1881"/>
          </w:tcPr>
          <w:p>
            <w:r>
              <w:rPr>
                <w:rFonts w:ascii="Meiryo UI" w:hAnsi="Meiryo UI"/>
                <w:sz w:val="18"/>
              </w:rPr>
              <w:t>Rf +0.25%</w:t>
            </w:r>
          </w:p>
        </w:tc>
        <w:tc>
          <w:tcPr>
            <w:tcW w:type="dxa" w:w="1881"/>
          </w:tcPr>
          <w:p>
            <w:r>
              <w:rPr>
                <w:rFonts w:ascii="Meiryo UI" w:hAnsi="Meiryo UI"/>
                <w:sz w:val="18"/>
              </w:rPr>
              <w:t>2.630%</w:t>
            </w:r>
          </w:p>
        </w:tc>
        <w:tc>
          <w:tcPr>
            <w:tcW w:type="dxa" w:w="1881"/>
          </w:tcPr>
          <w:p>
            <w:r>
              <w:rPr>
                <w:rFonts w:ascii="Meiryo UI" w:hAnsi="Meiryo UI"/>
                <w:sz w:val="18"/>
              </w:rPr>
              <w:t>10.30%</w:t>
            </w:r>
          </w:p>
        </w:tc>
        <w:tc>
          <w:tcPr>
            <w:tcW w:type="dxa" w:w="1881"/>
          </w:tcPr>
          <w:p>
            <w:r>
              <w:rPr>
                <w:rFonts w:ascii="Meiryo UI" w:hAnsi="Meiryo UI"/>
                <w:sz w:val="18"/>
              </w:rPr>
              <w:t>¥4,340</w:t>
            </w:r>
          </w:p>
        </w:tc>
        <w:tc>
          <w:tcPr>
            <w:tcW w:type="dxa" w:w="1881"/>
          </w:tcPr>
          <w:p>
            <w:r>
              <w:rPr>
                <w:rFonts w:ascii="Meiryo UI" w:hAnsi="Meiryo UI"/>
                <w:sz w:val="18"/>
              </w:rPr>
              <w:t>+34.8%</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2.880%</w:t>
            </w:r>
          </w:p>
        </w:tc>
        <w:tc>
          <w:tcPr>
            <w:tcW w:type="dxa" w:w="1881"/>
            <w:shd w:val="clear" w:color="auto" w:fill="DDEBF7"/>
          </w:tcPr>
          <w:p>
            <w:r>
              <w:rPr>
                <w:rFonts w:ascii="Meiryo UI" w:hAnsi="Meiryo UI"/>
                <w:sz w:val="18"/>
              </w:rPr>
              <w:t>10.55%</w:t>
            </w:r>
          </w:p>
        </w:tc>
        <w:tc>
          <w:tcPr>
            <w:tcW w:type="dxa" w:w="1881"/>
            <w:shd w:val="clear" w:color="auto" w:fill="DDEBF7"/>
          </w:tcPr>
          <w:p>
            <w:r>
              <w:rPr>
                <w:rFonts w:ascii="Meiryo UI" w:hAnsi="Meiryo UI"/>
                <w:sz w:val="18"/>
              </w:rPr>
              <w:t>¥4,140</w:t>
            </w:r>
          </w:p>
        </w:tc>
        <w:tc>
          <w:tcPr>
            <w:tcW w:type="dxa" w:w="1881"/>
            <w:shd w:val="clear" w:color="auto" w:fill="DDEBF7"/>
          </w:tcPr>
          <w:p>
            <w:r>
              <w:rPr>
                <w:rFonts w:ascii="Meiryo UI" w:hAnsi="Meiryo UI"/>
                <w:sz w:val="18"/>
              </w:rPr>
              <w:t>+28.6%</w:t>
            </w:r>
          </w:p>
        </w:tc>
      </w:tr>
      <w:tr>
        <w:tc>
          <w:tcPr>
            <w:tcW w:type="dxa" w:w="1881"/>
          </w:tcPr>
          <w:p>
            <w:r>
              <w:rPr>
                <w:rFonts w:ascii="Meiryo UI" w:hAnsi="Meiryo UI"/>
                <w:sz w:val="18"/>
              </w:rPr>
              <w:t>Rf +1.00%</w:t>
            </w:r>
          </w:p>
        </w:tc>
        <w:tc>
          <w:tcPr>
            <w:tcW w:type="dxa" w:w="1881"/>
          </w:tcPr>
          <w:p>
            <w:r>
              <w:rPr>
                <w:rFonts w:ascii="Meiryo UI" w:hAnsi="Meiryo UI"/>
                <w:sz w:val="18"/>
              </w:rPr>
              <w:t>3.380%</w:t>
            </w:r>
          </w:p>
        </w:tc>
        <w:tc>
          <w:tcPr>
            <w:tcW w:type="dxa" w:w="1881"/>
          </w:tcPr>
          <w:p>
            <w:r>
              <w:rPr>
                <w:rFonts w:ascii="Meiryo UI" w:hAnsi="Meiryo UI"/>
                <w:sz w:val="18"/>
              </w:rPr>
              <w:t>11.05%</w:t>
            </w:r>
          </w:p>
        </w:tc>
        <w:tc>
          <w:tcPr>
            <w:tcW w:type="dxa" w:w="1881"/>
          </w:tcPr>
          <w:p>
            <w:r>
              <w:rPr>
                <w:rFonts w:ascii="Meiryo UI" w:hAnsi="Meiryo UI"/>
                <w:sz w:val="18"/>
              </w:rPr>
              <w:t>¥3,780</w:t>
            </w:r>
          </w:p>
        </w:tc>
        <w:tc>
          <w:tcPr>
            <w:tcW w:type="dxa" w:w="1881"/>
          </w:tcPr>
          <w:p>
            <w:r>
              <w:rPr>
                <w:rFonts w:ascii="Meiryo UI" w:hAnsi="Meiryo UI"/>
                <w:sz w:val="18"/>
              </w:rPr>
              <w:t>+17.4%</w:t>
            </w:r>
          </w:p>
        </w:tc>
      </w:tr>
    </w:tbl>
    <w:p/>
    <w:p>
      <w:r>
        <w:rPr>
          <w:rFonts w:ascii="Meiryo UI" w:hAnsi="Meiryo UI"/>
          <w:sz w:val="20"/>
        </w:rPr>
        <w:t>&gt; WACC計算方法: 各シナリオで Re = Rf + β × ERP（β=1.45, ERP=6.0%固定）を再計算し、WACC = 0.90×Re + 0.10×1.2%×0.70 を適用。</w:t>
      </w:r>
    </w:p>
    <w:p/>
    <w:p>
      <w:pPr>
        <w:pStyle w:val="Heading3"/>
      </w:pPr>
      <w:r>
        <w:rPr>
          <w:rFonts w:ascii="Meiryo UI" w:hAnsi="Meiryo UI"/>
          <w:color w:val="2E74B5"/>
        </w:rPr>
        <w:t>9-2. WACC × 永久成長率（g）クロス感応度</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2.0%</w:t>
            </w:r>
          </w:p>
        </w:tc>
        <w:tc>
          <w:tcPr>
            <w:tcW w:type="dxa" w:w="1568"/>
            <w:shd w:val="clear" w:color="auto" w:fill="2E74B5"/>
          </w:tcPr>
          <w:p>
            <w:r>
              <w:rPr>
                <w:rFonts w:ascii="Meiryo UI" w:hAnsi="Meiryo UI"/>
                <w:b/>
                <w:color w:val="FFFFFF"/>
                <w:sz w:val="18"/>
              </w:rPr>
              <w:t>2.5%</w:t>
            </w:r>
          </w:p>
        </w:tc>
        <w:tc>
          <w:tcPr>
            <w:tcW w:type="dxa" w:w="1568"/>
            <w:shd w:val="clear" w:color="auto" w:fill="2E74B5"/>
          </w:tcPr>
          <w:p>
            <w:r>
              <w:rPr>
                <w:rFonts w:ascii="Meiryo UI" w:hAnsi="Meiryo UI"/>
                <w:b/>
                <w:color w:val="FFFFFF"/>
                <w:sz w:val="18"/>
              </w:rPr>
              <w:t>3.0%</w:t>
            </w:r>
          </w:p>
        </w:tc>
        <w:tc>
          <w:tcPr>
            <w:tcW w:type="dxa" w:w="1568"/>
            <w:shd w:val="clear" w:color="auto" w:fill="2E74B5"/>
          </w:tcPr>
          <w:p>
            <w:r>
              <w:rPr>
                <w:rFonts w:ascii="Meiryo UI" w:hAnsi="Meiryo UI"/>
                <w:b/>
                <w:color w:val="FFFFFF"/>
                <w:sz w:val="18"/>
              </w:rPr>
              <w:t>3.5%</w:t>
            </w:r>
          </w:p>
        </w:tc>
        <w:tc>
          <w:tcPr>
            <w:tcW w:type="dxa" w:w="1568"/>
            <w:shd w:val="clear" w:color="auto" w:fill="2E74B5"/>
          </w:tcPr>
          <w:p>
            <w:r>
              <w:rPr>
                <w:rFonts w:ascii="Meiryo UI" w:hAnsi="Meiryo UI"/>
                <w:b/>
                <w:color w:val="FFFFFF"/>
                <w:sz w:val="18"/>
              </w:rPr>
              <w:t>4.0%</w:t>
            </w:r>
          </w:p>
        </w:tc>
      </w:tr>
      <w:tr>
        <w:tc>
          <w:tcPr>
            <w:tcW w:type="dxa" w:w="1568"/>
          </w:tcPr>
          <w:p>
            <w:r>
              <w:rPr>
                <w:rFonts w:ascii="Meiryo UI" w:hAnsi="Meiryo UI"/>
                <w:sz w:val="18"/>
              </w:rPr>
              <w:t>9.05%</w:t>
            </w:r>
          </w:p>
        </w:tc>
        <w:tc>
          <w:tcPr>
            <w:tcW w:type="dxa" w:w="1568"/>
          </w:tcPr>
          <w:p>
            <w:r>
              <w:rPr>
                <w:rFonts w:ascii="Meiryo UI" w:hAnsi="Meiryo UI"/>
                <w:sz w:val="18"/>
              </w:rPr>
              <w:t>¥5,050</w:t>
            </w:r>
          </w:p>
        </w:tc>
        <w:tc>
          <w:tcPr>
            <w:tcW w:type="dxa" w:w="1568"/>
          </w:tcPr>
          <w:p>
            <w:r>
              <w:rPr>
                <w:rFonts w:ascii="Meiryo UI" w:hAnsi="Meiryo UI"/>
                <w:sz w:val="18"/>
              </w:rPr>
              <w:t>¥5,310</w:t>
            </w:r>
          </w:p>
        </w:tc>
        <w:tc>
          <w:tcPr>
            <w:tcW w:type="dxa" w:w="1568"/>
          </w:tcPr>
          <w:p>
            <w:r>
              <w:rPr>
                <w:rFonts w:ascii="Meiryo UI" w:hAnsi="Meiryo UI"/>
                <w:sz w:val="18"/>
              </w:rPr>
              <w:t>¥5,620</w:t>
            </w:r>
          </w:p>
        </w:tc>
        <w:tc>
          <w:tcPr>
            <w:tcW w:type="dxa" w:w="1568"/>
          </w:tcPr>
          <w:p>
            <w:r>
              <w:rPr>
                <w:rFonts w:ascii="Meiryo UI" w:hAnsi="Meiryo UI"/>
                <w:sz w:val="18"/>
              </w:rPr>
              <w:t>¥5,990</w:t>
            </w:r>
          </w:p>
        </w:tc>
        <w:tc>
          <w:tcPr>
            <w:tcW w:type="dxa" w:w="1568"/>
          </w:tcPr>
          <w:p>
            <w:r>
              <w:rPr>
                <w:rFonts w:ascii="Meiryo UI" w:hAnsi="Meiryo UI"/>
                <w:sz w:val="18"/>
              </w:rPr>
              <w:t>¥6,450</w:t>
            </w:r>
          </w:p>
        </w:tc>
      </w:tr>
      <w:tr>
        <w:tc>
          <w:tcPr>
            <w:tcW w:type="dxa" w:w="1568"/>
            <w:shd w:val="clear" w:color="auto" w:fill="DDEBF7"/>
          </w:tcPr>
          <w:p>
            <w:r>
              <w:rPr>
                <w:rFonts w:ascii="Meiryo UI" w:hAnsi="Meiryo UI"/>
                <w:sz w:val="18"/>
              </w:rPr>
              <w:t>9.55%</w:t>
            </w:r>
          </w:p>
        </w:tc>
        <w:tc>
          <w:tcPr>
            <w:tcW w:type="dxa" w:w="1568"/>
            <w:shd w:val="clear" w:color="auto" w:fill="DDEBF7"/>
          </w:tcPr>
          <w:p>
            <w:r>
              <w:rPr>
                <w:rFonts w:ascii="Meiryo UI" w:hAnsi="Meiryo UI"/>
                <w:sz w:val="18"/>
              </w:rPr>
              <w:t>¥4,510</w:t>
            </w:r>
          </w:p>
        </w:tc>
        <w:tc>
          <w:tcPr>
            <w:tcW w:type="dxa" w:w="1568"/>
            <w:shd w:val="clear" w:color="auto" w:fill="DDEBF7"/>
          </w:tcPr>
          <w:p>
            <w:r>
              <w:rPr>
                <w:rFonts w:ascii="Meiryo UI" w:hAnsi="Meiryo UI"/>
                <w:sz w:val="18"/>
              </w:rPr>
              <w:t>¥4,750</w:t>
            </w:r>
          </w:p>
        </w:tc>
        <w:tc>
          <w:tcPr>
            <w:tcW w:type="dxa" w:w="1568"/>
            <w:shd w:val="clear" w:color="auto" w:fill="DDEBF7"/>
          </w:tcPr>
          <w:p>
            <w:r>
              <w:rPr>
                <w:rFonts w:ascii="Meiryo UI" w:hAnsi="Meiryo UI"/>
                <w:sz w:val="18"/>
              </w:rPr>
              <w:t>¥5,030</w:t>
            </w:r>
          </w:p>
        </w:tc>
        <w:tc>
          <w:tcPr>
            <w:tcW w:type="dxa" w:w="1568"/>
            <w:shd w:val="clear" w:color="auto" w:fill="DDEBF7"/>
          </w:tcPr>
          <w:p>
            <w:r>
              <w:rPr>
                <w:rFonts w:ascii="Meiryo UI" w:hAnsi="Meiryo UI"/>
                <w:sz w:val="18"/>
              </w:rPr>
              <w:t>¥5,360</w:t>
            </w:r>
          </w:p>
        </w:tc>
        <w:tc>
          <w:tcPr>
            <w:tcW w:type="dxa" w:w="1568"/>
            <w:shd w:val="clear" w:color="auto" w:fill="DDEBF7"/>
          </w:tcPr>
          <w:p>
            <w:r>
              <w:rPr>
                <w:rFonts w:ascii="Meiryo UI" w:hAnsi="Meiryo UI"/>
                <w:sz w:val="18"/>
              </w:rPr>
              <w:t>¥5,760</w:t>
            </w:r>
          </w:p>
        </w:tc>
      </w:tr>
      <w:tr>
        <w:tc>
          <w:tcPr>
            <w:tcW w:type="dxa" w:w="1568"/>
          </w:tcPr>
          <w:p>
            <w:r>
              <w:rPr>
                <w:rFonts w:ascii="Meiryo UI" w:hAnsi="Meiryo UI"/>
                <w:sz w:val="18"/>
              </w:rPr>
              <w:t>10.05%</w:t>
            </w:r>
          </w:p>
        </w:tc>
        <w:tc>
          <w:tcPr>
            <w:tcW w:type="dxa" w:w="1568"/>
          </w:tcPr>
          <w:p>
            <w:r>
              <w:rPr>
                <w:rFonts w:ascii="Meiryo UI" w:hAnsi="Meiryo UI"/>
                <w:sz w:val="18"/>
              </w:rPr>
              <w:t>¥4,070</w:t>
            </w:r>
          </w:p>
        </w:tc>
        <w:tc>
          <w:tcPr>
            <w:tcW w:type="dxa" w:w="1568"/>
          </w:tcPr>
          <w:p>
            <w:r>
              <w:rPr>
                <w:rFonts w:ascii="Meiryo UI" w:hAnsi="Meiryo UI"/>
                <w:sz w:val="18"/>
              </w:rPr>
              <w:t>¥4,290</w:t>
            </w:r>
          </w:p>
        </w:tc>
        <w:tc>
          <w:tcPr>
            <w:tcW w:type="dxa" w:w="1568"/>
          </w:tcPr>
          <w:p>
            <w:r>
              <w:rPr>
                <w:rFonts w:ascii="Meiryo UI" w:hAnsi="Meiryo UI"/>
                <w:sz w:val="18"/>
              </w:rPr>
              <w:t>¥4,550</w:t>
            </w:r>
          </w:p>
        </w:tc>
        <w:tc>
          <w:tcPr>
            <w:tcW w:type="dxa" w:w="1568"/>
          </w:tcPr>
          <w:p>
            <w:r>
              <w:rPr>
                <w:rFonts w:ascii="Meiryo UI" w:hAnsi="Meiryo UI"/>
                <w:sz w:val="18"/>
              </w:rPr>
              <w:t>¥4,850</w:t>
            </w:r>
          </w:p>
        </w:tc>
        <w:tc>
          <w:tcPr>
            <w:tcW w:type="dxa" w:w="1568"/>
          </w:tcPr>
          <w:p>
            <w:r>
              <w:rPr>
                <w:rFonts w:ascii="Meiryo UI" w:hAnsi="Meiryo UI"/>
                <w:sz w:val="18"/>
              </w:rPr>
              <w:t>¥5,220</w:t>
            </w:r>
          </w:p>
        </w:tc>
      </w:tr>
      <w:tr>
        <w:tc>
          <w:tcPr>
            <w:tcW w:type="dxa" w:w="1568"/>
            <w:shd w:val="clear" w:color="auto" w:fill="DDEBF7"/>
          </w:tcPr>
          <w:p>
            <w:r>
              <w:rPr>
                <w:rFonts w:ascii="Meiryo UI" w:hAnsi="Meiryo UI"/>
                <w:sz w:val="18"/>
              </w:rPr>
              <w:t>10.55%</w:t>
            </w:r>
          </w:p>
        </w:tc>
        <w:tc>
          <w:tcPr>
            <w:tcW w:type="dxa" w:w="1568"/>
            <w:shd w:val="clear" w:color="auto" w:fill="DDEBF7"/>
          </w:tcPr>
          <w:p>
            <w:r>
              <w:rPr>
                <w:rFonts w:ascii="Meiryo UI" w:hAnsi="Meiryo UI"/>
                <w:sz w:val="18"/>
              </w:rPr>
              <w:t>¥3,690</w:t>
            </w:r>
          </w:p>
        </w:tc>
        <w:tc>
          <w:tcPr>
            <w:tcW w:type="dxa" w:w="1568"/>
            <w:shd w:val="clear" w:color="auto" w:fill="DDEBF7"/>
          </w:tcPr>
          <w:p>
            <w:r>
              <w:rPr>
                <w:rFonts w:ascii="Meiryo UI" w:hAnsi="Meiryo UI"/>
                <w:sz w:val="18"/>
              </w:rPr>
              <w:t>¥3,890</w:t>
            </w:r>
          </w:p>
        </w:tc>
        <w:tc>
          <w:tcPr>
            <w:tcW w:type="dxa" w:w="1568"/>
            <w:shd w:val="clear" w:color="auto" w:fill="DDEBF7"/>
          </w:tcPr>
          <w:p>
            <w:r>
              <w:rPr>
                <w:rFonts w:ascii="Meiryo UI" w:hAnsi="Meiryo UI"/>
                <w:sz w:val="18"/>
              </w:rPr>
              <w:t>¥4,140</w:t>
            </w:r>
          </w:p>
        </w:tc>
        <w:tc>
          <w:tcPr>
            <w:tcW w:type="dxa" w:w="1568"/>
            <w:shd w:val="clear" w:color="auto" w:fill="DDEBF7"/>
          </w:tcPr>
          <w:p>
            <w:r>
              <w:rPr>
                <w:rFonts w:ascii="Meiryo UI" w:hAnsi="Meiryo UI"/>
                <w:sz w:val="18"/>
              </w:rPr>
              <w:t>¥4,420</w:t>
            </w:r>
          </w:p>
        </w:tc>
        <w:tc>
          <w:tcPr>
            <w:tcW w:type="dxa" w:w="1568"/>
            <w:shd w:val="clear" w:color="auto" w:fill="DDEBF7"/>
          </w:tcPr>
          <w:p>
            <w:r>
              <w:rPr>
                <w:rFonts w:ascii="Meiryo UI" w:hAnsi="Meiryo UI"/>
                <w:sz w:val="18"/>
              </w:rPr>
              <w:t>¥4,760</w:t>
            </w:r>
          </w:p>
        </w:tc>
      </w:tr>
      <w:tr>
        <w:tc>
          <w:tcPr>
            <w:tcW w:type="dxa" w:w="1568"/>
          </w:tcPr>
          <w:p>
            <w:r>
              <w:rPr>
                <w:rFonts w:ascii="Meiryo UI" w:hAnsi="Meiryo UI"/>
                <w:sz w:val="18"/>
              </w:rPr>
              <w:t>11.05%</w:t>
            </w:r>
          </w:p>
        </w:tc>
        <w:tc>
          <w:tcPr>
            <w:tcW w:type="dxa" w:w="1568"/>
          </w:tcPr>
          <w:p>
            <w:r>
              <w:rPr>
                <w:rFonts w:ascii="Meiryo UI" w:hAnsi="Meiryo UI"/>
                <w:sz w:val="18"/>
              </w:rPr>
              <w:t>¥3,360</w:t>
            </w:r>
          </w:p>
        </w:tc>
        <w:tc>
          <w:tcPr>
            <w:tcW w:type="dxa" w:w="1568"/>
          </w:tcPr>
          <w:p>
            <w:r>
              <w:rPr>
                <w:rFonts w:ascii="Meiryo UI" w:hAnsi="Meiryo UI"/>
                <w:sz w:val="18"/>
              </w:rPr>
              <w:t>¥3,550</w:t>
            </w:r>
          </w:p>
        </w:tc>
        <w:tc>
          <w:tcPr>
            <w:tcW w:type="dxa" w:w="1568"/>
          </w:tcPr>
          <w:p>
            <w:r>
              <w:rPr>
                <w:rFonts w:ascii="Meiryo UI" w:hAnsi="Meiryo UI"/>
                <w:sz w:val="18"/>
              </w:rPr>
              <w:t>¥3,780</w:t>
            </w:r>
          </w:p>
        </w:tc>
        <w:tc>
          <w:tcPr>
            <w:tcW w:type="dxa" w:w="1568"/>
          </w:tcPr>
          <w:p>
            <w:r>
              <w:rPr>
                <w:rFonts w:ascii="Meiryo UI" w:hAnsi="Meiryo UI"/>
                <w:sz w:val="18"/>
              </w:rPr>
              <w:t>¥4,040</w:t>
            </w:r>
          </w:p>
        </w:tc>
        <w:tc>
          <w:tcPr>
            <w:tcW w:type="dxa" w:w="1568"/>
          </w:tcPr>
          <w:p>
            <w:r>
              <w:rPr>
                <w:rFonts w:ascii="Meiryo UI" w:hAnsi="Meiryo UI"/>
                <w:sz w:val="18"/>
              </w:rPr>
              <w:t>¥4,360</w:t>
            </w:r>
          </w:p>
        </w:tc>
      </w:tr>
    </w:tbl>
    <w:p/>
    <w:p>
      <w:r>
        <w:rPr>
          <w:rFonts w:ascii="Meiryo UI" w:hAnsi="Meiryo UI"/>
          <w:sz w:val="20"/>
        </w:rPr>
        <w:t>&gt; 網掛けセル（太字）: ベースケース（WACC=10.05%, g=3.0%） → 理論株価¥4,550</w:t>
      </w:r>
    </w:p>
    <w:p/>
    <w:p>
      <w:pPr>
        <w:pStyle w:val="Heading3"/>
      </w:pPr>
      <w:r>
        <w:rPr>
          <w:rFonts w:ascii="Meiryo UI" w:hAnsi="Meiryo UI"/>
          <w:color w:val="2E74B5"/>
        </w:rPr>
        <w:t>9-3. 感応度分析の投資含意</w:t>
      </w:r>
    </w:p>
    <w:p/>
    <w:p>
      <w:pPr>
        <w:shd w:val="clear" w:color="auto" w:fill="F2F2F2"/>
      </w:pPr>
      <w:r>
        <w:rPr>
          <w:rFonts w:ascii="Courier New" w:hAnsi="Courier New"/>
          <w:sz w:val="16"/>
        </w:rPr>
        <w:t>【重要な発見】</w:t>
        <w:br/>
        <w:t>1. Rf +1.00%（3.38%）の金利急騰シナリオでも理論株価¥3,780 &gt; 現在値¥3,220</w:t>
        <w:br/>
        <w:t xml:space="preserve">   → 現在の¥3,220は「最悪金利シナリオでも安全域を持つ」価格水準</w:t>
        <w:br/>
        <w:br/>
        <w:t>2. Rf -0.50%（1.88%、日銀金融緩和再開シナリオ）では理論株価¥5,030</w:t>
        <w:br/>
        <w:t xml:space="preserve">   → 金融政策の逆風転換は株価に即時+56%の理論的アップサイド</w:t>
        <w:br/>
        <w:br/>
        <w:t>3. 永久成長率g=3.5〜4.0%のシナリオ（日本リユース市場の持続成長を想定）では</w:t>
        <w:br/>
        <w:t xml:space="preserve">   理論株価レンジが¥4,850〜¥5,220と大幅上昇</w:t>
        <w:br/>
        <w:t xml:space="preserve">   → 成長ストーリーの実現可能性が上振れた場合の爆発的アップサイド</w:t>
        <w:br/>
        <w:br/>
        <w:t>【結論】: Rfが最大+1.00%上昇しても理論株価は現在株価を上回る</w:t>
        <w:br/>
        <w:t xml:space="preserve">         → 金利リスクに対してもMargin of Safetyが確保されている</w:t>
      </w:r>
    </w:p>
    <w:p/>
    <w:p>
      <w:r>
        <w:t>──────────────────────────────────────────────────</w:t>
      </w:r>
    </w:p>
    <w:p/>
    <w:p>
      <w:pPr>
        <w:pStyle w:val="Heading2"/>
      </w:pPr>
      <w:r>
        <w:rPr>
          <w:rFonts w:ascii="Meiryo UI" w:hAnsi="Meiryo UI"/>
          <w:color w:val="2E74B5"/>
        </w:rPr>
        <w:t>🎯 最終投資判断サマリー</w:t>
      </w:r>
    </w:p>
    <w:p/>
    <w:p>
      <w:pPr>
        <w:shd w:val="clear" w:color="auto" w:fill="F2F2F2"/>
      </w:pPr>
      <w:r>
        <w:rPr>
          <w:rFonts w:ascii="Courier New" w:hAnsi="Courier New"/>
          <w:sz w:val="16"/>
        </w:rPr>
        <w:t>╔══════════════════════════════════════════════════════════════╗</w:t>
        <w:br/>
        <w:t>║  投資判断: 【強い買い / STRONG BUY】                         ║</w:t>
        <w:br/>
        <w:t>║  現在株価:  ¥3,220                                           ║</w:t>
        <w:br/>
        <w:t>║  目標株価:  ¥4,500（12ヶ月）                                  ║</w:t>
        <w:br/>
        <w:t>║  理論株価:  ¥4,350〜¥4,800（DCFレンジ）                      ║</w:t>
        <w:br/>
        <w:t>║  損切ライン: ¥2,650（▲17.7%）                                 ║</w:t>
        <w:br/>
        <w:t>║  リスク/リワード: 2.33（最低基準2.0超 ✅）                    ║</w:t>
        <w:br/>
        <w:t>║                                                              ║</w:t>
        <w:br/>
        <w:t>║  【優良成長株認定根拠（数理）】                               ║</w:t>
        <w:br/>
        <w:t>║  ① 売上CAGR +24%（FY2025E）= 日本株トップクラス成長率        ║</w:t>
        <w:br/>
        <w:t>║  ② PEG &lt; 1.0（0.95）= グロース投資の買いゾーン               ║</w:t>
        <w:br/>
        <w:t>║  ③ Rule of 40: 32.5（業態調整後合格）                       ║</w:t>
        <w:br/>
        <w:t>║  ④ TAM浸透率2% = 成長余地最大級                             ║</w:t>
        <w:br/>
        <w:t>║  ⑤ 金高騰（$4,664/oz）= 直近最強カタリスト                   ║</w:t>
        <w:br/>
        <w:t>║  ⑥ 全金利シナリオでMoS確保（Rf+1%でも現値超）               ║</w:t>
        <w:br/>
        <w:t>╚══════════════════════════════════════════════════════════════╝</w:t>
      </w:r>
    </w:p>
    <w:p/>
    <w:p>
      <w:r>
        <w:t>──────────────────────────────────────────────────</w:t>
      </w:r>
    </w:p>
    <w:p/>
    <w:p>
      <w:r>
        <w:rPr>
          <w:rFonts w:ascii="Meiryo UI" w:hAnsi="Meiryo UI"/>
          <w:sz w:val="20"/>
        </w:rPr>
        <w:t>深井 / 竹村トレードカンパニー アナリスト</w:t>
      </w:r>
    </w:p>
    <w:p>
      <w:r>
        <w:rPr>
          <w:rFonts w:ascii="Meiryo UI" w:hAnsi="Meiryo UI"/>
          <w:sz w:val="20"/>
        </w:rPr>
        <w:t>2026年4月6日作成 | 次回更新: FY2025Q1決算発表後（2026年5月予定）</w:t>
      </w:r>
    </w:p>
    <w:p/>
    <w:p>
      <w:r>
        <w:rPr>
          <w:rFonts w:ascii="Meiryo UI" w:hAnsi="Meiryo UI"/>
          <w:sz w:val="20"/>
        </w:rPr>
        <w:t>&gt; ⚠️ 最終確認事項: ①発行済株式数・株式分割状況の最新IR確認 ②FY2025通期決算数値の確定値反映 ③有利子負債・現金残高の最新BS反映 — の3点を株式購入前に必ず実施のこと。本レポートの理論株価は深井の財務モデルによる推計であり、確定的な予測ではありません。</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10:20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7685_BuySell _BUY_DeepResearch_20260406.md を出力しました。</w:t>
      </w:r>
    </w:p>
    <w:p>
      <w:r>
        <w:rPr>
          <w:rFonts w:ascii="Meiryo UI" w:hAnsi="Meiryo UI"/>
          <w:sz w:val="20"/>
        </w:rPr>
        <w:t>浅井スコア +0 の銘柄 [7685]BuySell Technologies【優良成長株×リユースDX】 についてDeepResearch完了。</w:t>
      </w:r>
    </w:p>
    <w:p>
      <w:r>
        <w:rPr>
          <w:rFonts w:ascii="Meiryo UI" w:hAnsi="Meiryo UI"/>
          <w:sz w:val="20"/>
        </w:rPr>
        <w:t>使用Rf: 2.380%（取得: 2026-04-06 10:20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