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7818 トランザクション — Deep Research</w:t>
      </w:r>
    </w:p>
    <w:p/>
    <w:p/>
    <w:p>
      <w:pPr>
        <w:jc w:val="center"/>
      </w:pPr>
      <w:r>
        <w:rPr>
          <w:rFonts w:ascii="Meiryo UI" w:hAnsi="Meiryo UI"/>
          <w:sz w:val="24"/>
        </w:rPr>
        <w:t>アナリスト：深井</w:t>
      </w:r>
    </w:p>
    <w:p>
      <w:pPr>
        <w:jc w:val="center"/>
      </w:pPr>
      <w:r>
        <w:rPr>
          <w:rFonts w:ascii="Meiryo UI" w:hAnsi="Meiryo UI"/>
          <w:sz w:val="24"/>
        </w:rPr>
        <w:t>分析日：2026年04月21日</w:t>
      </w:r>
    </w:p>
    <w:p>
      <w:r>
        <w:br w:type="page"/>
      </w:r>
    </w:p>
    <w:p>
      <w:pPr>
        <w:pStyle w:val="Heading1"/>
      </w:pPr>
      <w:r>
        <w:rPr>
          <w:rFonts w:ascii="Meiryo UI" w:hAnsi="Meiryo UI"/>
          <w:color w:val="1F3864"/>
        </w:rPr>
        <w:t>7818 トランザクション — Deep Research</w:t>
      </w:r>
    </w:p>
    <w:p>
      <w:r>
        <w:rPr>
          <w:rFonts w:ascii="Meiryo UI" w:hAnsi="Meiryo UI"/>
          <w:sz w:val="20"/>
        </w:rPr>
        <w:t>作成日：2026-04-21　担当：深井</w:t>
      </w:r>
    </w:p>
    <w:p/>
    <w:p>
      <w:r>
        <w:t>──────────────────────────────────────────────────</w:t>
      </w:r>
    </w:p>
    <w:p/>
    <w:p>
      <w:pPr>
        <w:pStyle w:val="Heading2"/>
      </w:pPr>
      <w:r>
        <w:rPr>
          <w:rFonts w:ascii="Meiryo UI" w:hAnsi="Meiryo UI"/>
          <w:color w:val="2E74B5"/>
        </w:rPr>
        <w:t>▼ 冒頭10秒サマリー（結論ファースト）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BUY</w:t>
            </w:r>
          </w:p>
        </w:tc>
      </w:tr>
      <w:tr>
        <w:tc>
          <w:tcPr>
            <w:tcW w:type="dxa" w:w="4703"/>
            <w:shd w:val="clear" w:color="auto" w:fill="DDEBF7"/>
          </w:tcPr>
          <w:p>
            <w:r>
              <w:rPr>
                <w:rFonts w:ascii="Meiryo UI" w:hAnsi="Meiryo UI"/>
                <w:sz w:val="18"/>
              </w:rPr>
              <w:t>公正価値（FV）</w:t>
            </w:r>
          </w:p>
        </w:tc>
        <w:tc>
          <w:tcPr>
            <w:tcW w:type="dxa" w:w="4703"/>
            <w:shd w:val="clear" w:color="auto" w:fill="DDEBF7"/>
          </w:tcPr>
          <w:p>
            <w:r>
              <w:rPr>
                <w:rFonts w:ascii="Meiryo UI" w:hAnsi="Meiryo UI"/>
                <w:sz w:val="18"/>
              </w:rPr>
              <w:t>¥1,450（4手法ブレンド）</w:t>
            </w:r>
          </w:p>
        </w:tc>
      </w:tr>
      <w:tr>
        <w:tc>
          <w:tcPr>
            <w:tcW w:type="dxa" w:w="4703"/>
          </w:tcPr>
          <w:p>
            <w:r>
              <w:rPr>
                <w:rFonts w:ascii="Meiryo UI" w:hAnsi="Meiryo UI"/>
                <w:sz w:val="18"/>
              </w:rPr>
              <w:t>現在株価</w:t>
            </w:r>
          </w:p>
        </w:tc>
        <w:tc>
          <w:tcPr>
            <w:tcW w:type="dxa" w:w="4703"/>
          </w:tcPr>
          <w:p>
            <w:r>
              <w:rPr>
                <w:rFonts w:ascii="Meiryo UI" w:hAnsi="Meiryo UI"/>
                <w:sz w:val="18"/>
              </w:rPr>
              <w:t>¥1,177（2026-04-21取得）</w:t>
            </w:r>
          </w:p>
        </w:tc>
      </w:tr>
      <w:tr>
        <w:tc>
          <w:tcPr>
            <w:tcW w:type="dxa" w:w="4703"/>
            <w:shd w:val="clear" w:color="auto" w:fill="DDEBF7"/>
          </w:tcPr>
          <w:p>
            <w:r>
              <w:rPr>
                <w:rFonts w:ascii="Meiryo UI" w:hAnsi="Meiryo UI"/>
                <w:sz w:val="18"/>
              </w:rPr>
              <w:t>安全域（Upside）</w:t>
            </w:r>
          </w:p>
        </w:tc>
        <w:tc>
          <w:tcPr>
            <w:tcW w:type="dxa" w:w="4703"/>
            <w:shd w:val="clear" w:color="auto" w:fill="DDEBF7"/>
          </w:tcPr>
          <w:p>
            <w:r>
              <w:rPr>
                <w:rFonts w:ascii="Meiryo UI" w:hAnsi="Meiryo UI"/>
                <w:sz w:val="18"/>
              </w:rPr>
              <w:t>+23.2%</w:t>
            </w:r>
          </w:p>
        </w:tc>
      </w:tr>
      <w:tr>
        <w:tc>
          <w:tcPr>
            <w:tcW w:type="dxa" w:w="4703"/>
          </w:tcPr>
          <w:p>
            <w:r>
              <w:rPr>
                <w:rFonts w:ascii="Meiryo UI" w:hAnsi="Meiryo UI"/>
                <w:sz w:val="18"/>
              </w:rPr>
              <w:t>最大推奨アクション</w:t>
            </w:r>
          </w:p>
        </w:tc>
        <w:tc>
          <w:tcPr>
            <w:tcW w:type="dxa" w:w="4703"/>
          </w:tcPr>
          <w:p>
            <w:r>
              <w:rPr>
                <w:rFonts w:ascii="Meiryo UI" w:hAnsi="Meiryo UI"/>
                <w:sz w:val="18"/>
              </w:rPr>
              <w:t>現値近辺でエントリー。¥1,050割れで損切り</w:t>
            </w:r>
          </w:p>
        </w:tc>
      </w:tr>
    </w:tbl>
    <w:p/>
    <w:p>
      <w:pPr>
        <w:pStyle w:val="Heading3"/>
      </w:pPr>
      <w:r>
        <w:rPr>
          <w:rFonts w:ascii="Meiryo UI" w:hAnsi="Meiryo UI"/>
          <w:color w:val="2E74B5"/>
        </w:rPr>
        <w:t>3弾丸（Invest Thesis）</w:t>
      </w:r>
    </w:p>
    <w:p>
      <w:pPr>
        <w:pStyle w:val="ListNumber"/>
      </w:pPr>
      <w:r>
        <w:rPr>
          <w:rFonts w:ascii="Meiryo UI" w:hAnsi="Meiryo UI"/>
          <w:sz w:val="20"/>
        </w:rPr>
        <w:t>ファブレス×エンタメ需要爆発：エンタメ関連グッズ（オンデマンド印刷・ファングッズ）が構造的成長。Q1 FY08/26 OP+18.3%は既に中計CAGR超ペース</w:t>
      </w:r>
    </w:p>
    <w:p>
      <w:pPr>
        <w:pStyle w:val="ListNumber"/>
      </w:pPr>
      <w:r>
        <w:rPr>
          <w:rFonts w:ascii="Meiryo UI" w:hAnsi="Meiryo UI"/>
          <w:sz w:val="20"/>
        </w:rPr>
        <w:t>Beta=0.717の低感応度・高ROE組み合わせ：r=6.682%でPBR/ROE justified=5.00x → 現在PBR3.4は32%割安</w:t>
      </w:r>
    </w:p>
    <w:p>
      <w:pPr>
        <w:pStyle w:val="ListNumber"/>
      </w:pPr>
      <w:r>
        <w:rPr>
          <w:rFonts w:ascii="Meiryo UI" w:hAnsi="Meiryo UI"/>
          <w:sz w:val="20"/>
        </w:rPr>
        <w:t>FY08/30中計（売上¥45B・OP¥9.5B）は保守的：Q1ランレートから上振れ余地。いちよし1月上方修正後さらに4/14業績修正あり</w:t>
      </w:r>
    </w:p>
    <w:p/>
    <w:p>
      <w:pPr>
        <w:pStyle w:val="Heading3"/>
      </w:pPr>
      <w:r>
        <w:rPr>
          <w:rFonts w:ascii="Meiryo UI" w:hAnsi="Meiryo UI"/>
          <w:color w:val="2E74B5"/>
        </w:rPr>
        <w:t>1リスク</w:t>
      </w:r>
    </w:p>
    <w:p>
      <w:r>
        <w:rPr>
          <w:rFonts w:ascii="Meiryo UI" w:hAnsi="Meiryo UI"/>
          <w:sz w:val="20"/>
        </w:rPr>
        <w:t>中国調達集中×USD建て決済：ホルムズ封鎖継続でコンテナ運賃2倍維持中。FY08/27よりFX先物ヘッジ開始予定だがFY08/26は無防備。円安進行時にマージン圧迫。</w:t>
      </w:r>
    </w:p>
    <w:p/>
    <w:p>
      <w:r>
        <w:t>──────────────────────────────────────────────────</w:t>
      </w:r>
    </w:p>
    <w:p/>
    <w:p>
      <w:pPr>
        <w:pStyle w:val="Heading2"/>
      </w:pPr>
      <w:r>
        <w:rPr>
          <w:rFonts w:ascii="Meiryo UI" w:hAnsi="Meiryo UI"/>
          <w:color w:val="2E74B5"/>
        </w:rPr>
        <w:t>IRページ・連絡先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IRページ</w:t>
            </w:r>
          </w:p>
        </w:tc>
        <w:tc>
          <w:tcPr>
            <w:tcW w:type="dxa" w:w="4703"/>
          </w:tcPr>
          <w:p>
            <w:r>
              <w:rPr>
                <w:rFonts w:ascii="Meiryo UI" w:hAnsi="Meiryo UI"/>
                <w:sz w:val="18"/>
              </w:rPr>
              <w:t>https://www.transaction.co.jp/ir/</w:t>
            </w:r>
          </w:p>
        </w:tc>
      </w:tr>
      <w:tr>
        <w:tc>
          <w:tcPr>
            <w:tcW w:type="dxa" w:w="4703"/>
            <w:shd w:val="clear" w:color="auto" w:fill="DDEBF7"/>
          </w:tcPr>
          <w:p>
            <w:r>
              <w:rPr>
                <w:rFonts w:ascii="Meiryo UI" w:hAnsi="Meiryo UI"/>
                <w:sz w:val="18"/>
              </w:rPr>
              <w:t>IR担当メール</w:t>
            </w:r>
          </w:p>
        </w:tc>
        <w:tc>
          <w:tcPr>
            <w:tcW w:type="dxa" w:w="4703"/>
            <w:shd w:val="clear" w:color="auto" w:fill="DDEBF7"/>
          </w:tcPr>
          <w:p>
            <w:r>
              <w:rPr>
                <w:rFonts w:ascii="Meiryo UI" w:hAnsi="Meiryo UI"/>
                <w:sz w:val="18"/>
              </w:rPr>
              <w:t>ir@transaction.co.jp（要確認）</w:t>
            </w:r>
          </w:p>
        </w:tc>
      </w:tr>
      <w:tr>
        <w:tc>
          <w:tcPr>
            <w:tcW w:type="dxa" w:w="4703"/>
          </w:tcPr>
          <w:p>
            <w:r>
              <w:rPr>
                <w:rFonts w:ascii="Meiryo UI" w:hAnsi="Meiryo UI"/>
                <w:sz w:val="18"/>
              </w:rPr>
              <w:t>決算発表予定</w:t>
            </w:r>
          </w:p>
        </w:tc>
        <w:tc>
          <w:tcPr>
            <w:tcW w:type="dxa" w:w="4703"/>
          </w:tcPr>
          <w:p>
            <w:r>
              <w:rPr>
                <w:rFonts w:ascii="Meiryo UI" w:hAnsi="Meiryo UI"/>
                <w:sz w:val="18"/>
              </w:rPr>
              <w:t>FY08/26 通期：2026年10月末予定 / 2Q（2月期）：2026年4月前後</w:t>
            </w:r>
          </w:p>
        </w:tc>
      </w:tr>
      <w:tr>
        <w:tc>
          <w:tcPr>
            <w:tcW w:type="dxa" w:w="4703"/>
            <w:shd w:val="clear" w:color="auto" w:fill="DDEBF7"/>
          </w:tcPr>
          <w:p>
            <w:r>
              <w:rPr>
                <w:rFonts w:ascii="Meiryo UI" w:hAnsi="Meiryo UI"/>
                <w:sz w:val="18"/>
              </w:rPr>
              <w:t>主要IR文書</w:t>
            </w:r>
          </w:p>
        </w:tc>
        <w:tc>
          <w:tcPr>
            <w:tcW w:type="dxa" w:w="4703"/>
            <w:shd w:val="clear" w:color="auto" w:fill="DDEBF7"/>
          </w:tcPr>
          <w:p>
            <w:r>
              <w:rPr>
                <w:rFonts w:ascii="Meiryo UI" w:hAnsi="Meiryo UI"/>
                <w:sz w:val="18"/>
              </w:rPr>
              <w:t>いちよし 倉橋経済研究所 倉橋信雄氏（2026-01-21上方修正レポート、2025-10-29レポート）</w:t>
            </w:r>
          </w:p>
        </w:tc>
      </w:tr>
    </w:tbl>
    <w:p/>
    <w:p>
      <w:r>
        <w:t>──────────────────────────────────────────────────</w:t>
      </w:r>
    </w:p>
    <w:p/>
    <w:p>
      <w:pPr>
        <w:pStyle w:val="Heading2"/>
      </w:pPr>
      <w:r>
        <w:rPr>
          <w:rFonts w:ascii="Meiryo UI" w:hAnsi="Meiryo UI"/>
          <w:color w:val="2E74B5"/>
        </w:rPr>
        <w:t>ビジネスモデル概要</w:t>
      </w:r>
    </w:p>
    <w:p/>
    <w:p>
      <w:pPr>
        <w:pStyle w:val="Heading3"/>
      </w:pPr>
      <w:r>
        <w:rPr>
          <w:rFonts w:ascii="Meiryo UI" w:hAnsi="Meiryo UI"/>
          <w:color w:val="2E74B5"/>
        </w:rPr>
        <w:t>事業構造</w:t>
      </w:r>
    </w:p>
    <w:p>
      <w:r>
        <w:rPr>
          <w:rFonts w:ascii="Meiryo UI" w:hAnsi="Meiryo UI"/>
          <w:sz w:val="20"/>
        </w:rPr>
        <w:t>トランザクションはファブレス型雑貨・EC企業。企画・デザインのみ自社保有、製造をアジア（中国主体）へ外注。</w:t>
      </w:r>
    </w:p>
    <w:p/>
    <w:p>
      <w:r>
        <w:rPr>
          <w:rFonts w:ascii="Meiryo UI" w:hAnsi="Meiryo UI"/>
          <w:sz w:val="20"/>
        </w:rPr>
        <w:t>売上チャネル（FY08/25）</w:t>
      </w:r>
    </w:p>
    <w:p>
      <w:pPr>
        <w:pStyle w:val="ListBullet"/>
      </w:pPr>
      <w:r>
        <w:rPr>
          <w:rFonts w:ascii="Meiryo UI" w:hAnsi="Meiryo UI"/>
          <w:sz w:val="20"/>
        </w:rPr>
        <w:t>法人エンドユーザー：45.3%</w:t>
      </w:r>
    </w:p>
    <w:p>
      <w:pPr>
        <w:pStyle w:val="ListBullet"/>
      </w:pPr>
      <w:r>
        <w:rPr>
          <w:rFonts w:ascii="Meiryo UI" w:hAnsi="Meiryo UI"/>
          <w:sz w:val="20"/>
        </w:rPr>
        <w:t>卸売業者：26.4%</w:t>
      </w:r>
    </w:p>
    <w:p>
      <w:pPr>
        <w:pStyle w:val="ListBullet"/>
      </w:pPr>
      <w:r>
        <w:rPr>
          <w:rFonts w:ascii="Meiryo UI" w:hAnsi="Meiryo UI"/>
          <w:sz w:val="20"/>
        </w:rPr>
        <w:t>EC（自社D2C）：28.3% ← 高利益率主軸</w:t>
      </w:r>
    </w:p>
    <w:p/>
    <w:p>
      <w:r>
        <w:rPr>
          <w:rFonts w:ascii="Meiryo UI" w:hAnsi="Meiryo UI"/>
          <w:sz w:val="20"/>
        </w:rPr>
        <w:t>製品カテゴリー（FY08/25）</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カテゴリー</w:t>
            </w:r>
          </w:p>
        </w:tc>
        <w:tc>
          <w:tcPr>
            <w:tcW w:type="dxa" w:w="3135"/>
            <w:shd w:val="clear" w:color="auto" w:fill="2E74B5"/>
          </w:tcPr>
          <w:p>
            <w:r>
              <w:rPr>
                <w:rFonts w:ascii="Meiryo UI" w:hAnsi="Meiryo UI"/>
                <w:b/>
                <w:color w:val="FFFFFF"/>
                <w:sz w:val="18"/>
              </w:rPr>
              <w:t>比率</w:t>
            </w:r>
          </w:p>
        </w:tc>
        <w:tc>
          <w:tcPr>
            <w:tcW w:type="dxa" w:w="3135"/>
            <w:shd w:val="clear" w:color="auto" w:fill="2E74B5"/>
          </w:tcPr>
          <w:p>
            <w:r>
              <w:rPr>
                <w:rFonts w:ascii="Meiryo UI" w:hAnsi="Meiryo UI"/>
                <w:b/>
                <w:color w:val="FFFFFF"/>
                <w:sz w:val="18"/>
              </w:rPr>
              <w:t>特性</w:t>
            </w:r>
          </w:p>
        </w:tc>
      </w:tr>
      <w:tr>
        <w:tc>
          <w:tcPr>
            <w:tcW w:type="dxa" w:w="3135"/>
          </w:tcPr>
          <w:p>
            <w:r>
              <w:rPr>
                <w:rFonts w:ascii="Meiryo UI" w:hAnsi="Meiryo UI"/>
                <w:sz w:val="18"/>
              </w:rPr>
              <w:t>ライフスタイル</w:t>
            </w:r>
          </w:p>
        </w:tc>
        <w:tc>
          <w:tcPr>
            <w:tcW w:type="dxa" w:w="3135"/>
          </w:tcPr>
          <w:p>
            <w:r>
              <w:rPr>
                <w:rFonts w:ascii="Meiryo UI" w:hAnsi="Meiryo UI"/>
                <w:sz w:val="18"/>
              </w:rPr>
              <w:t>52.0%</w:t>
            </w:r>
          </w:p>
        </w:tc>
        <w:tc>
          <w:tcPr>
            <w:tcW w:type="dxa" w:w="3135"/>
          </w:tcPr>
          <w:p>
            <w:r>
              <w:rPr>
                <w:rFonts w:ascii="Meiryo UI" w:hAnsi="Meiryo UI"/>
                <w:sz w:val="18"/>
              </w:rPr>
              <w:t>エンタメグッズ・ファングッズ中心</w:t>
            </w:r>
          </w:p>
        </w:tc>
      </w:tr>
      <w:tr>
        <w:tc>
          <w:tcPr>
            <w:tcW w:type="dxa" w:w="3135"/>
            <w:shd w:val="clear" w:color="auto" w:fill="DDEBF7"/>
          </w:tcPr>
          <w:p>
            <w:r>
              <w:rPr>
                <w:rFonts w:ascii="Meiryo UI" w:hAnsi="Meiryo UI"/>
                <w:sz w:val="18"/>
              </w:rPr>
              <w:t>エコ製品</w:t>
            </w:r>
          </w:p>
        </w:tc>
        <w:tc>
          <w:tcPr>
            <w:tcW w:type="dxa" w:w="3135"/>
            <w:shd w:val="clear" w:color="auto" w:fill="DDEBF7"/>
          </w:tcPr>
          <w:p>
            <w:r>
              <w:rPr>
                <w:rFonts w:ascii="Meiryo UI" w:hAnsi="Meiryo UI"/>
                <w:sz w:val="18"/>
              </w:rPr>
              <w:t>40.8%</w:t>
            </w:r>
          </w:p>
        </w:tc>
        <w:tc>
          <w:tcPr>
            <w:tcW w:type="dxa" w:w="3135"/>
            <w:shd w:val="clear" w:color="auto" w:fill="DDEBF7"/>
          </w:tcPr>
          <w:p>
            <w:r>
              <w:rPr>
                <w:rFonts w:ascii="Meiryo UI" w:hAnsi="Meiryo UI"/>
                <w:sz w:val="18"/>
              </w:rPr>
              <w:t>環境配慮型・BtoB向け</w:t>
            </w:r>
          </w:p>
        </w:tc>
      </w:tr>
      <w:tr>
        <w:tc>
          <w:tcPr>
            <w:tcW w:type="dxa" w:w="3135"/>
          </w:tcPr>
          <w:p>
            <w:r>
              <w:rPr>
                <w:rFonts w:ascii="Meiryo UI" w:hAnsi="Meiryo UI"/>
                <w:sz w:val="18"/>
              </w:rPr>
              <w:t>ウェルネス</w:t>
            </w:r>
          </w:p>
        </w:tc>
        <w:tc>
          <w:tcPr>
            <w:tcW w:type="dxa" w:w="3135"/>
          </w:tcPr>
          <w:p>
            <w:r>
              <w:rPr>
                <w:rFonts w:ascii="Meiryo UI" w:hAnsi="Meiryo UI"/>
                <w:sz w:val="18"/>
              </w:rPr>
              <w:t>5.9%</w:t>
            </w:r>
          </w:p>
        </w:tc>
        <w:tc>
          <w:tcPr>
            <w:tcW w:type="dxa" w:w="3135"/>
          </w:tcPr>
          <w:p>
            <w:r>
              <w:rPr>
                <w:rFonts w:ascii="Meiryo UI" w:hAnsi="Meiryo UI"/>
                <w:sz w:val="18"/>
              </w:rPr>
              <w:t>ヘルスケア・美容</w:t>
            </w:r>
          </w:p>
        </w:tc>
      </w:tr>
      <w:tr>
        <w:tc>
          <w:tcPr>
            <w:tcW w:type="dxa" w:w="3135"/>
            <w:shd w:val="clear" w:color="auto" w:fill="DDEBF7"/>
          </w:tcPr>
          <w:p>
            <w:r>
              <w:rPr>
                <w:rFonts w:ascii="Meiryo UI" w:hAnsi="Meiryo UI"/>
                <w:sz w:val="18"/>
              </w:rPr>
              <w:t>デザイン他</w:t>
            </w:r>
          </w:p>
        </w:tc>
        <w:tc>
          <w:tcPr>
            <w:tcW w:type="dxa" w:w="3135"/>
            <w:shd w:val="clear" w:color="auto" w:fill="DDEBF7"/>
          </w:tcPr>
          <w:p>
            <w:r>
              <w:rPr>
                <w:rFonts w:ascii="Meiryo UI" w:hAnsi="Meiryo UI"/>
                <w:sz w:val="18"/>
              </w:rPr>
              <w:t>1.3%</w:t>
            </w:r>
          </w:p>
        </w:tc>
        <w:tc>
          <w:tcPr>
            <w:tcW w:type="dxa" w:w="3135"/>
            <w:shd w:val="clear" w:color="auto" w:fill="DDEBF7"/>
          </w:tcPr>
          <w:p>
            <w:r>
              <w:rPr>
                <w:rFonts w:ascii="Meiryo UI" w:hAnsi="Meiryo UI"/>
                <w:sz w:val="18"/>
              </w:rPr>
              <w:t>—</w:t>
            </w:r>
          </w:p>
        </w:tc>
      </w:tr>
    </w:tbl>
    <w:p/>
    <w:p>
      <w:r>
        <w:rPr>
          <w:rFonts w:ascii="Meiryo UI" w:hAnsi="Meiryo UI"/>
          <w:sz w:val="20"/>
        </w:rPr>
        <w:t>競合優位性：自社EC「HANSOKU STYLE」「Original Goods Press」はオンデマンド印刷・小ロット対応。アーティスト・コンテンツホルダーとの直接契約でマージン厚め。</w:t>
      </w:r>
    </w:p>
    <w:p/>
    <w:p>
      <w:r>
        <w:t>──────────────────────────────────────────────────</w:t>
      </w:r>
    </w:p>
    <w:p/>
    <w:p>
      <w:pPr>
        <w:pStyle w:val="Heading2"/>
      </w:pPr>
      <w:r>
        <w:rPr>
          <w:rFonts w:ascii="Meiryo UI" w:hAnsi="Meiryo UI"/>
          <w:color w:val="2E74B5"/>
        </w:rPr>
        <w:t>Q-1定性変化（FY08/26 Q1：2025年9月〜11月）</w:t>
      </w:r>
    </w:p>
    <w:p/>
    <w:p>
      <w:r>
        <w:rPr>
          <w:rFonts w:ascii="Meiryo UI" w:hAnsi="Meiryo UI"/>
          <w:sz w:val="20"/>
        </w:rPr>
        <w:t>実績：売上¥7,966M（+12.1% YoY）、OP¥1,826M（+18.3% YoY）</w:t>
      </w:r>
    </w:p>
    <w:p/>
    <w:p>
      <w:pPr>
        <w:pStyle w:val="Heading3"/>
      </w:pPr>
      <w:r>
        <w:rPr>
          <w:rFonts w:ascii="Meiryo UI" w:hAnsi="Meiryo UI"/>
          <w:color w:val="2E74B5"/>
        </w:rPr>
        <w:t>Q-1からの定性変化（重要）</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変化点</w:t>
            </w:r>
          </w:p>
        </w:tc>
        <w:tc>
          <w:tcPr>
            <w:tcW w:type="dxa" w:w="3135"/>
            <w:shd w:val="clear" w:color="auto" w:fill="2E74B5"/>
          </w:tcPr>
          <w:p>
            <w:r>
              <w:rPr>
                <w:rFonts w:ascii="Meiryo UI" w:hAnsi="Meiryo UI"/>
                <w:b/>
                <w:color w:val="FFFFFF"/>
                <w:sz w:val="18"/>
              </w:rPr>
              <w:t>詳細</w:t>
            </w:r>
          </w:p>
        </w:tc>
        <w:tc>
          <w:tcPr>
            <w:tcW w:type="dxa" w:w="3135"/>
            <w:shd w:val="clear" w:color="auto" w:fill="2E74B5"/>
          </w:tcPr>
          <w:p>
            <w:r>
              <w:rPr>
                <w:rFonts w:ascii="Meiryo UI" w:hAnsi="Meiryo UI"/>
                <w:b/>
                <w:color w:val="FFFFFF"/>
                <w:sz w:val="18"/>
              </w:rPr>
              <w:t>業績影響</w:t>
            </w:r>
          </w:p>
        </w:tc>
      </w:tr>
      <w:tr>
        <w:tc>
          <w:tcPr>
            <w:tcW w:type="dxa" w:w="3135"/>
          </w:tcPr>
          <w:p>
            <w:r>
              <w:rPr>
                <w:rFonts w:ascii="Meiryo UI" w:hAnsi="Meiryo UI"/>
                <w:sz w:val="18"/>
              </w:rPr>
              <w:t>エンタメ需要加速</w:t>
            </w:r>
          </w:p>
        </w:tc>
        <w:tc>
          <w:tcPr>
            <w:tcW w:type="dxa" w:w="3135"/>
          </w:tcPr>
          <w:p>
            <w:r>
              <w:rPr>
                <w:rFonts w:ascii="Meiryo UI" w:hAnsi="Meiryo UI"/>
                <w:sz w:val="18"/>
              </w:rPr>
              <w:t>Q3 FY08/24の一時的失速（反動落ち）から完全回復。ライブ・コンサート需要が史上最高水準</w:t>
            </w:r>
          </w:p>
        </w:tc>
        <w:tc>
          <w:tcPr>
            <w:tcW w:type="dxa" w:w="3135"/>
          </w:tcPr>
          <w:p>
            <w:r>
              <w:rPr>
                <w:rFonts w:ascii="Meiryo UI" w:hAnsi="Meiryo UI"/>
                <w:sz w:val="18"/>
              </w:rPr>
              <w:t>強くポジティブ</w:t>
            </w:r>
          </w:p>
        </w:tc>
      </w:tr>
      <w:tr>
        <w:tc>
          <w:tcPr>
            <w:tcW w:type="dxa" w:w="3135"/>
            <w:shd w:val="clear" w:color="auto" w:fill="DDEBF7"/>
          </w:tcPr>
          <w:p>
            <w:r>
              <w:rPr>
                <w:rFonts w:ascii="Meiryo UI" w:hAnsi="Meiryo UI"/>
                <w:sz w:val="18"/>
              </w:rPr>
              <w:t>4/14/2026 業績修正</w:t>
            </w:r>
          </w:p>
        </w:tc>
        <w:tc>
          <w:tcPr>
            <w:tcW w:type="dxa" w:w="3135"/>
            <w:shd w:val="clear" w:color="auto" w:fill="DDEBF7"/>
          </w:tcPr>
          <w:p>
            <w:r>
              <w:rPr>
                <w:rFonts w:ascii="Meiryo UI" w:hAnsi="Meiryo UI"/>
                <w:sz w:val="18"/>
              </w:rPr>
              <w:t>直近（7日前）に業績修正届出。内容：労務費増による利益圧迫も売上は上振れ（Sourceから推定）</w:t>
            </w:r>
          </w:p>
        </w:tc>
        <w:tc>
          <w:tcPr>
            <w:tcW w:type="dxa" w:w="3135"/>
            <w:shd w:val="clear" w:color="auto" w:fill="DDEBF7"/>
          </w:tcPr>
          <w:p>
            <w:r>
              <w:rPr>
                <w:rFonts w:ascii="Meiryo UI" w:hAnsi="Meiryo UI"/>
                <w:sz w:val="18"/>
              </w:rPr>
              <w:t>中立〜軽微ネガ（コスト増の規模次第）</w:t>
            </w:r>
          </w:p>
        </w:tc>
      </w:tr>
      <w:tr>
        <w:tc>
          <w:tcPr>
            <w:tcW w:type="dxa" w:w="3135"/>
          </w:tcPr>
          <w:p>
            <w:r>
              <w:rPr>
                <w:rFonts w:ascii="Meiryo UI" w:hAnsi="Meiryo UI"/>
                <w:sz w:val="18"/>
              </w:rPr>
              <w:t>FX先物ヘッジ開始</w:t>
            </w:r>
          </w:p>
        </w:tc>
        <w:tc>
          <w:tcPr>
            <w:tcW w:type="dxa" w:w="3135"/>
          </w:tcPr>
          <w:p>
            <w:r>
              <w:rPr>
                <w:rFonts w:ascii="Meiryo UI" w:hAnsi="Meiryo UI"/>
                <w:sz w:val="18"/>
              </w:rPr>
              <w:t>FY08/27からUSD建て輸入にFX先物適用開始。FY08/26は未ヘッジ</w:t>
            </w:r>
          </w:p>
        </w:tc>
        <w:tc>
          <w:tcPr>
            <w:tcW w:type="dxa" w:w="3135"/>
          </w:tcPr>
          <w:p>
            <w:r>
              <w:rPr>
                <w:rFonts w:ascii="Meiryo UI" w:hAnsi="Meiryo UI"/>
                <w:sz w:val="18"/>
              </w:rPr>
              <w:t>USD/JPY159現在でコスト増リスク残存</w:t>
            </w:r>
          </w:p>
        </w:tc>
      </w:tr>
      <w:tr>
        <w:tc>
          <w:tcPr>
            <w:tcW w:type="dxa" w:w="3135"/>
            <w:shd w:val="clear" w:color="auto" w:fill="DDEBF7"/>
          </w:tcPr>
          <w:p>
            <w:r>
              <w:rPr>
                <w:rFonts w:ascii="Meiryo UI" w:hAnsi="Meiryo UI"/>
                <w:sz w:val="18"/>
              </w:rPr>
              <w:t>EC比率上昇</w:t>
            </w:r>
          </w:p>
        </w:tc>
        <w:tc>
          <w:tcPr>
            <w:tcW w:type="dxa" w:w="3135"/>
            <w:shd w:val="clear" w:color="auto" w:fill="DDEBF7"/>
          </w:tcPr>
          <w:p>
            <w:r>
              <w:rPr>
                <w:rFonts w:ascii="Meiryo UI" w:hAnsi="Meiryo UI"/>
                <w:sz w:val="18"/>
              </w:rPr>
              <w:t>D2C構造強化により高粗利案件増加。MTP目標に沿った推移</w:t>
            </w:r>
          </w:p>
        </w:tc>
        <w:tc>
          <w:tcPr>
            <w:tcW w:type="dxa" w:w="3135"/>
            <w:shd w:val="clear" w:color="auto" w:fill="DDEBF7"/>
          </w:tcPr>
          <w:p>
            <w:r>
              <w:rPr>
                <w:rFonts w:ascii="Meiryo UI" w:hAnsi="Meiryo UI"/>
                <w:sz w:val="18"/>
              </w:rPr>
              <w:t>ポジティブ</w:t>
            </w:r>
          </w:p>
        </w:tc>
      </w:tr>
      <w:tr>
        <w:tc>
          <w:tcPr>
            <w:tcW w:type="dxa" w:w="3135"/>
          </w:tcPr>
          <w:p>
            <w:r>
              <w:rPr>
                <w:rFonts w:ascii="Meiryo UI" w:hAnsi="Meiryo UI"/>
                <w:sz w:val="18"/>
              </w:rPr>
              <w:t>採用・システム投資増</w:t>
            </w:r>
          </w:p>
        </w:tc>
        <w:tc>
          <w:tcPr>
            <w:tcW w:type="dxa" w:w="3135"/>
          </w:tcPr>
          <w:p>
            <w:r>
              <w:rPr>
                <w:rFonts w:ascii="Meiryo UI" w:hAnsi="Meiryo UI"/>
                <w:sz w:val="18"/>
              </w:rPr>
              <w:t>FY08/26以降SGA費増（いちよしレポート注記）。Q1 FY08/25でも人件費増が一度ヒット</w:t>
            </w:r>
          </w:p>
        </w:tc>
        <w:tc>
          <w:tcPr>
            <w:tcW w:type="dxa" w:w="3135"/>
          </w:tcPr>
          <w:p>
            <w:r>
              <w:rPr>
                <w:rFonts w:ascii="Meiryo UI" w:hAnsi="Meiryo UI"/>
                <w:sz w:val="18"/>
              </w:rPr>
              <w:t>軽微ネガ</w:t>
            </w:r>
          </w:p>
        </w:tc>
      </w:tr>
    </w:tbl>
    <w:p/>
    <w:p>
      <w:r>
        <w:t>──────────────────────────────────────────────────</w:t>
      </w:r>
    </w:p>
    <w:p/>
    <w:p>
      <w:pPr>
        <w:pStyle w:val="Heading2"/>
      </w:pPr>
      <w:r>
        <w:rPr>
          <w:rFonts w:ascii="Meiryo UI" w:hAnsi="Meiryo UI"/>
          <w:color w:val="2E74B5"/>
        </w:rPr>
        <w:t>業績予想・ガイダンス考察</w:t>
      </w:r>
    </w:p>
    <w:p/>
    <w:p>
      <w:pPr>
        <w:pStyle w:val="Heading3"/>
      </w:pPr>
      <w:r>
        <w:rPr>
          <w:rFonts w:ascii="Meiryo UI" w:hAnsi="Meiryo UI"/>
          <w:color w:val="2E74B5"/>
        </w:rPr>
        <w:t>業績推移と予想</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期</w:t>
            </w:r>
          </w:p>
        </w:tc>
        <w:tc>
          <w:tcPr>
            <w:tcW w:type="dxa" w:w="1568"/>
            <w:shd w:val="clear" w:color="auto" w:fill="2E74B5"/>
          </w:tcPr>
          <w:p>
            <w:r>
              <w:rPr>
                <w:rFonts w:ascii="Meiryo UI" w:hAnsi="Meiryo UI"/>
                <w:b/>
                <w:color w:val="FFFFFF"/>
                <w:sz w:val="18"/>
              </w:rPr>
              <w:t>売上（¥B）</w:t>
            </w:r>
          </w:p>
        </w:tc>
        <w:tc>
          <w:tcPr>
            <w:tcW w:type="dxa" w:w="1568"/>
            <w:shd w:val="clear" w:color="auto" w:fill="2E74B5"/>
          </w:tcPr>
          <w:p>
            <w:r>
              <w:rPr>
                <w:rFonts w:ascii="Meiryo UI" w:hAnsi="Meiryo UI"/>
                <w:b/>
                <w:color w:val="FFFFFF"/>
                <w:sz w:val="18"/>
              </w:rPr>
              <w:t>OP（¥B）</w:t>
            </w:r>
          </w:p>
        </w:tc>
        <w:tc>
          <w:tcPr>
            <w:tcW w:type="dxa" w:w="1568"/>
            <w:shd w:val="clear" w:color="auto" w:fill="2E74B5"/>
          </w:tcPr>
          <w:p>
            <w:r>
              <w:rPr>
                <w:rFonts w:ascii="Meiryo UI" w:hAnsi="Meiryo UI"/>
                <w:b/>
                <w:color w:val="FFFFFF"/>
                <w:sz w:val="18"/>
              </w:rPr>
              <w:t>OP率</w:t>
            </w:r>
          </w:p>
        </w:tc>
        <w:tc>
          <w:tcPr>
            <w:tcW w:type="dxa" w:w="1568"/>
            <w:shd w:val="clear" w:color="auto" w:fill="2E74B5"/>
          </w:tcPr>
          <w:p>
            <w:r>
              <w:rPr>
                <w:rFonts w:ascii="Meiryo UI" w:hAnsi="Meiryo UI"/>
                <w:b/>
                <w:color w:val="FFFFFF"/>
                <w:sz w:val="18"/>
              </w:rPr>
              <w:t>NI（¥B）</w:t>
            </w:r>
          </w:p>
        </w:tc>
        <w:tc>
          <w:tcPr>
            <w:tcW w:type="dxa" w:w="1568"/>
            <w:shd w:val="clear" w:color="auto" w:fill="2E74B5"/>
          </w:tcPr>
          <w:p>
            <w:r>
              <w:rPr>
                <w:rFonts w:ascii="Meiryo UI" w:hAnsi="Meiryo UI"/>
                <w:b/>
                <w:color w:val="FFFFFF"/>
                <w:sz w:val="18"/>
              </w:rPr>
              <w:t>EPS（¥）</w:t>
            </w:r>
          </w:p>
        </w:tc>
      </w:tr>
      <w:tr>
        <w:tc>
          <w:tcPr>
            <w:tcW w:type="dxa" w:w="1568"/>
          </w:tcPr>
          <w:p>
            <w:r>
              <w:rPr>
                <w:rFonts w:ascii="Meiryo UI" w:hAnsi="Meiryo UI"/>
                <w:sz w:val="18"/>
              </w:rPr>
              <w:t>FY08/24（実績）</w:t>
            </w:r>
          </w:p>
        </w:tc>
        <w:tc>
          <w:tcPr>
            <w:tcW w:type="dxa" w:w="1568"/>
          </w:tcPr>
          <w:p>
            <w:r>
              <w:rPr>
                <w:rFonts w:ascii="Meiryo UI" w:hAnsi="Meiryo UI"/>
                <w:sz w:val="18"/>
              </w:rPr>
              <w:t>25.04</w:t>
            </w:r>
          </w:p>
        </w:tc>
        <w:tc>
          <w:tcPr>
            <w:tcW w:type="dxa" w:w="1568"/>
          </w:tcPr>
          <w:p>
            <w:r>
              <w:rPr>
                <w:rFonts w:ascii="Meiryo UI" w:hAnsi="Meiryo UI"/>
                <w:sz w:val="18"/>
              </w:rPr>
              <w:t>5.23</w:t>
            </w:r>
          </w:p>
        </w:tc>
        <w:tc>
          <w:tcPr>
            <w:tcW w:type="dxa" w:w="1568"/>
          </w:tcPr>
          <w:p>
            <w:r>
              <w:rPr>
                <w:rFonts w:ascii="Meiryo UI" w:hAnsi="Meiryo UI"/>
                <w:sz w:val="18"/>
              </w:rPr>
              <w:t>20.9%</w:t>
            </w:r>
          </w:p>
        </w:tc>
        <w:tc>
          <w:tcPr>
            <w:tcW w:type="dxa" w:w="1568"/>
          </w:tcPr>
          <w:p>
            <w:r>
              <w:rPr>
                <w:rFonts w:ascii="Meiryo UI" w:hAnsi="Meiryo UI"/>
                <w:sz w:val="18"/>
              </w:rPr>
              <w:t>3.85</w:t>
            </w:r>
          </w:p>
        </w:tc>
        <w:tc>
          <w:tcPr>
            <w:tcW w:type="dxa" w:w="1568"/>
          </w:tcPr>
          <w:p>
            <w:r>
              <w:rPr>
                <w:rFonts w:ascii="Meiryo UI" w:hAnsi="Meiryo UI"/>
                <w:sz w:val="18"/>
              </w:rPr>
              <w:t>68.1</w:t>
            </w:r>
          </w:p>
        </w:tc>
      </w:tr>
      <w:tr>
        <w:tc>
          <w:tcPr>
            <w:tcW w:type="dxa" w:w="1568"/>
            <w:shd w:val="clear" w:color="auto" w:fill="DDEBF7"/>
          </w:tcPr>
          <w:p>
            <w:r>
              <w:rPr>
                <w:rFonts w:ascii="Meiryo UI" w:hAnsi="Meiryo UI"/>
                <w:sz w:val="18"/>
              </w:rPr>
              <w:t>FY08/25（実績）</w:t>
            </w:r>
          </w:p>
        </w:tc>
        <w:tc>
          <w:tcPr>
            <w:tcW w:type="dxa" w:w="1568"/>
            <w:shd w:val="clear" w:color="auto" w:fill="DDEBF7"/>
          </w:tcPr>
          <w:p>
            <w:r>
              <w:rPr>
                <w:rFonts w:ascii="Meiryo UI" w:hAnsi="Meiryo UI"/>
                <w:sz w:val="18"/>
              </w:rPr>
              <w:t>27.45</w:t>
            </w:r>
          </w:p>
        </w:tc>
        <w:tc>
          <w:tcPr>
            <w:tcW w:type="dxa" w:w="1568"/>
            <w:shd w:val="clear" w:color="auto" w:fill="DDEBF7"/>
          </w:tcPr>
          <w:p>
            <w:r>
              <w:rPr>
                <w:rFonts w:ascii="Meiryo UI" w:hAnsi="Meiryo UI"/>
                <w:sz w:val="18"/>
              </w:rPr>
              <w:t>5.70</w:t>
            </w:r>
          </w:p>
        </w:tc>
        <w:tc>
          <w:tcPr>
            <w:tcW w:type="dxa" w:w="1568"/>
            <w:shd w:val="clear" w:color="auto" w:fill="DDEBF7"/>
          </w:tcPr>
          <w:p>
            <w:r>
              <w:rPr>
                <w:rFonts w:ascii="Meiryo UI" w:hAnsi="Meiryo UI"/>
                <w:sz w:val="18"/>
              </w:rPr>
              <w:t>20.8%</w:t>
            </w:r>
          </w:p>
        </w:tc>
        <w:tc>
          <w:tcPr>
            <w:tcW w:type="dxa" w:w="1568"/>
            <w:shd w:val="clear" w:color="auto" w:fill="DDEBF7"/>
          </w:tcPr>
          <w:p>
            <w:r>
              <w:rPr>
                <w:rFonts w:ascii="Meiryo UI" w:hAnsi="Meiryo UI"/>
                <w:sz w:val="18"/>
              </w:rPr>
              <w:t>4.20</w:t>
            </w:r>
          </w:p>
        </w:tc>
        <w:tc>
          <w:tcPr>
            <w:tcW w:type="dxa" w:w="1568"/>
            <w:shd w:val="clear" w:color="auto" w:fill="DDEBF7"/>
          </w:tcPr>
          <w:p>
            <w:r>
              <w:rPr>
                <w:rFonts w:ascii="Meiryo UI" w:hAnsi="Meiryo UI"/>
                <w:sz w:val="18"/>
              </w:rPr>
              <w:t>74.3</w:t>
            </w:r>
          </w:p>
        </w:tc>
      </w:tr>
      <w:tr>
        <w:tc>
          <w:tcPr>
            <w:tcW w:type="dxa" w:w="1568"/>
          </w:tcPr>
          <w:p>
            <w:r>
              <w:rPr>
                <w:rFonts w:ascii="Meiryo UI" w:hAnsi="Meiryo UI"/>
                <w:sz w:val="18"/>
              </w:rPr>
              <w:t>FY08/26E（いちよし1月）</w:t>
            </w:r>
          </w:p>
        </w:tc>
        <w:tc>
          <w:tcPr>
            <w:tcW w:type="dxa" w:w="1568"/>
          </w:tcPr>
          <w:p>
            <w:r>
              <w:rPr>
                <w:rFonts w:ascii="Meiryo UI" w:hAnsi="Meiryo UI"/>
                <w:sz w:val="18"/>
              </w:rPr>
              <w:t>30.20</w:t>
            </w:r>
          </w:p>
        </w:tc>
        <w:tc>
          <w:tcPr>
            <w:tcW w:type="dxa" w:w="1568"/>
          </w:tcPr>
          <w:p>
            <w:r>
              <w:rPr>
                <w:rFonts w:ascii="Meiryo UI" w:hAnsi="Meiryo UI"/>
                <w:sz w:val="18"/>
              </w:rPr>
              <w:t>6.30</w:t>
            </w:r>
          </w:p>
        </w:tc>
        <w:tc>
          <w:tcPr>
            <w:tcW w:type="dxa" w:w="1568"/>
          </w:tcPr>
          <w:p>
            <w:r>
              <w:rPr>
                <w:rFonts w:ascii="Meiryo UI" w:hAnsi="Meiryo UI"/>
                <w:sz w:val="18"/>
              </w:rPr>
              <w:t>20.9%</w:t>
            </w:r>
          </w:p>
        </w:tc>
        <w:tc>
          <w:tcPr>
            <w:tcW w:type="dxa" w:w="1568"/>
          </w:tcPr>
          <w:p>
            <w:r>
              <w:rPr>
                <w:rFonts w:ascii="Meiryo UI" w:hAnsi="Meiryo UI"/>
                <w:sz w:val="18"/>
              </w:rPr>
              <w:t>4.64E</w:t>
            </w:r>
          </w:p>
        </w:tc>
        <w:tc>
          <w:tcPr>
            <w:tcW w:type="dxa" w:w="1568"/>
          </w:tcPr>
          <w:p>
            <w:r>
              <w:rPr>
                <w:rFonts w:ascii="Meiryo UI" w:hAnsi="Meiryo UI"/>
                <w:sz w:val="18"/>
              </w:rPr>
              <w:t>82.1E</w:t>
            </w:r>
          </w:p>
        </w:tc>
      </w:tr>
      <w:tr>
        <w:tc>
          <w:tcPr>
            <w:tcW w:type="dxa" w:w="1568"/>
            <w:shd w:val="clear" w:color="auto" w:fill="DDEBF7"/>
          </w:tcPr>
          <w:p>
            <w:r>
              <w:rPr>
                <w:rFonts w:ascii="Meiryo UI" w:hAnsi="Meiryo UI"/>
                <w:sz w:val="18"/>
              </w:rPr>
              <w:t>FY08/27E（私的推計）</w:t>
            </w:r>
          </w:p>
        </w:tc>
        <w:tc>
          <w:tcPr>
            <w:tcW w:type="dxa" w:w="1568"/>
            <w:shd w:val="clear" w:color="auto" w:fill="DDEBF7"/>
          </w:tcPr>
          <w:p>
            <w:r>
              <w:rPr>
                <w:rFonts w:ascii="Meiryo UI" w:hAnsi="Meiryo UI"/>
                <w:sz w:val="18"/>
              </w:rPr>
              <w:t>33.5E</w:t>
            </w:r>
          </w:p>
        </w:tc>
        <w:tc>
          <w:tcPr>
            <w:tcW w:type="dxa" w:w="1568"/>
            <w:shd w:val="clear" w:color="auto" w:fill="DDEBF7"/>
          </w:tcPr>
          <w:p>
            <w:r>
              <w:rPr>
                <w:rFonts w:ascii="Meiryo UI" w:hAnsi="Meiryo UI"/>
                <w:sz w:val="18"/>
              </w:rPr>
              <w:t>7.00E</w:t>
            </w:r>
          </w:p>
        </w:tc>
        <w:tc>
          <w:tcPr>
            <w:tcW w:type="dxa" w:w="1568"/>
            <w:shd w:val="clear" w:color="auto" w:fill="DDEBF7"/>
          </w:tcPr>
          <w:p>
            <w:r>
              <w:rPr>
                <w:rFonts w:ascii="Meiryo UI" w:hAnsi="Meiryo UI"/>
                <w:sz w:val="18"/>
              </w:rPr>
              <w:t>20.9%</w:t>
            </w:r>
          </w:p>
        </w:tc>
        <w:tc>
          <w:tcPr>
            <w:tcW w:type="dxa" w:w="1568"/>
            <w:shd w:val="clear" w:color="auto" w:fill="DDEBF7"/>
          </w:tcPr>
          <w:p>
            <w:r>
              <w:rPr>
                <w:rFonts w:ascii="Meiryo UI" w:hAnsi="Meiryo UI"/>
                <w:sz w:val="18"/>
              </w:rPr>
              <w:t>5.16E</w:t>
            </w:r>
          </w:p>
        </w:tc>
        <w:tc>
          <w:tcPr>
            <w:tcW w:type="dxa" w:w="1568"/>
            <w:shd w:val="clear" w:color="auto" w:fill="DDEBF7"/>
          </w:tcPr>
          <w:p>
            <w:r>
              <w:rPr>
                <w:rFonts w:ascii="Meiryo UI" w:hAnsi="Meiryo UI"/>
                <w:sz w:val="18"/>
              </w:rPr>
              <w:t>91.2E</w:t>
            </w:r>
          </w:p>
        </w:tc>
      </w:tr>
      <w:tr>
        <w:tc>
          <w:tcPr>
            <w:tcW w:type="dxa" w:w="1568"/>
          </w:tcPr>
          <w:p>
            <w:r>
              <w:rPr>
                <w:rFonts w:ascii="Meiryo UI" w:hAnsi="Meiryo UI"/>
                <w:sz w:val="18"/>
              </w:rPr>
              <w:t>FY08/30E（中計目標）</w:t>
            </w:r>
          </w:p>
        </w:tc>
        <w:tc>
          <w:tcPr>
            <w:tcW w:type="dxa" w:w="1568"/>
          </w:tcPr>
          <w:p>
            <w:r>
              <w:rPr>
                <w:rFonts w:ascii="Meiryo UI" w:hAnsi="Meiryo UI"/>
                <w:sz w:val="18"/>
              </w:rPr>
              <w:t>45.00</w:t>
            </w:r>
          </w:p>
        </w:tc>
        <w:tc>
          <w:tcPr>
            <w:tcW w:type="dxa" w:w="1568"/>
          </w:tcPr>
          <w:p>
            <w:r>
              <w:rPr>
                <w:rFonts w:ascii="Meiryo UI" w:hAnsi="Meiryo UI"/>
                <w:sz w:val="18"/>
              </w:rPr>
              <w:t>9.50</w:t>
            </w:r>
          </w:p>
        </w:tc>
        <w:tc>
          <w:tcPr>
            <w:tcW w:type="dxa" w:w="1568"/>
          </w:tcPr>
          <w:p>
            <w:r>
              <w:rPr>
                <w:rFonts w:ascii="Meiryo UI" w:hAnsi="Meiryo UI"/>
                <w:sz w:val="18"/>
              </w:rPr>
              <w:t>21.1%</w:t>
            </w:r>
          </w:p>
        </w:tc>
        <w:tc>
          <w:tcPr>
            <w:tcW w:type="dxa" w:w="1568"/>
          </w:tcPr>
          <w:p>
            <w:r>
              <w:rPr>
                <w:rFonts w:ascii="Meiryo UI" w:hAnsi="Meiryo UI"/>
                <w:sz w:val="18"/>
              </w:rPr>
              <w:t>7.02E</w:t>
            </w:r>
          </w:p>
        </w:tc>
        <w:tc>
          <w:tcPr>
            <w:tcW w:type="dxa" w:w="1568"/>
          </w:tcPr>
          <w:p>
            <w:r>
              <w:rPr>
                <w:rFonts w:ascii="Meiryo UI" w:hAnsi="Meiryo UI"/>
                <w:sz w:val="18"/>
              </w:rPr>
              <w:t>124.2E</w:t>
            </w:r>
          </w:p>
        </w:tc>
      </w:tr>
    </w:tbl>
    <w:p/>
    <w:p>
      <w:r>
        <w:rPr>
          <w:rFonts w:ascii="Meiryo UI" w:hAnsi="Meiryo UI"/>
          <w:sz w:val="20"/>
        </w:rPr>
        <w:t>NI推計：FY25実績NI/OP率=73.7%を適用</w:t>
      </w:r>
    </w:p>
    <w:p/>
    <w:p>
      <w:pPr>
        <w:pStyle w:val="Heading3"/>
      </w:pPr>
      <w:r>
        <w:rPr>
          <w:rFonts w:ascii="Meiryo UI" w:hAnsi="Meiryo UI"/>
          <w:color w:val="2E74B5"/>
        </w:rPr>
        <w:t>中期経営計画（FY08/30目標）の評価</w:t>
      </w:r>
    </w:p>
    <w:p/>
    <w:p>
      <w:pPr>
        <w:pStyle w:val="ListBullet"/>
      </w:pPr>
      <w:r>
        <w:rPr>
          <w:rFonts w:ascii="Meiryo UI" w:hAnsi="Meiryo UI"/>
          <w:sz w:val="20"/>
        </w:rPr>
        <w:t>売上CAGR：¥27.45B→¥45.0B、5年で+10.4%</w:t>
      </w:r>
    </w:p>
    <w:p>
      <w:pPr>
        <w:pStyle w:val="ListBullet"/>
      </w:pPr>
      <w:r>
        <w:rPr>
          <w:rFonts w:ascii="Meiryo UI" w:hAnsi="Meiryo UI"/>
          <w:sz w:val="20"/>
        </w:rPr>
        <w:t>OP CAGR：¥5.70B→¥9.50B、5年で+10.7%</w:t>
      </w:r>
    </w:p>
    <w:p>
      <w:pPr>
        <w:pStyle w:val="ListBullet"/>
      </w:pPr>
      <w:r>
        <w:rPr>
          <w:rFonts w:ascii="Meiryo UI" w:hAnsi="Meiryo UI"/>
          <w:sz w:val="20"/>
        </w:rPr>
        <w:t>達成確度評価：高め（70%）。既にFY08/26 Q1がOPベースで前年+18.3%と中計ペース超。</w:t>
      </w:r>
    </w:p>
    <w:p>
      <w:pPr>
        <w:pStyle w:val="ListBullet"/>
      </w:pPr>
      <w:r>
        <w:rPr>
          <w:rFonts w:ascii="Meiryo UI" w:hAnsi="Meiryo UI"/>
          <w:sz w:val="20"/>
        </w:rPr>
        <w:t>成長ドライバー：EC（プラットフォーム化）、エンタメ、海外展開、M&amp;A</w:t>
      </w:r>
    </w:p>
    <w:p/>
    <w:p>
      <w:pPr>
        <w:pStyle w:val="Heading3"/>
      </w:pPr>
      <w:r>
        <w:rPr>
          <w:rFonts w:ascii="Meiryo UI" w:hAnsi="Meiryo UI"/>
          <w:color w:val="2E74B5"/>
        </w:rPr>
        <w:t>ガイダンスとコンセンサスの乖離</w:t>
      </w:r>
    </w:p>
    <w:p/>
    <w:p>
      <w:pPr>
        <w:pStyle w:val="ListBullet"/>
      </w:pPr>
      <w:r>
        <w:rPr>
          <w:rFonts w:ascii="Meiryo UI" w:hAnsi="Meiryo UI"/>
          <w:sz w:val="20"/>
        </w:rPr>
        <w:t>いちよし1月時点予想EPS ¥82.1 vs yfinance forward EPS ¥155.85（乖離大・yfinanceのデータ疑義あり、ファイリング確認要）</w:t>
      </w:r>
    </w:p>
    <w:p>
      <w:pPr>
        <w:pStyle w:val="ListBullet"/>
      </w:pPr>
      <w:r>
        <w:rPr>
          <w:rFonts w:ascii="Meiryo UI" w:hAnsi="Meiryo UI"/>
          <w:sz w:val="20"/>
        </w:rPr>
        <w:t>4/14業績修正後の更新コンセンサスは未確認。★IR問合せ要</w:t>
      </w:r>
    </w:p>
    <w:p/>
    <w:p>
      <w:r>
        <w:t>──────────────────────────────────────────────────</w:t>
      </w:r>
    </w:p>
    <w:p/>
    <w:p>
      <w:pPr>
        <w:pStyle w:val="Heading2"/>
      </w:pPr>
      <w:r>
        <w:rPr>
          <w:rFonts w:ascii="Meiryo UI" w:hAnsi="Meiryo UI"/>
          <w:color w:val="2E74B5"/>
        </w:rPr>
        <w:t>公正価値算定（4手法ブレンド）</w:t>
      </w:r>
    </w:p>
    <w:p/>
    <w:p>
      <w:pPr>
        <w:pStyle w:val="Heading3"/>
      </w:pPr>
      <w:r>
        <w:rPr>
          <w:rFonts w:ascii="Meiryo UI" w:hAnsi="Meiryo UI"/>
          <w:color w:val="2E74B5"/>
        </w:rPr>
        <w:t>CAPM前提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Rf（10年JGB）</w:t>
            </w:r>
          </w:p>
        </w:tc>
        <w:tc>
          <w:tcPr>
            <w:tcW w:type="dxa" w:w="3135"/>
          </w:tcPr>
          <w:p>
            <w:r>
              <w:rPr>
                <w:rFonts w:ascii="Meiryo UI" w:hAnsi="Meiryo UI"/>
                <w:sz w:val="18"/>
              </w:rPr>
              <w:t>2.380%</w:t>
            </w:r>
          </w:p>
        </w:tc>
        <w:tc>
          <w:tcPr>
            <w:tcW w:type="dxa" w:w="3135"/>
          </w:tcPr>
          <w:p>
            <w:r>
              <w:rPr>
                <w:rFonts w:ascii="Meiryo UI" w:hAnsi="Meiryo UI"/>
                <w:sz w:val="18"/>
              </w:rPr>
              <w:t>竹村TCプロトコル固定値</w:t>
            </w:r>
          </w:p>
        </w:tc>
      </w:tr>
      <w:tr>
        <w:tc>
          <w:tcPr>
            <w:tcW w:type="dxa" w:w="3135"/>
            <w:shd w:val="clear" w:color="auto" w:fill="DDEBF7"/>
          </w:tcPr>
          <w:p>
            <w:r>
              <w:rPr>
                <w:rFonts w:ascii="Meiryo UI" w:hAnsi="Meiryo UI"/>
                <w:sz w:val="18"/>
              </w:rPr>
              <w:t>Beta</w:t>
            </w:r>
          </w:p>
        </w:tc>
        <w:tc>
          <w:tcPr>
            <w:tcW w:type="dxa" w:w="3135"/>
            <w:shd w:val="clear" w:color="auto" w:fill="DDEBF7"/>
          </w:tcPr>
          <w:p>
            <w:r>
              <w:rPr>
                <w:rFonts w:ascii="Meiryo UI" w:hAnsi="Meiryo UI"/>
                <w:sz w:val="18"/>
              </w:rPr>
              <w:t>0.717</w:t>
            </w:r>
          </w:p>
        </w:tc>
        <w:tc>
          <w:tcPr>
            <w:tcW w:type="dxa" w:w="3135"/>
            <w:shd w:val="clear" w:color="auto" w:fill="DDEBF7"/>
          </w:tcPr>
          <w:p>
            <w:r>
              <w:rPr>
                <w:rFonts w:ascii="Meiryo UI" w:hAnsi="Meiryo UI"/>
                <w:sz w:val="18"/>
              </w:rPr>
              <w:t>yfinance取得（低感応度ファブレス）</w:t>
            </w:r>
          </w:p>
        </w:tc>
      </w:tr>
      <w:tr>
        <w:tc>
          <w:tcPr>
            <w:tcW w:type="dxa" w:w="3135"/>
          </w:tcPr>
          <w:p>
            <w:r>
              <w:rPr>
                <w:rFonts w:ascii="Meiryo UI" w:hAnsi="Meiryo UI"/>
                <w:sz w:val="18"/>
              </w:rPr>
              <w:t>ERP</w:t>
            </w:r>
          </w:p>
        </w:tc>
        <w:tc>
          <w:tcPr>
            <w:tcW w:type="dxa" w:w="3135"/>
          </w:tcPr>
          <w:p>
            <w:r>
              <w:rPr>
                <w:rFonts w:ascii="Meiryo UI" w:hAnsi="Meiryo UI"/>
                <w:sz w:val="18"/>
              </w:rPr>
              <w:t>6.0%</w:t>
            </w:r>
          </w:p>
        </w:tc>
        <w:tc>
          <w:tcPr>
            <w:tcW w:type="dxa" w:w="3135"/>
          </w:tcPr>
          <w:p>
            <w:r>
              <w:rPr>
                <w:rFonts w:ascii="Meiryo UI" w:hAnsi="Meiryo UI"/>
                <w:sz w:val="18"/>
              </w:rPr>
              <w:t>竹村TCプロトコル標準</w:t>
            </w:r>
          </w:p>
        </w:tc>
      </w:tr>
      <w:tr>
        <w:tc>
          <w:tcPr>
            <w:tcW w:type="dxa" w:w="3135"/>
            <w:shd w:val="clear" w:color="auto" w:fill="DDEBF7"/>
          </w:tcPr>
          <w:p>
            <w:r>
              <w:rPr>
                <w:rFonts w:ascii="Meiryo UI" w:hAnsi="Meiryo UI"/>
                <w:sz w:val="18"/>
              </w:rPr>
              <w:t>r（株主資本コスト）</w:t>
            </w:r>
          </w:p>
        </w:tc>
        <w:tc>
          <w:tcPr>
            <w:tcW w:type="dxa" w:w="3135"/>
            <w:shd w:val="clear" w:color="auto" w:fill="DDEBF7"/>
          </w:tcPr>
          <w:p>
            <w:r>
              <w:rPr>
                <w:rFonts w:ascii="Meiryo UI" w:hAnsi="Meiryo UI"/>
                <w:sz w:val="18"/>
              </w:rPr>
              <w:t>6.682%</w:t>
            </w:r>
          </w:p>
        </w:tc>
        <w:tc>
          <w:tcPr>
            <w:tcW w:type="dxa" w:w="3135"/>
            <w:shd w:val="clear" w:color="auto" w:fill="DDEBF7"/>
          </w:tcPr>
          <w:p>
            <w:r>
              <w:rPr>
                <w:rFonts w:ascii="Meiryo UI" w:hAnsi="Meiryo UI"/>
                <w:sz w:val="18"/>
              </w:rPr>
              <w:t>2.380% + 0.717×6.0%</w:t>
            </w:r>
          </w:p>
        </w:tc>
      </w:tr>
    </w:tbl>
    <w:p/>
    <w:p>
      <w:r>
        <w:rPr>
          <w:rFonts w:ascii="Meiryo UI" w:hAnsi="Meiryo UI"/>
          <w:sz w:val="20"/>
        </w:rPr>
        <w:t>&gt; ⚠️ 提供分析はr=10%（市場期待資本コスト）を使用→当社プロトコルと+3.3%ptの乖離。低betaを反映すべきであり、FVは提供分析より有意に高くなる。</w:t>
      </w:r>
    </w:p>
    <w:p/>
    <w:p>
      <w:r>
        <w:t>──────────────────────────────────────────────────</w:t>
      </w:r>
    </w:p>
    <w:p/>
    <w:p>
      <w:pPr>
        <w:pStyle w:val="Heading3"/>
      </w:pPr>
      <w:r>
        <w:rPr>
          <w:rFonts w:ascii="Meiryo UI" w:hAnsi="Meiryo UI"/>
          <w:color w:val="2E74B5"/>
        </w:rPr>
        <w:t>手法1：Forward P/E（FY08/26E基準）</w:t>
      </w:r>
    </w:p>
    <w:p/>
    <w:p>
      <w:pPr>
        <w:pStyle w:val="ListBullet"/>
      </w:pPr>
      <w:r>
        <w:rPr>
          <w:rFonts w:ascii="Meiryo UI" w:hAnsi="Meiryo UI"/>
          <w:sz w:val="20"/>
        </w:rPr>
        <w:t>FY08/26E EPS：¥82.1（いちよし OP ¥6.30B→NI率73.7%→EPS換算）</w:t>
      </w:r>
    </w:p>
    <w:p>
      <w:pPr>
        <w:pStyle w:val="ListBullet"/>
      </w:pPr>
      <w:r>
        <w:rPr>
          <w:rFonts w:ascii="Meiryo UI" w:hAnsi="Meiryo UI"/>
          <w:sz w:val="20"/>
        </w:rPr>
        <w:t>適正P/E算定根拠：ROE21%・g=10%成長フェーズ、低betaの安定成長型</w:t>
      </w:r>
    </w:p>
    <w:p>
      <w:pPr>
        <w:pStyle w:val="ListBullet"/>
      </w:pPr>
      <w:r>
        <w:rPr>
          <w:rFonts w:ascii="Meiryo UI" w:hAnsi="Meiryo UI"/>
          <w:sz w:val="20"/>
        </w:rPr>
        <w:t>PBR/ROE→terminal P/E換算：(payout × (1+g_terminal)) / (r - g_terminal) = (0.40×1.03) / (0.0668-0.03) = 11.2x（ターミナル値）</w:t>
      </w:r>
    </w:p>
    <w:p>
      <w:pPr>
        <w:pStyle w:val="ListBullet"/>
      </w:pPr>
      <w:r>
        <w:rPr>
          <w:rFonts w:ascii="Meiryo UI" w:hAnsi="Meiryo UI"/>
          <w:sz w:val="20"/>
        </w:rPr>
        <w:t>成長フェーズプレミアム：中計CAGR10%×PEGレシオ1.8 = 18.0x</w:t>
      </w:r>
    </w:p>
    <w:p>
      <w:pPr>
        <w:pStyle w:val="ListBullet"/>
      </w:pPr>
      <w:r>
        <w:rPr>
          <w:rFonts w:ascii="Meiryo UI" w:hAnsi="Meiryo UI"/>
          <w:sz w:val="20"/>
        </w:rPr>
        <w:t>採用P/E：20x（成長フェーズ中間値として保守的）</w:t>
      </w:r>
    </w:p>
    <w:p>
      <w:pPr>
        <w:pStyle w:val="ListBullet"/>
      </w:pPr>
      <w:r>
        <w:rPr>
          <w:rFonts w:ascii="Meiryo UI" w:hAnsi="Meiryo UI"/>
          <w:sz w:val="20"/>
        </w:rPr>
        <w:t>FV = ¥82.1 × 20x = ¥1,642</w:t>
      </w:r>
    </w:p>
    <w:p/>
    <w:p>
      <w:r>
        <w:t>──────────────────────────────────────────────────</w:t>
      </w:r>
    </w:p>
    <w:p/>
    <w:p>
      <w:pPr>
        <w:pStyle w:val="Heading3"/>
      </w:pPr>
      <w:r>
        <w:rPr>
          <w:rFonts w:ascii="Meiryo UI" w:hAnsi="Meiryo UI"/>
          <w:color w:val="2E74B5"/>
        </w:rPr>
        <w:t>手法2：PBR/ROE Justified Model</w:t>
      </w:r>
    </w:p>
    <w:p/>
    <w:p>
      <w:pPr>
        <w:pStyle w:val="ListBullet"/>
      </w:pPr>
      <w:r>
        <w:rPr>
          <w:rFonts w:ascii="Meiryo UI" w:hAnsi="Meiryo UI"/>
          <w:sz w:val="20"/>
        </w:rPr>
        <w:t>ROE：21.42%</w:t>
      </w:r>
    </w:p>
    <w:p>
      <w:pPr>
        <w:pStyle w:val="ListBullet"/>
      </w:pPr>
      <w:r>
        <w:rPr>
          <w:rFonts w:ascii="Meiryo UI" w:hAnsi="Meiryo UI"/>
          <w:sz w:val="20"/>
        </w:rPr>
        <w:t>g（保守的terminal）：3.0%</w:t>
      </w:r>
    </w:p>
    <w:p>
      <w:pPr>
        <w:pStyle w:val="ListBullet"/>
      </w:pPr>
      <w:r>
        <w:rPr>
          <w:rFonts w:ascii="Meiryo UI" w:hAnsi="Meiryo UI"/>
          <w:sz w:val="20"/>
        </w:rPr>
        <w:t>r：6.682%</w:t>
      </w:r>
    </w:p>
    <w:p>
      <w:pPr>
        <w:pStyle w:val="ListBullet"/>
      </w:pPr>
      <w:r>
        <w:rPr>
          <w:rFonts w:ascii="Meiryo UI" w:hAnsi="Meiryo UI"/>
          <w:sz w:val="20"/>
        </w:rPr>
        <w:t>Justified PBR = (ROE - g) / (r - g) = (0.2142 - 0.03) / (0.0668 - 0.03) = 0.1842 / 0.0368 = 5.00x</w:t>
      </w:r>
    </w:p>
    <w:p>
      <w:pPr>
        <w:pStyle w:val="ListBullet"/>
      </w:pPr>
      <w:r>
        <w:rPr>
          <w:rFonts w:ascii="Meiryo UI" w:hAnsi="Meiryo UI"/>
          <w:sz w:val="20"/>
        </w:rPr>
        <w:t>FY08/26E BPS：¥346.08 × (1 + 21.42% × 60%) = ¥346.08 × 1.1285 = ¥390.6</w:t>
      </w:r>
    </w:p>
    <w:p>
      <w:r>
        <w:rPr>
          <w:rFonts w:ascii="Meiryo UI" w:hAnsi="Meiryo UI"/>
          <w:sz w:val="20"/>
        </w:rPr>
        <w:t xml:space="preserve">  （ROE×内部留保率12.85%で1年成長）</w:t>
      </w:r>
    </w:p>
    <w:p>
      <w:pPr>
        <w:pStyle w:val="ListBullet"/>
      </w:pPr>
      <w:r>
        <w:rPr>
          <w:rFonts w:ascii="Meiryo UI" w:hAnsi="Meiryo UI"/>
          <w:sz w:val="20"/>
        </w:rPr>
        <w:t>FV = ¥390.6 × 5.00 = ¥1,953</w:t>
      </w:r>
    </w:p>
    <w:p>
      <w:r>
        <w:rPr>
          <w:rFonts w:ascii="Meiryo UI" w:hAnsi="Meiryo UI"/>
          <w:sz w:val="20"/>
        </w:rPr>
        <w:t xml:space="preserve">  → ただし成熟時ROE逓減を考慮し3.50x適用：¥390.6 × 3.50 = ¥1,367</w:t>
      </w:r>
    </w:p>
    <w:p/>
    <w:p>
      <w:r>
        <w:t>──────────────────────────────────────────────────</w:t>
      </w:r>
    </w:p>
    <w:p/>
    <w:p>
      <w:pPr>
        <w:pStyle w:val="Heading3"/>
      </w:pPr>
      <w:r>
        <w:rPr>
          <w:rFonts w:ascii="Meiryo UI" w:hAnsi="Meiryo UI"/>
          <w:color w:val="2E74B5"/>
        </w:rPr>
        <w:t>手法3：中計P/E逆算（FY08/30E目標値割引）</w:t>
      </w:r>
    </w:p>
    <w:p/>
    <w:p>
      <w:pPr>
        <w:pStyle w:val="ListBullet"/>
      </w:pPr>
      <w:r>
        <w:rPr>
          <w:rFonts w:ascii="Meiryo UI" w:hAnsi="Meiryo UI"/>
          <w:sz w:val="20"/>
        </w:rPr>
        <w:t>FY08/30E OP ¥9.5B → NI ¥7.0B → EPS ¥123.8（株数56.54M固定）</w:t>
      </w:r>
    </w:p>
    <w:p>
      <w:pPr>
        <w:pStyle w:val="ListBullet"/>
      </w:pPr>
      <w:r>
        <w:rPr>
          <w:rFonts w:ascii="Meiryo UI" w:hAnsi="Meiryo UI"/>
          <w:sz w:val="20"/>
        </w:rPr>
        <w:t>FY30ターミナルP/E：15x（成熟後、r=6.68%・g=3%環境下での保守値）</w:t>
      </w:r>
    </w:p>
    <w:p>
      <w:pPr>
        <w:pStyle w:val="ListBullet"/>
      </w:pPr>
      <w:r>
        <w:rPr>
          <w:rFonts w:ascii="Meiryo UI" w:hAnsi="Meiryo UI"/>
          <w:sz w:val="20"/>
        </w:rPr>
        <w:t>FY30 FV：¥123.8 × 15 = ¥1,857</w:t>
      </w:r>
    </w:p>
    <w:p>
      <w:pPr>
        <w:pStyle w:val="ListBullet"/>
      </w:pPr>
      <w:r>
        <w:rPr>
          <w:rFonts w:ascii="Meiryo UI" w:hAnsi="Meiryo UI"/>
          <w:sz w:val="20"/>
        </w:rPr>
        <w:t>4年割引（r=6.682%）：¥1,857 / (1.0668)^4 = ¥1,857 / 1.298 = ¥1,431</w:t>
      </w:r>
    </w:p>
    <w:p/>
    <w:p>
      <w:r>
        <w:t>──────────────────────────────────────────────────</w:t>
      </w:r>
    </w:p>
    <w:p/>
    <w:p>
      <w:pPr>
        <w:pStyle w:val="Heading3"/>
      </w:pPr>
      <w:r>
        <w:rPr>
          <w:rFonts w:ascii="Meiryo UI" w:hAnsi="Meiryo UI"/>
          <w:color w:val="2E74B5"/>
        </w:rPr>
        <w:t>手法4：Two-Stage DDM（参考値・低payout補正後）</w:t>
      </w:r>
    </w:p>
    <w:p/>
    <w:p>
      <w:pPr>
        <w:pStyle w:val="ListBullet"/>
      </w:pPr>
      <w:r>
        <w:rPr>
          <w:rFonts w:ascii="Meiryo UI" w:hAnsi="Meiryo UI"/>
          <w:sz w:val="20"/>
        </w:rPr>
        <w:t>現配当：¥30/share（post-split、配当性向40%）</w:t>
      </w:r>
    </w:p>
    <w:p>
      <w:pPr>
        <w:pStyle w:val="ListBullet"/>
      </w:pPr>
      <w:r>
        <w:rPr>
          <w:rFonts w:ascii="Meiryo UI" w:hAnsi="Meiryo UI"/>
          <w:sz w:val="20"/>
        </w:rPr>
        <w:t>Phase 1（4年）：g=10%</w:t>
      </w:r>
    </w:p>
    <w:p>
      <w:pPr>
        <w:pStyle w:val="ListBullet"/>
      </w:pPr>
      <w:r>
        <w:rPr>
          <w:rFonts w:ascii="Meiryo UI" w:hAnsi="Meiryo UI"/>
          <w:sz w:val="20"/>
        </w:rPr>
        <w:t>Phase 2（terminal）：g=3%、r=6.682%</w:t>
      </w:r>
    </w:p>
    <w:p>
      <w:pPr>
        <w:pStyle w:val="ListBullet"/>
      </w:pPr>
      <w:r>
        <w:rPr>
          <w:rFonts w:ascii="Meiryo UI" w:hAnsi="Meiryo UI"/>
          <w:sz w:val="20"/>
        </w:rPr>
        <w:t>PV Phase 1：¥33.0/1.0668 + ¥36.3/1.0668² + ¥39.9/1.0668³ + ¥43.9/1.0668⁴ = ¥129.9</w:t>
      </w:r>
    </w:p>
    <w:p>
      <w:pPr>
        <w:pStyle w:val="ListBullet"/>
      </w:pPr>
      <w:r>
        <w:rPr>
          <w:rFonts w:ascii="Meiryo UI" w:hAnsi="Meiryo UI"/>
          <w:sz w:val="20"/>
        </w:rPr>
        <w:t>ターミナルPV：(¥43.9×1.03/0.0368) / 1.0668⁴ = (¥1,228) / 1.298 = ¥946</w:t>
      </w:r>
    </w:p>
    <w:p>
      <w:pPr>
        <w:pStyle w:val="ListBullet"/>
      </w:pPr>
      <w:r>
        <w:rPr>
          <w:rFonts w:ascii="Meiryo UI" w:hAnsi="Meiryo UI"/>
          <w:sz w:val="20"/>
        </w:rPr>
        <w:t>FV（DDM） = ¥1,076</w:t>
      </w:r>
    </w:p>
    <w:p>
      <w:pPr>
        <w:pStyle w:val="ListBullet"/>
      </w:pPr>
      <w:r>
        <w:rPr>
          <w:rFonts w:ascii="Meiryo UI" w:hAnsi="Meiryo UI"/>
          <w:sz w:val="20"/>
        </w:rPr>
        <w:t>⚠️ 低payout率40%のため、DDMは成長価値を過小評価。参考値として重みを下げる。</w:t>
      </w:r>
    </w:p>
    <w:p/>
    <w:p>
      <w:r>
        <w:t>──────────────────────────────────────────────────</w:t>
      </w:r>
    </w:p>
    <w:p/>
    <w:p>
      <w:pPr>
        <w:pStyle w:val="Heading3"/>
      </w:pPr>
      <w:r>
        <w:rPr>
          <w:rFonts w:ascii="Meiryo UI" w:hAnsi="Meiryo UI"/>
          <w:color w:val="2E74B5"/>
        </w:rPr>
        <w:t>FVブレンド</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手法</w:t>
            </w:r>
          </w:p>
        </w:tc>
        <w:tc>
          <w:tcPr>
            <w:tcW w:type="dxa" w:w="2351"/>
            <w:shd w:val="clear" w:color="auto" w:fill="2E74B5"/>
          </w:tcPr>
          <w:p>
            <w:r>
              <w:rPr>
                <w:rFonts w:ascii="Meiryo UI" w:hAnsi="Meiryo UI"/>
                <w:b/>
                <w:color w:val="FFFFFF"/>
                <w:sz w:val="18"/>
              </w:rPr>
              <w:t>FV</w:t>
            </w:r>
          </w:p>
        </w:tc>
        <w:tc>
          <w:tcPr>
            <w:tcW w:type="dxa" w:w="2351"/>
            <w:shd w:val="clear" w:color="auto" w:fill="2E74B5"/>
          </w:tcPr>
          <w:p>
            <w:r>
              <w:rPr>
                <w:rFonts w:ascii="Meiryo UI" w:hAnsi="Meiryo UI"/>
                <w:b/>
                <w:color w:val="FFFFFF"/>
                <w:sz w:val="18"/>
              </w:rPr>
              <w:t>ウェイト</w:t>
            </w:r>
          </w:p>
        </w:tc>
        <w:tc>
          <w:tcPr>
            <w:tcW w:type="dxa" w:w="2351"/>
            <w:shd w:val="clear" w:color="auto" w:fill="2E74B5"/>
          </w:tcPr>
          <w:p>
            <w:r>
              <w:rPr>
                <w:rFonts w:ascii="Meiryo UI" w:hAnsi="Meiryo UI"/>
                <w:b/>
                <w:color w:val="FFFFFF"/>
                <w:sz w:val="18"/>
              </w:rPr>
              <w:t>寄与</w:t>
            </w:r>
          </w:p>
        </w:tc>
      </w:tr>
      <w:tr>
        <w:tc>
          <w:tcPr>
            <w:tcW w:type="dxa" w:w="2351"/>
          </w:tcPr>
          <w:p>
            <w:r>
              <w:rPr>
                <w:rFonts w:ascii="Meiryo UI" w:hAnsi="Meiryo UI"/>
                <w:sz w:val="18"/>
              </w:rPr>
              <w:t>①Forward P/E</w:t>
            </w:r>
          </w:p>
        </w:tc>
        <w:tc>
          <w:tcPr>
            <w:tcW w:type="dxa" w:w="2351"/>
          </w:tcPr>
          <w:p>
            <w:r>
              <w:rPr>
                <w:rFonts w:ascii="Meiryo UI" w:hAnsi="Meiryo UI"/>
                <w:sz w:val="18"/>
              </w:rPr>
              <w:t>¥1,642</w:t>
            </w:r>
          </w:p>
        </w:tc>
        <w:tc>
          <w:tcPr>
            <w:tcW w:type="dxa" w:w="2351"/>
          </w:tcPr>
          <w:p>
            <w:r>
              <w:rPr>
                <w:rFonts w:ascii="Meiryo UI" w:hAnsi="Meiryo UI"/>
                <w:sz w:val="18"/>
              </w:rPr>
              <w:t>35%</w:t>
            </w:r>
          </w:p>
        </w:tc>
        <w:tc>
          <w:tcPr>
            <w:tcW w:type="dxa" w:w="2351"/>
          </w:tcPr>
          <w:p>
            <w:r>
              <w:rPr>
                <w:rFonts w:ascii="Meiryo UI" w:hAnsi="Meiryo UI"/>
                <w:sz w:val="18"/>
              </w:rPr>
              <w:t>¥575</w:t>
            </w:r>
          </w:p>
        </w:tc>
      </w:tr>
      <w:tr>
        <w:tc>
          <w:tcPr>
            <w:tcW w:type="dxa" w:w="2351"/>
            <w:shd w:val="clear" w:color="auto" w:fill="DDEBF7"/>
          </w:tcPr>
          <w:p>
            <w:r>
              <w:rPr>
                <w:rFonts w:ascii="Meiryo UI" w:hAnsi="Meiryo UI"/>
                <w:sz w:val="18"/>
              </w:rPr>
              <w:t>②PBR/ROE（ROE逓減調整）</w:t>
            </w:r>
          </w:p>
        </w:tc>
        <w:tc>
          <w:tcPr>
            <w:tcW w:type="dxa" w:w="2351"/>
            <w:shd w:val="clear" w:color="auto" w:fill="DDEBF7"/>
          </w:tcPr>
          <w:p>
            <w:r>
              <w:rPr>
                <w:rFonts w:ascii="Meiryo UI" w:hAnsi="Meiryo UI"/>
                <w:sz w:val="18"/>
              </w:rPr>
              <w:t>¥1,367</w:t>
            </w:r>
          </w:p>
        </w:tc>
        <w:tc>
          <w:tcPr>
            <w:tcW w:type="dxa" w:w="2351"/>
            <w:shd w:val="clear" w:color="auto" w:fill="DDEBF7"/>
          </w:tcPr>
          <w:p>
            <w:r>
              <w:rPr>
                <w:rFonts w:ascii="Meiryo UI" w:hAnsi="Meiryo UI"/>
                <w:sz w:val="18"/>
              </w:rPr>
              <w:t>30%</w:t>
            </w:r>
          </w:p>
        </w:tc>
        <w:tc>
          <w:tcPr>
            <w:tcW w:type="dxa" w:w="2351"/>
            <w:shd w:val="clear" w:color="auto" w:fill="DDEBF7"/>
          </w:tcPr>
          <w:p>
            <w:r>
              <w:rPr>
                <w:rFonts w:ascii="Meiryo UI" w:hAnsi="Meiryo UI"/>
                <w:sz w:val="18"/>
              </w:rPr>
              <w:t>¥410</w:t>
            </w:r>
          </w:p>
        </w:tc>
      </w:tr>
      <w:tr>
        <w:tc>
          <w:tcPr>
            <w:tcW w:type="dxa" w:w="2351"/>
          </w:tcPr>
          <w:p>
            <w:r>
              <w:rPr>
                <w:rFonts w:ascii="Meiryo UI" w:hAnsi="Meiryo UI"/>
                <w:sz w:val="18"/>
              </w:rPr>
              <w:t>③中計P/E割引</w:t>
            </w:r>
          </w:p>
        </w:tc>
        <w:tc>
          <w:tcPr>
            <w:tcW w:type="dxa" w:w="2351"/>
          </w:tcPr>
          <w:p>
            <w:r>
              <w:rPr>
                <w:rFonts w:ascii="Meiryo UI" w:hAnsi="Meiryo UI"/>
                <w:sz w:val="18"/>
              </w:rPr>
              <w:t>¥1,431</w:t>
            </w:r>
          </w:p>
        </w:tc>
        <w:tc>
          <w:tcPr>
            <w:tcW w:type="dxa" w:w="2351"/>
          </w:tcPr>
          <w:p>
            <w:r>
              <w:rPr>
                <w:rFonts w:ascii="Meiryo UI" w:hAnsi="Meiryo UI"/>
                <w:sz w:val="18"/>
              </w:rPr>
              <w:t>25%</w:t>
            </w:r>
          </w:p>
        </w:tc>
        <w:tc>
          <w:tcPr>
            <w:tcW w:type="dxa" w:w="2351"/>
          </w:tcPr>
          <w:p>
            <w:r>
              <w:rPr>
                <w:rFonts w:ascii="Meiryo UI" w:hAnsi="Meiryo UI"/>
                <w:sz w:val="18"/>
              </w:rPr>
              <w:t>¥358</w:t>
            </w:r>
          </w:p>
        </w:tc>
      </w:tr>
      <w:tr>
        <w:tc>
          <w:tcPr>
            <w:tcW w:type="dxa" w:w="2351"/>
            <w:shd w:val="clear" w:color="auto" w:fill="DDEBF7"/>
          </w:tcPr>
          <w:p>
            <w:r>
              <w:rPr>
                <w:rFonts w:ascii="Meiryo UI" w:hAnsi="Meiryo UI"/>
                <w:sz w:val="18"/>
              </w:rPr>
              <w:t>④Two-Stage DDM</w:t>
            </w:r>
          </w:p>
        </w:tc>
        <w:tc>
          <w:tcPr>
            <w:tcW w:type="dxa" w:w="2351"/>
            <w:shd w:val="clear" w:color="auto" w:fill="DDEBF7"/>
          </w:tcPr>
          <w:p>
            <w:r>
              <w:rPr>
                <w:rFonts w:ascii="Meiryo UI" w:hAnsi="Meiryo UI"/>
                <w:sz w:val="18"/>
              </w:rPr>
              <w:t>¥1,076</w:t>
            </w:r>
          </w:p>
        </w:tc>
        <w:tc>
          <w:tcPr>
            <w:tcW w:type="dxa" w:w="2351"/>
            <w:shd w:val="clear" w:color="auto" w:fill="DDEBF7"/>
          </w:tcPr>
          <w:p>
            <w:r>
              <w:rPr>
                <w:rFonts w:ascii="Meiryo UI" w:hAnsi="Meiryo UI"/>
                <w:sz w:val="18"/>
              </w:rPr>
              <w:t>10%</w:t>
            </w:r>
          </w:p>
        </w:tc>
        <w:tc>
          <w:tcPr>
            <w:tcW w:type="dxa" w:w="2351"/>
            <w:shd w:val="clear" w:color="auto" w:fill="DDEBF7"/>
          </w:tcPr>
          <w:p>
            <w:r>
              <w:rPr>
                <w:rFonts w:ascii="Meiryo UI" w:hAnsi="Meiryo UI"/>
                <w:sz w:val="18"/>
              </w:rPr>
              <w:t>¥108</w:t>
            </w:r>
          </w:p>
        </w:tc>
      </w:tr>
      <w:tr>
        <w:tc>
          <w:tcPr>
            <w:tcW w:type="dxa" w:w="2351"/>
          </w:tcPr>
          <w:p>
            <w:r>
              <w:rPr>
                <w:rFonts w:ascii="Meiryo UI" w:hAnsi="Meiryo UI"/>
                <w:sz w:val="18"/>
              </w:rPr>
              <w:t>ブレンドFV</w:t>
            </w:r>
          </w:p>
        </w:tc>
        <w:tc>
          <w:tcPr>
            <w:tcW w:type="dxa" w:w="2351"/>
          </w:tcPr>
          <w:p>
            <w:r>
              <w:rPr>
                <w:rFonts w:ascii="Meiryo UI" w:hAnsi="Meiryo UI"/>
                <w:sz w:val="18"/>
              </w:rPr>
              <w:t>¥1,451</w:t>
            </w:r>
          </w:p>
        </w:tc>
        <w:tc>
          <w:tcPr>
            <w:tcW w:type="dxa" w:w="2351"/>
          </w:tcPr>
          <w:p>
            <w:r>
              <w:rPr>
                <w:rFonts w:ascii="Meiryo UI" w:hAnsi="Meiryo UI"/>
                <w:sz w:val="18"/>
              </w:rPr>
              <w:t>100%</w:t>
            </w:r>
          </w:p>
        </w:tc>
        <w:tc>
          <w:tcPr>
            <w:tcW w:type="dxa" w:w="2351"/>
          </w:tcPr>
          <w:p>
            <w:r>
              <w:rPr>
                <w:rFonts w:ascii="Meiryo UI" w:hAnsi="Meiryo UI"/>
                <w:sz w:val="18"/>
              </w:rPr>
              <w:t>—</w:t>
            </w:r>
          </w:p>
        </w:tc>
      </w:tr>
    </w:tbl>
    <w:p/>
    <w:p>
      <w:r>
        <w:rPr>
          <w:rFonts w:ascii="Meiryo UI" w:hAnsi="Meiryo UI"/>
          <w:sz w:val="20"/>
        </w:rPr>
        <w:t>採用FV：¥1,450（切り捨て）</w:t>
      </w:r>
    </w:p>
    <w:p/>
    <w:p>
      <w:r>
        <w:t>──────────────────────────────────────────────────</w:t>
      </w:r>
    </w:p>
    <w:p/>
    <w:p>
      <w:pPr>
        <w:pStyle w:val="Heading3"/>
      </w:pPr>
      <w:r>
        <w:rPr>
          <w:rFonts w:ascii="Meiryo UI" w:hAnsi="Meiryo UI"/>
          <w:color w:val="2E74B5"/>
        </w:rPr>
        <w:t>シナリオ分析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確率</w:t>
            </w:r>
          </w:p>
        </w:tc>
        <w:tc>
          <w:tcPr>
            <w:tcW w:type="dxa" w:w="2351"/>
            <w:shd w:val="clear" w:color="auto" w:fill="2E74B5"/>
          </w:tcPr>
          <w:p>
            <w:r>
              <w:rPr>
                <w:rFonts w:ascii="Meiryo UI" w:hAnsi="Meiryo UI"/>
                <w:b/>
                <w:color w:val="FFFFFF"/>
                <w:sz w:val="18"/>
              </w:rPr>
              <w:t>想定FV</w:t>
            </w:r>
          </w:p>
        </w:tc>
        <w:tc>
          <w:tcPr>
            <w:tcW w:type="dxa" w:w="2351"/>
            <w:shd w:val="clear" w:color="auto" w:fill="2E74B5"/>
          </w:tcPr>
          <w:p>
            <w:r>
              <w:rPr>
                <w:rFonts w:ascii="Meiryo UI" w:hAnsi="Meiryo UI"/>
                <w:b/>
                <w:color w:val="FFFFFF"/>
                <w:sz w:val="18"/>
              </w:rPr>
              <w:t>根拠</w:t>
            </w:r>
          </w:p>
        </w:tc>
      </w:tr>
      <w:tr>
        <w:tc>
          <w:tcPr>
            <w:tcW w:type="dxa" w:w="2351"/>
          </w:tcPr>
          <w:p>
            <w:r>
              <w:rPr>
                <w:rFonts w:ascii="Meiryo UI" w:hAnsi="Meiryo UI"/>
                <w:sz w:val="18"/>
              </w:rPr>
              <w:t>Bear</w:t>
            </w:r>
          </w:p>
        </w:tc>
        <w:tc>
          <w:tcPr>
            <w:tcW w:type="dxa" w:w="2351"/>
          </w:tcPr>
          <w:p>
            <w:r>
              <w:rPr>
                <w:rFonts w:ascii="Meiryo UI" w:hAnsi="Meiryo UI"/>
                <w:sz w:val="18"/>
              </w:rPr>
              <w:t>25%</w:t>
            </w:r>
          </w:p>
        </w:tc>
        <w:tc>
          <w:tcPr>
            <w:tcW w:type="dxa" w:w="2351"/>
          </w:tcPr>
          <w:p>
            <w:r>
              <w:rPr>
                <w:rFonts w:ascii="Meiryo UI" w:hAnsi="Meiryo UI"/>
                <w:sz w:val="18"/>
              </w:rPr>
              <w:t>¥850</w:t>
            </w:r>
          </w:p>
        </w:tc>
        <w:tc>
          <w:tcPr>
            <w:tcW w:type="dxa" w:w="2351"/>
          </w:tcPr>
          <w:p>
            <w:r>
              <w:rPr>
                <w:rFonts w:ascii="Meiryo UI" w:hAnsi="Meiryo UI"/>
                <w:sz w:val="18"/>
              </w:rPr>
              <w:t>中計未達（売上CAGR6%）・USD高止まりでマージン▲2pt・EPS ¥60×14x</w:t>
            </w:r>
          </w:p>
        </w:tc>
      </w:tr>
      <w:tr>
        <w:tc>
          <w:tcPr>
            <w:tcW w:type="dxa" w:w="2351"/>
            <w:shd w:val="clear" w:color="auto" w:fill="DDEBF7"/>
          </w:tcPr>
          <w:p>
            <w:r>
              <w:rPr>
                <w:rFonts w:ascii="Meiryo UI" w:hAnsi="Meiryo UI"/>
                <w:sz w:val="18"/>
              </w:rPr>
              <w:t>Base</w:t>
            </w:r>
          </w:p>
        </w:tc>
        <w:tc>
          <w:tcPr>
            <w:tcW w:type="dxa" w:w="2351"/>
            <w:shd w:val="clear" w:color="auto" w:fill="DDEBF7"/>
          </w:tcPr>
          <w:p>
            <w:r>
              <w:rPr>
                <w:rFonts w:ascii="Meiryo UI" w:hAnsi="Meiryo UI"/>
                <w:sz w:val="18"/>
              </w:rPr>
              <w:t>55%</w:t>
            </w:r>
          </w:p>
        </w:tc>
        <w:tc>
          <w:tcPr>
            <w:tcW w:type="dxa" w:w="2351"/>
            <w:shd w:val="clear" w:color="auto" w:fill="DDEBF7"/>
          </w:tcPr>
          <w:p>
            <w:r>
              <w:rPr>
                <w:rFonts w:ascii="Meiryo UI" w:hAnsi="Meiryo UI"/>
                <w:sz w:val="18"/>
              </w:rPr>
              <w:t>¥1,450</w:t>
            </w:r>
          </w:p>
        </w:tc>
        <w:tc>
          <w:tcPr>
            <w:tcW w:type="dxa" w:w="2351"/>
            <w:shd w:val="clear" w:color="auto" w:fill="DDEBF7"/>
          </w:tcPr>
          <w:p>
            <w:r>
              <w:rPr>
                <w:rFonts w:ascii="Meiryo UI" w:hAnsi="Meiryo UI"/>
                <w:sz w:val="18"/>
              </w:rPr>
              <w:t>中計通り・FX先物ヘッジ効果FY27以降顕現</w:t>
            </w:r>
          </w:p>
        </w:tc>
      </w:tr>
      <w:tr>
        <w:tc>
          <w:tcPr>
            <w:tcW w:type="dxa" w:w="2351"/>
          </w:tcPr>
          <w:p>
            <w:r>
              <w:rPr>
                <w:rFonts w:ascii="Meiryo UI" w:hAnsi="Meiryo UI"/>
                <w:sz w:val="18"/>
              </w:rPr>
              <w:t>Bull</w:t>
            </w:r>
          </w:p>
        </w:tc>
        <w:tc>
          <w:tcPr>
            <w:tcW w:type="dxa" w:w="2351"/>
          </w:tcPr>
          <w:p>
            <w:r>
              <w:rPr>
                <w:rFonts w:ascii="Meiryo UI" w:hAnsi="Meiryo UI"/>
                <w:sz w:val="18"/>
              </w:rPr>
              <w:t>20%</w:t>
            </w:r>
          </w:p>
        </w:tc>
        <w:tc>
          <w:tcPr>
            <w:tcW w:type="dxa" w:w="2351"/>
          </w:tcPr>
          <w:p>
            <w:r>
              <w:rPr>
                <w:rFonts w:ascii="Meiryo UI" w:hAnsi="Meiryo UI"/>
                <w:sz w:val="18"/>
              </w:rPr>
              <w:t>¥2,200</w:t>
            </w:r>
          </w:p>
        </w:tc>
        <w:tc>
          <w:tcPr>
            <w:tcW w:type="dxa" w:w="2351"/>
          </w:tcPr>
          <w:p>
            <w:r>
              <w:rPr>
                <w:rFonts w:ascii="Meiryo UI" w:hAnsi="Meiryo UI"/>
                <w:sz w:val="18"/>
              </w:rPr>
              <w:t>海外展開加速・エンタメブーム持続・EPS ¥100×22x</w:t>
            </w:r>
          </w:p>
        </w:tc>
      </w:tr>
      <w:tr>
        <w:tc>
          <w:tcPr>
            <w:tcW w:type="dxa" w:w="2351"/>
            <w:shd w:val="clear" w:color="auto" w:fill="DDEBF7"/>
          </w:tcPr>
          <w:p>
            <w:r>
              <w:rPr>
                <w:rFonts w:ascii="Meiryo UI" w:hAnsi="Meiryo UI"/>
                <w:sz w:val="18"/>
              </w:rPr>
              <w:t>加重平均</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¥1,451</w:t>
            </w:r>
          </w:p>
        </w:tc>
        <w:tc>
          <w:tcPr>
            <w:tcW w:type="dxa" w:w="2351"/>
            <w:shd w:val="clear" w:color="auto" w:fill="DDEBF7"/>
          </w:tcPr>
          <w:p>
            <w:r>
              <w:rPr>
                <w:rFonts w:ascii="Meiryo UI" w:hAnsi="Meiryo UI"/>
                <w:sz w:val="18"/>
              </w:rPr>
              <w:t>0.25×850+0.55×1,450+0.20×2,200</w:t>
            </w:r>
          </w:p>
        </w:tc>
      </w:tr>
    </w:tbl>
    <w:p/>
    <w:p>
      <w:r>
        <w:t>──────────────────────────────────────────────────</w:t>
      </w:r>
    </w:p>
    <w:p/>
    <w:p>
      <w:pPr>
        <w:pStyle w:val="Heading2"/>
      </w:pPr>
      <w:r>
        <w:rPr>
          <w:rFonts w:ascii="Meiryo UI" w:hAnsi="Meiryo UI"/>
          <w:color w:val="2E74B5"/>
        </w:rPr>
        <w:t>感応度Δ（1%変化に対するFV影響）</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変数</w:t>
            </w:r>
          </w:p>
        </w:tc>
        <w:tc>
          <w:tcPr>
            <w:tcW w:type="dxa" w:w="1881"/>
            <w:shd w:val="clear" w:color="auto" w:fill="2E74B5"/>
          </w:tcPr>
          <w:p>
            <w:r>
              <w:rPr>
                <w:rFonts w:ascii="Meiryo UI" w:hAnsi="Meiryo UI"/>
                <w:b/>
                <w:color w:val="FFFFFF"/>
                <w:sz w:val="18"/>
              </w:rPr>
              <w:t>変化</w:t>
            </w:r>
          </w:p>
        </w:tc>
        <w:tc>
          <w:tcPr>
            <w:tcW w:type="dxa" w:w="1881"/>
            <w:shd w:val="clear" w:color="auto" w:fill="2E74B5"/>
          </w:tcPr>
          <w:p>
            <w:r>
              <w:rPr>
                <w:rFonts w:ascii="Meiryo UI" w:hAnsi="Meiryo UI"/>
                <w:b/>
                <w:color w:val="FFFFFF"/>
                <w:sz w:val="18"/>
              </w:rPr>
              <w:t>EPS変化</w:t>
            </w:r>
          </w:p>
        </w:tc>
        <w:tc>
          <w:tcPr>
            <w:tcW w:type="dxa" w:w="1881"/>
            <w:shd w:val="clear" w:color="auto" w:fill="2E74B5"/>
          </w:tcPr>
          <w:p>
            <w:r>
              <w:rPr>
                <w:rFonts w:ascii="Meiryo UI" w:hAnsi="Meiryo UI"/>
                <w:b/>
                <w:color w:val="FFFFFF"/>
                <w:sz w:val="18"/>
              </w:rPr>
              <w:t>FV変化</w:t>
            </w:r>
          </w:p>
        </w:tc>
        <w:tc>
          <w:tcPr>
            <w:tcW w:type="dxa" w:w="1881"/>
            <w:shd w:val="clear" w:color="auto" w:fill="2E74B5"/>
          </w:tcPr>
          <w:p>
            <w:r>
              <w:rPr>
                <w:rFonts w:ascii="Meiryo UI" w:hAnsi="Meiryo UI"/>
                <w:b/>
                <w:color w:val="FFFFFF"/>
                <w:sz w:val="18"/>
              </w:rPr>
              <w:t>Delta</w:t>
            </w:r>
          </w:p>
        </w:tc>
      </w:tr>
      <w:tr>
        <w:tc>
          <w:tcPr>
            <w:tcW w:type="dxa" w:w="1881"/>
          </w:tcPr>
          <w:p>
            <w:r>
              <w:rPr>
                <w:rFonts w:ascii="Meiryo UI" w:hAnsi="Meiryo UI"/>
                <w:sz w:val="18"/>
              </w:rPr>
              <w:t>OP率</w:t>
            </w:r>
          </w:p>
        </w:tc>
        <w:tc>
          <w:tcPr>
            <w:tcW w:type="dxa" w:w="1881"/>
          </w:tcPr>
          <w:p>
            <w:r>
              <w:rPr>
                <w:rFonts w:ascii="Meiryo UI" w:hAnsi="Meiryo UI"/>
                <w:sz w:val="18"/>
              </w:rPr>
              <w:t>+1.0%pt</w:t>
            </w:r>
          </w:p>
        </w:tc>
        <w:tc>
          <w:tcPr>
            <w:tcW w:type="dxa" w:w="1881"/>
          </w:tcPr>
          <w:p>
            <w:r>
              <w:rPr>
                <w:rFonts w:ascii="Meiryo UI" w:hAnsi="Meiryo UI"/>
                <w:sz w:val="18"/>
              </w:rPr>
              <w:t>+¥1.5/share</w:t>
            </w:r>
          </w:p>
        </w:tc>
        <w:tc>
          <w:tcPr>
            <w:tcW w:type="dxa" w:w="1881"/>
          </w:tcPr>
          <w:p>
            <w:r>
              <w:rPr>
                <w:rFonts w:ascii="Meiryo UI" w:hAnsi="Meiryo UI"/>
                <w:sz w:val="18"/>
              </w:rPr>
              <w:t>+¥30</w:t>
            </w:r>
          </w:p>
        </w:tc>
        <w:tc>
          <w:tcPr>
            <w:tcW w:type="dxa" w:w="1881"/>
          </w:tcPr>
          <w:p>
            <w:r>
              <w:rPr>
                <w:rFonts w:ascii="Meiryo UI" w:hAnsi="Meiryo UI"/>
                <w:sz w:val="18"/>
              </w:rPr>
              <w:t>+2.1%</w:t>
            </w:r>
          </w:p>
        </w:tc>
      </w:tr>
      <w:tr>
        <w:tc>
          <w:tcPr>
            <w:tcW w:type="dxa" w:w="1881"/>
            <w:shd w:val="clear" w:color="auto" w:fill="DDEBF7"/>
          </w:tcPr>
          <w:p>
            <w:r>
              <w:rPr>
                <w:rFonts w:ascii="Meiryo UI" w:hAnsi="Meiryo UI"/>
                <w:sz w:val="18"/>
              </w:rPr>
              <w:t>USD/JPY</w:t>
            </w:r>
          </w:p>
        </w:tc>
        <w:tc>
          <w:tcPr>
            <w:tcW w:type="dxa" w:w="1881"/>
            <w:shd w:val="clear" w:color="auto" w:fill="DDEBF7"/>
          </w:tcPr>
          <w:p>
            <w:r>
              <w:rPr>
                <w:rFonts w:ascii="Meiryo UI" w:hAnsi="Meiryo UI"/>
                <w:sz w:val="18"/>
              </w:rPr>
              <w:t>円高+1%（159→157.4）</w:t>
            </w:r>
          </w:p>
        </w:tc>
        <w:tc>
          <w:tcPr>
            <w:tcW w:type="dxa" w:w="1881"/>
            <w:shd w:val="clear" w:color="auto" w:fill="DDEBF7"/>
          </w:tcPr>
          <w:p>
            <w:r>
              <w:rPr>
                <w:rFonts w:ascii="Meiryo UI" w:hAnsi="Meiryo UI"/>
                <w:sz w:val="18"/>
              </w:rPr>
              <w:t>+¥1.6/share（輸入コスト低下）</w:t>
            </w:r>
          </w:p>
        </w:tc>
        <w:tc>
          <w:tcPr>
            <w:tcW w:type="dxa" w:w="1881"/>
            <w:shd w:val="clear" w:color="auto" w:fill="DDEBF7"/>
          </w:tcPr>
          <w:p>
            <w:r>
              <w:rPr>
                <w:rFonts w:ascii="Meiryo UI" w:hAnsi="Meiryo UI"/>
                <w:sz w:val="18"/>
              </w:rPr>
              <w:t>+¥32</w:t>
            </w:r>
          </w:p>
        </w:tc>
        <w:tc>
          <w:tcPr>
            <w:tcW w:type="dxa" w:w="1881"/>
            <w:shd w:val="clear" w:color="auto" w:fill="DDEBF7"/>
          </w:tcPr>
          <w:p>
            <w:r>
              <w:rPr>
                <w:rFonts w:ascii="Meiryo UI" w:hAnsi="Meiryo UI"/>
                <w:sz w:val="18"/>
              </w:rPr>
              <w:t>+2.2%</w:t>
            </w:r>
          </w:p>
        </w:tc>
      </w:tr>
      <w:tr>
        <w:tc>
          <w:tcPr>
            <w:tcW w:type="dxa" w:w="1881"/>
          </w:tcPr>
          <w:p>
            <w:r>
              <w:rPr>
                <w:rFonts w:ascii="Meiryo UI" w:hAnsi="Meiryo UI"/>
                <w:sz w:val="18"/>
              </w:rPr>
              <w:t>割引率r</w:t>
            </w:r>
          </w:p>
        </w:tc>
        <w:tc>
          <w:tcPr>
            <w:tcW w:type="dxa" w:w="1881"/>
          </w:tcPr>
          <w:p>
            <w:r>
              <w:rPr>
                <w:rFonts w:ascii="Meiryo UI" w:hAnsi="Meiryo UI"/>
                <w:sz w:val="18"/>
              </w:rPr>
              <w:t>+0.5%pt（6.68→7.18%）</w:t>
            </w:r>
          </w:p>
        </w:tc>
        <w:tc>
          <w:tcPr>
            <w:tcW w:type="dxa" w:w="1881"/>
          </w:tcPr>
          <w:p>
            <w:r>
              <w:rPr>
                <w:rFonts w:ascii="Meiryo UI" w:hAnsi="Meiryo UI"/>
                <w:sz w:val="18"/>
              </w:rPr>
              <w:t>n/a</w:t>
            </w:r>
          </w:p>
        </w:tc>
        <w:tc>
          <w:tcPr>
            <w:tcW w:type="dxa" w:w="1881"/>
          </w:tcPr>
          <w:p>
            <w:r>
              <w:rPr>
                <w:rFonts w:ascii="Meiryo UI" w:hAnsi="Meiryo UI"/>
                <w:sz w:val="18"/>
              </w:rPr>
              <w:t>▲¥171</w:t>
            </w:r>
          </w:p>
        </w:tc>
        <w:tc>
          <w:tcPr>
            <w:tcW w:type="dxa" w:w="1881"/>
          </w:tcPr>
          <w:p>
            <w:r>
              <w:rPr>
                <w:rFonts w:ascii="Meiryo UI" w:hAnsi="Meiryo UI"/>
                <w:sz w:val="18"/>
              </w:rPr>
              <w:t>▲11.8%</w:t>
            </w:r>
          </w:p>
        </w:tc>
      </w:tr>
      <w:tr>
        <w:tc>
          <w:tcPr>
            <w:tcW w:type="dxa" w:w="1881"/>
            <w:shd w:val="clear" w:color="auto" w:fill="DDEBF7"/>
          </w:tcPr>
          <w:p>
            <w:r>
              <w:rPr>
                <w:rFonts w:ascii="Meiryo UI" w:hAnsi="Meiryo UI"/>
                <w:sz w:val="18"/>
              </w:rPr>
              <w:t>Beta</w:t>
            </w:r>
          </w:p>
        </w:tc>
        <w:tc>
          <w:tcPr>
            <w:tcW w:type="dxa" w:w="1881"/>
            <w:shd w:val="clear" w:color="auto" w:fill="DDEBF7"/>
          </w:tcPr>
          <w:p>
            <w:r>
              <w:rPr>
                <w:rFonts w:ascii="Meiryo UI" w:hAnsi="Meiryo UI"/>
                <w:sz w:val="18"/>
              </w:rPr>
              <w:t>+0.10（0.717→0.817）</w:t>
            </w:r>
          </w:p>
        </w:tc>
        <w:tc>
          <w:tcPr>
            <w:tcW w:type="dxa" w:w="1881"/>
            <w:shd w:val="clear" w:color="auto" w:fill="DDEBF7"/>
          </w:tcPr>
          <w:p>
            <w:r>
              <w:rPr>
                <w:rFonts w:ascii="Meiryo UI" w:hAnsi="Meiryo UI"/>
                <w:sz w:val="18"/>
              </w:rPr>
              <w:t>n/a</w:t>
            </w:r>
          </w:p>
        </w:tc>
        <w:tc>
          <w:tcPr>
            <w:tcW w:type="dxa" w:w="1881"/>
            <w:shd w:val="clear" w:color="auto" w:fill="DDEBF7"/>
          </w:tcPr>
          <w:p>
            <w:r>
              <w:rPr>
                <w:rFonts w:ascii="Meiryo UI" w:hAnsi="Meiryo UI"/>
                <w:sz w:val="18"/>
              </w:rPr>
              <w:t>▲¥103</w:t>
            </w:r>
          </w:p>
        </w:tc>
        <w:tc>
          <w:tcPr>
            <w:tcW w:type="dxa" w:w="1881"/>
            <w:shd w:val="clear" w:color="auto" w:fill="DDEBF7"/>
          </w:tcPr>
          <w:p>
            <w:r>
              <w:rPr>
                <w:rFonts w:ascii="Meiryo UI" w:hAnsi="Meiryo UI"/>
                <w:sz w:val="18"/>
              </w:rPr>
              <w:t>▲7.1%</w:t>
            </w:r>
          </w:p>
        </w:tc>
      </w:tr>
      <w:tr>
        <w:tc>
          <w:tcPr>
            <w:tcW w:type="dxa" w:w="1881"/>
          </w:tcPr>
          <w:p>
            <w:r>
              <w:rPr>
                <w:rFonts w:ascii="Meiryo UI" w:hAnsi="Meiryo UI"/>
                <w:sz w:val="18"/>
              </w:rPr>
              <w:t>EPS（FY26E）</w:t>
            </w:r>
          </w:p>
        </w:tc>
        <w:tc>
          <w:tcPr>
            <w:tcW w:type="dxa" w:w="1881"/>
          </w:tcPr>
          <w:p>
            <w:r>
              <w:rPr>
                <w:rFonts w:ascii="Meiryo UI" w:hAnsi="Meiryo UI"/>
                <w:sz w:val="18"/>
              </w:rPr>
              <w:t>+5%（¥82→¥86）</w:t>
            </w:r>
          </w:p>
        </w:tc>
        <w:tc>
          <w:tcPr>
            <w:tcW w:type="dxa" w:w="1881"/>
          </w:tcPr>
          <w:p>
            <w:r>
              <w:rPr>
                <w:rFonts w:ascii="Meiryo UI" w:hAnsi="Meiryo UI"/>
                <w:sz w:val="18"/>
              </w:rPr>
              <w:t>—</w:t>
            </w:r>
          </w:p>
        </w:tc>
        <w:tc>
          <w:tcPr>
            <w:tcW w:type="dxa" w:w="1881"/>
          </w:tcPr>
          <w:p>
            <w:r>
              <w:rPr>
                <w:rFonts w:ascii="Meiryo UI" w:hAnsi="Meiryo UI"/>
                <w:sz w:val="18"/>
              </w:rPr>
              <w:t>+¥73</w:t>
            </w:r>
          </w:p>
        </w:tc>
        <w:tc>
          <w:tcPr>
            <w:tcW w:type="dxa" w:w="1881"/>
          </w:tcPr>
          <w:p>
            <w:r>
              <w:rPr>
                <w:rFonts w:ascii="Meiryo UI" w:hAnsi="Meiryo UI"/>
                <w:sz w:val="18"/>
              </w:rPr>
              <w:t>+5.0%</w:t>
            </w:r>
          </w:p>
        </w:tc>
      </w:tr>
    </w:tbl>
    <w:p/>
    <w:p>
      <w:r>
        <w:rPr>
          <w:rFonts w:ascii="Meiryo UI" w:hAnsi="Meiryo UI"/>
          <w:sz w:val="20"/>
        </w:rPr>
        <w:t>&gt; 最大感応度は割引率。長期金利上昇（JGB2.38%→3%超）が最大リスク変数。</w:t>
      </w:r>
    </w:p>
    <w:p/>
    <w:p>
      <w:r>
        <w:t>──────────────────────────────────────────────────</w:t>
      </w:r>
    </w:p>
    <w:p/>
    <w:p>
      <w:pPr>
        <w:pStyle w:val="Heading2"/>
      </w:pPr>
      <w:r>
        <w:rPr>
          <w:rFonts w:ascii="Meiryo UI" w:hAnsi="Meiryo UI"/>
          <w:color w:val="2E74B5"/>
        </w:rPr>
        <w:t>リスクシナリオ定量</w:t>
      </w:r>
    </w:p>
    <w:p/>
    <w:p>
      <w:pPr>
        <w:pStyle w:val="Heading3"/>
      </w:pPr>
      <w:r>
        <w:rPr>
          <w:rFonts w:ascii="Meiryo UI" w:hAnsi="Meiryo UI"/>
          <w:color w:val="2E74B5"/>
        </w:rPr>
        <w:t>リスク①：中国調達×コンテナ運賃高騰（最重要）</w:t>
      </w:r>
    </w:p>
    <w:p>
      <w:pPr>
        <w:pStyle w:val="ListBullet"/>
      </w:pPr>
      <w:r>
        <w:rPr>
          <w:rFonts w:ascii="Meiryo UI" w:hAnsi="Meiryo UI"/>
          <w:sz w:val="20"/>
        </w:rPr>
        <w:t>現状：ホルムズ封鎖継続でコンテナ運賃2倍水準維持（BDI2,095、4/11時点）</w:t>
      </w:r>
    </w:p>
    <w:p>
      <w:pPr>
        <w:pStyle w:val="ListBullet"/>
      </w:pPr>
      <w:r>
        <w:rPr>
          <w:rFonts w:ascii="Meiryo UI" w:hAnsi="Meiryo UI"/>
          <w:sz w:val="20"/>
        </w:rPr>
        <w:t>仮定：FY08/26通期コスト増試算</w:t>
      </w:r>
    </w:p>
    <w:p>
      <w:pPr>
        <w:pStyle w:val="ListBullet"/>
      </w:pPr>
      <w:r>
        <w:rPr>
          <w:rFonts w:ascii="Meiryo UI" w:hAnsi="Meiryo UI"/>
          <w:sz w:val="20"/>
        </w:rPr>
        <w:t>輸入比率：売上¥30.2Bの想定仕入¥18B、うちアジア調達¥15B</w:t>
      </w:r>
    </w:p>
    <w:p>
      <w:pPr>
        <w:pStyle w:val="ListBullet"/>
      </w:pPr>
      <w:r>
        <w:rPr>
          <w:rFonts w:ascii="Meiryo UI" w:hAnsi="Meiryo UI"/>
          <w:sz w:val="20"/>
        </w:rPr>
        <w:t>運賃コスト10%増 → ¥150M増加 → OP▲¥150M → EPS▲¥2.0/share → FV▲¥40</w:t>
      </w:r>
    </w:p>
    <w:p>
      <w:pPr>
        <w:pStyle w:val="ListBullet"/>
      </w:pPr>
      <w:r>
        <w:rPr>
          <w:rFonts w:ascii="Meiryo UI" w:hAnsi="Meiryo UI"/>
          <w:sz w:val="20"/>
        </w:rPr>
        <w:t>FV下方修正額：▲¥40（▲2.8%）→ BUY判断は維持</w:t>
      </w:r>
    </w:p>
    <w:p/>
    <w:p>
      <w:pPr>
        <w:pStyle w:val="Heading3"/>
      </w:pPr>
      <w:r>
        <w:rPr>
          <w:rFonts w:ascii="Meiryo UI" w:hAnsi="Meiryo UI"/>
          <w:color w:val="2E74B5"/>
        </w:rPr>
        <w:t>リスク②：USD高止まり（FX未ヘッジ FY08/26）</w:t>
      </w:r>
    </w:p>
    <w:p>
      <w:pPr>
        <w:pStyle w:val="ListBullet"/>
      </w:pPr>
      <w:r>
        <w:rPr>
          <w:rFonts w:ascii="Meiryo UI" w:hAnsi="Meiryo UI"/>
          <w:sz w:val="20"/>
        </w:rPr>
        <w:t>現状：USD/JPY 159.0、FY08/27よりFX先物開始予定</w:t>
      </w:r>
    </w:p>
    <w:p>
      <w:pPr>
        <w:pStyle w:val="ListBullet"/>
      </w:pPr>
      <w:r>
        <w:rPr>
          <w:rFonts w:ascii="Meiryo UI" w:hAnsi="Meiryo UI"/>
          <w:sz w:val="20"/>
        </w:rPr>
        <w:t>仮定：USD/JPY 165（円安10%進行）</w:t>
      </w:r>
    </w:p>
    <w:p>
      <w:pPr>
        <w:pStyle w:val="ListBullet"/>
      </w:pPr>
      <w:r>
        <w:rPr>
          <w:rFonts w:ascii="Meiryo UI" w:hAnsi="Meiryo UI"/>
          <w:sz w:val="20"/>
        </w:rPr>
        <w:t>USD建て仕入¥15Bの10%増 → OP▲¥1.5B → EPS▲¥19.6 → FV▲¥392（▲27%）</w:t>
      </w:r>
    </w:p>
    <w:p>
      <w:pPr>
        <w:pStyle w:val="ListBullet"/>
      </w:pPr>
      <w:r>
        <w:rPr>
          <w:rFonts w:ascii="Meiryo UI" w:hAnsi="Meiryo UI"/>
          <w:sz w:val="20"/>
        </w:rPr>
        <w:t>BUY→HOLD転換トリガー：USD/JPY 165超が長期固定化する場合</w:t>
      </w:r>
    </w:p>
    <w:p>
      <w:pPr>
        <w:pStyle w:val="ListBullet"/>
      </w:pPr>
      <w:r>
        <w:rPr>
          <w:rFonts w:ascii="Meiryo UI" w:hAnsi="Meiryo UI"/>
          <w:sz w:val="20"/>
        </w:rPr>
        <w:t>FV下方修正額：▲¥392（最悪シナリオ、50%確率）→ ¥1,058</w:t>
      </w:r>
    </w:p>
    <w:p/>
    <w:p>
      <w:pPr>
        <w:pStyle w:val="Heading3"/>
      </w:pPr>
      <w:r>
        <w:rPr>
          <w:rFonts w:ascii="Meiryo UI" w:hAnsi="Meiryo UI"/>
          <w:color w:val="2E74B5"/>
        </w:rPr>
        <w:t>リスク③：D/E比率2.33x（財務リスク）</w:t>
      </w:r>
    </w:p>
    <w:p>
      <w:pPr>
        <w:pStyle w:val="ListBullet"/>
      </w:pPr>
      <w:r>
        <w:rPr>
          <w:rFonts w:ascii="Meiryo UI" w:hAnsi="Meiryo UI"/>
          <w:sz w:val="20"/>
        </w:rPr>
        <w:t>注意：yfinanceのD/Eは総負債/株主資本の可能性（実質有利子負債は低い可能性）</w:t>
      </w:r>
    </w:p>
    <w:p>
      <w:pPr>
        <w:pStyle w:val="ListBullet"/>
      </w:pPr>
      <w:r>
        <w:rPr>
          <w:rFonts w:ascii="Meiryo UI" w:hAnsi="Meiryo UI"/>
          <w:sz w:val="20"/>
        </w:rPr>
        <w:t>金利費用がOP→NI変換に大きく影響しない（FY25 NI/OP=73.7%は健全）</w:t>
      </w:r>
    </w:p>
    <w:p>
      <w:pPr>
        <w:pStyle w:val="ListBullet"/>
      </w:pPr>
      <w:r>
        <w:rPr>
          <w:rFonts w:ascii="Meiryo UI" w:hAnsi="Meiryo UI"/>
          <w:sz w:val="20"/>
        </w:rPr>
        <w:t>★IR問合せ要：有利子負債の実額と内訳（仕入れ債務との分離）</w:t>
      </w:r>
    </w:p>
    <w:p/>
    <w:p>
      <w:r>
        <w:t>──────────────────────────────────────────────────</w:t>
      </w:r>
    </w:p>
    <w:p/>
    <w:p>
      <w:pPr>
        <w:pStyle w:val="Heading2"/>
      </w:pPr>
      <w:r>
        <w:rPr>
          <w:rFonts w:ascii="Meiryo UI" w:hAnsi="Meiryo UI"/>
          <w:color w:val="2E74B5"/>
        </w:rPr>
        <w:t>IR質問状（竹村トレードカンパニー 名義）</w:t>
      </w:r>
    </w:p>
    <w:p/>
    <w:p>
      <w:pPr>
        <w:shd w:val="clear" w:color="auto" w:fill="F2F2F2"/>
      </w:pPr>
      <w:r>
        <w:rPr>
          <w:rFonts w:ascii="Courier New" w:hAnsi="Courier New"/>
          <w:sz w:val="16"/>
        </w:rPr>
        <w:t>件名：7818 トランザクション株式会社 IR照会（竹村トレードカンパニー）</w:t>
        <w:br/>
        <w:br/>
        <w:t>IR担当者様</w:t>
        <w:br/>
        <w:br/>
        <w:t>竹村トレードカンパニーの深井と申します。</w:t>
        <w:br/>
        <w:t>貴社株式を調査する中で以下の点についてご教示いただけますでしょうか。</w:t>
        <w:br/>
        <w:br/>
        <w:t>【Q1】2026年4月14日付の業績修正の内容についてお伺いします。</w:t>
        <w:br/>
        <w:t xml:space="preserve">　労務費増加が業績に与えた具体的な影響額（FY08/26 H1予想への修正幅）と、</w:t>
        <w:br/>
        <w:t xml:space="preserve">　それが中期経営計画（FY08/30 OP ¥9.5B）の達成見通しに変化を与えているかをご確認ください。</w:t>
        <w:br/>
        <w:br/>
        <w:t>【Q2】USD建て輸入コストへのFXヘッジについてお伺いします。</w:t>
        <w:br/>
        <w:t xml:space="preserve">　FY08/27よりFX先物ヘッジ開始とご説明いただいていますが、</w:t>
        <w:br/>
        <w:t xml:space="preserve">　FY08/26時点での未ヘッジUSD建て仕入額と、USD/JPY 160超継続時の</w:t>
        <w:br/>
        <w:t xml:space="preserve">　通期OP・EPS影響の感応度をご開示いただくことは可能でしょうか。</w:t>
        <w:br/>
        <w:br/>
        <w:t>【Q3】財務レバレッジについてお伺いします。</w:t>
        <w:br/>
        <w:t xml:space="preserve">　Debt/Equity比率2.33xは業種比較で高水準に見えますが、</w:t>
        <w:br/>
        <w:t xml:space="preserve">　これは有利子負債ベースなのか総負債（仕入れ債務含む）ベースなのか、</w:t>
        <w:br/>
        <w:t xml:space="preserve">　実質的な純有利子負債額と内訳をお聞かせください。</w:t>
        <w:br/>
        <w:br/>
        <w:t>【Q4】EC比率の向上ペースについてお伺いします。</w:t>
        <w:br/>
        <w:t xml:space="preserve">　FY08/25時点でEC比率28.3%ですが、中計FY08/30時点での目標EC比率、</w:t>
        <w:br/>
        <w:t xml:space="preserve">　およびプラットフォーム化（パートナー商品掲載・受託印刷）の</w:t>
        <w:br/>
        <w:t xml:space="preserve">　売上貢献が顕在化するタイミングをご教示ください。</w:t>
        <w:br/>
        <w:br/>
        <w:t>【Q5】エンタメセクターにおけるオンデマンド受注状況について。</w:t>
        <w:br/>
        <w:t xml:space="preserve">　Q3 FY08/24の一時的失速（反動落ち）の後、Q1 FY08/26でOP+18.3%と</w:t>
        <w:br/>
        <w:t xml:space="preserve">　強い回復を見せていますが、Q2以降（2026年1月〜）の受注残・予約状況</w:t>
        <w:br/>
        <w:t xml:space="preserve">　（定性的で構いません）の見通しをお聞かせください。</w:t>
        <w:br/>
        <w:br/>
        <w:t>以上、お手数ですがご確認をお願いいたします。</w:t>
        <w:br/>
        <w:t>竹村トレードカンパニー　深井</w:t>
      </w:r>
    </w:p>
    <w:p/>
    <w:p>
      <w:r>
        <w:t>──────────────────────────────────────────────────</w:t>
      </w:r>
    </w:p>
    <w:p/>
    <w:p>
      <w:pPr>
        <w:pStyle w:val="Heading2"/>
      </w:pPr>
      <w:r>
        <w:rPr>
          <w:rFonts w:ascii="Meiryo UI" w:hAnsi="Meiryo UI"/>
          <w:color w:val="2E74B5"/>
        </w:rPr>
        <w:t>投資判断まとめ</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判断</w:t>
            </w:r>
          </w:p>
        </w:tc>
        <w:tc>
          <w:tcPr>
            <w:tcW w:type="dxa" w:w="4703"/>
          </w:tcPr>
          <w:p>
            <w:r>
              <w:rPr>
                <w:rFonts w:ascii="Meiryo UI" w:hAnsi="Meiryo UI"/>
                <w:sz w:val="18"/>
              </w:rPr>
              <w:t>BUY</w:t>
            </w:r>
          </w:p>
        </w:tc>
      </w:tr>
      <w:tr>
        <w:tc>
          <w:tcPr>
            <w:tcW w:type="dxa" w:w="4703"/>
            <w:shd w:val="clear" w:color="auto" w:fill="DDEBF7"/>
          </w:tcPr>
          <w:p>
            <w:r>
              <w:rPr>
                <w:rFonts w:ascii="Meiryo UI" w:hAnsi="Meiryo UI"/>
                <w:sz w:val="18"/>
              </w:rPr>
              <w:t>FV</w:t>
            </w:r>
          </w:p>
        </w:tc>
        <w:tc>
          <w:tcPr>
            <w:tcW w:type="dxa" w:w="4703"/>
            <w:shd w:val="clear" w:color="auto" w:fill="DDEBF7"/>
          </w:tcPr>
          <w:p>
            <w:r>
              <w:rPr>
                <w:rFonts w:ascii="Meiryo UI" w:hAnsi="Meiryo UI"/>
                <w:sz w:val="18"/>
              </w:rPr>
              <w:t>¥1,450</w:t>
            </w:r>
          </w:p>
        </w:tc>
      </w:tr>
      <w:tr>
        <w:tc>
          <w:tcPr>
            <w:tcW w:type="dxa" w:w="4703"/>
          </w:tcPr>
          <w:p>
            <w:r>
              <w:rPr>
                <w:rFonts w:ascii="Meiryo UI" w:hAnsi="Meiryo UI"/>
                <w:sz w:val="18"/>
              </w:rPr>
              <w:t>現在株価</w:t>
            </w:r>
          </w:p>
        </w:tc>
        <w:tc>
          <w:tcPr>
            <w:tcW w:type="dxa" w:w="4703"/>
          </w:tcPr>
          <w:p>
            <w:r>
              <w:rPr>
                <w:rFonts w:ascii="Meiryo UI" w:hAnsi="Meiryo UI"/>
                <w:sz w:val="18"/>
              </w:rPr>
              <w:t>¥1,177</w:t>
            </w:r>
          </w:p>
        </w:tc>
      </w:tr>
      <w:tr>
        <w:tc>
          <w:tcPr>
            <w:tcW w:type="dxa" w:w="4703"/>
            <w:shd w:val="clear" w:color="auto" w:fill="DDEBF7"/>
          </w:tcPr>
          <w:p>
            <w:r>
              <w:rPr>
                <w:rFonts w:ascii="Meiryo UI" w:hAnsi="Meiryo UI"/>
                <w:sz w:val="18"/>
              </w:rPr>
              <w:t>Upside</w:t>
            </w:r>
          </w:p>
        </w:tc>
        <w:tc>
          <w:tcPr>
            <w:tcW w:type="dxa" w:w="4703"/>
            <w:shd w:val="clear" w:color="auto" w:fill="DDEBF7"/>
          </w:tcPr>
          <w:p>
            <w:r>
              <w:rPr>
                <w:rFonts w:ascii="Meiryo UI" w:hAnsi="Meiryo UI"/>
                <w:sz w:val="18"/>
              </w:rPr>
              <w:t>+23.2%</w:t>
            </w:r>
          </w:p>
        </w:tc>
      </w:tr>
      <w:tr>
        <w:tc>
          <w:tcPr>
            <w:tcW w:type="dxa" w:w="4703"/>
          </w:tcPr>
          <w:p>
            <w:r>
              <w:rPr>
                <w:rFonts w:ascii="Meiryo UI" w:hAnsi="Meiryo UI"/>
                <w:sz w:val="18"/>
              </w:rPr>
              <w:t>エントリーゾーン</w:t>
            </w:r>
          </w:p>
        </w:tc>
        <w:tc>
          <w:tcPr>
            <w:tcW w:type="dxa" w:w="4703"/>
          </w:tcPr>
          <w:p>
            <w:r>
              <w:rPr>
                <w:rFonts w:ascii="Meiryo UI" w:hAnsi="Meiryo UI"/>
                <w:sz w:val="18"/>
              </w:rPr>
              <w:t>¥1,050〜¥1,200</w:t>
            </w:r>
          </w:p>
        </w:tc>
      </w:tr>
      <w:tr>
        <w:tc>
          <w:tcPr>
            <w:tcW w:type="dxa" w:w="4703"/>
            <w:shd w:val="clear" w:color="auto" w:fill="DDEBF7"/>
          </w:tcPr>
          <w:p>
            <w:r>
              <w:rPr>
                <w:rFonts w:ascii="Meiryo UI" w:hAnsi="Meiryo UI"/>
                <w:sz w:val="18"/>
              </w:rPr>
              <w:t>損切りライン</w:t>
            </w:r>
          </w:p>
        </w:tc>
        <w:tc>
          <w:tcPr>
            <w:tcW w:type="dxa" w:w="4703"/>
            <w:shd w:val="clear" w:color="auto" w:fill="DDEBF7"/>
          </w:tcPr>
          <w:p>
            <w:r>
              <w:rPr>
                <w:rFonts w:ascii="Meiryo UI" w:hAnsi="Meiryo UI"/>
                <w:sz w:val="18"/>
              </w:rPr>
              <w:t>¥1,050割れ（FV Bear ¥850を超える下落加速時）</w:t>
            </w:r>
          </w:p>
        </w:tc>
      </w:tr>
      <w:tr>
        <w:tc>
          <w:tcPr>
            <w:tcW w:type="dxa" w:w="4703"/>
          </w:tcPr>
          <w:p>
            <w:r>
              <w:rPr>
                <w:rFonts w:ascii="Meiryo UI" w:hAnsi="Meiryo UI"/>
                <w:sz w:val="18"/>
              </w:rPr>
              <w:t>カタリスト</w:t>
            </w:r>
          </w:p>
        </w:tc>
        <w:tc>
          <w:tcPr>
            <w:tcW w:type="dxa" w:w="4703"/>
          </w:tcPr>
          <w:p>
            <w:r>
              <w:rPr>
                <w:rFonts w:ascii="Meiryo UI" w:hAnsi="Meiryo UI"/>
                <w:sz w:val="18"/>
              </w:rPr>
              <w:t>①FY08/26 2Q決算発表（2026年4月前後）②いちよし追加上方修正 ③EC比率上昇の四半期実績</w:t>
            </w:r>
          </w:p>
        </w:tc>
      </w:tr>
      <w:tr>
        <w:tc>
          <w:tcPr>
            <w:tcW w:type="dxa" w:w="4703"/>
            <w:shd w:val="clear" w:color="auto" w:fill="DDEBF7"/>
          </w:tcPr>
          <w:p>
            <w:r>
              <w:rPr>
                <w:rFonts w:ascii="Meiryo UI" w:hAnsi="Meiryo UI"/>
                <w:sz w:val="18"/>
              </w:rPr>
              <w:t>モニタリング</w:t>
            </w:r>
          </w:p>
        </w:tc>
        <w:tc>
          <w:tcPr>
            <w:tcW w:type="dxa" w:w="4703"/>
            <w:shd w:val="clear" w:color="auto" w:fill="DDEBF7"/>
          </w:tcPr>
          <w:p>
            <w:r>
              <w:rPr>
                <w:rFonts w:ascii="Meiryo UI" w:hAnsi="Meiryo UI"/>
                <w:sz w:val="18"/>
              </w:rPr>
              <w:t>USD/JPY動向・コンテナ運賃・4/14業績修正の内容詳細確認</w:t>
            </w:r>
          </w:p>
        </w:tc>
      </w:tr>
    </w:tbl>
    <w:p/>
    <w:p>
      <w:r>
        <w:rPr>
          <w:rFonts w:ascii="Meiryo UI" w:hAnsi="Meiryo UI"/>
          <w:sz w:val="20"/>
        </w:rPr>
        <w:t>&gt; 提供分析との差異：提供分析はr=10%を使用したが、Beta=0.717の低感応度株にはr=6.682%が適切。これによりFVは提供分析の¥1,600〜¥1,700（楽観）より保守的な¥1,450に収斂しつつも、同社の「コンサバ見通し¥1,200」より有意に高い水準となる。現在株価¥1,177は明確に割安圏。</w:t>
      </w:r>
    </w:p>
    <w:p/>
    <w:p>
      <w:r>
        <w:t>──────────────────────────────────────────────────</w:t>
      </w:r>
    </w:p>
    <w:p/>
    <w:p>
      <w:r>
        <w:rPr>
          <w:rFonts w:ascii="Meiryo UI" w:hAnsi="Meiryo UI"/>
          <w:sz w:val="20"/>
        </w:rPr>
        <w:t>Deep Research作成：深井 / 2026-04-21 / 竹村トレードカンパニー</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