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【10秒サマリー】</w:t>
      </w:r>
    </w:p>
    <w:p/>
    <w:p/>
    <w:p>
      <w:pPr>
        <w:jc w:val="center"/>
      </w:pPr>
      <w:r>
        <w:rPr>
          <w:rFonts w:ascii="Meiryo UI" w:hAnsi="Meiryo UI"/>
          <w:sz w:val="24"/>
        </w:rPr>
        <w:t>アナリスト：深井</w:t>
      </w:r>
    </w:p>
    <w:p>
      <w:pPr>
        <w:jc w:val="center"/>
      </w:pPr>
      <w:r>
        <w:rPr>
          <w:rFonts w:ascii="Meiryo UI" w:hAnsi="Meiryo UI"/>
          <w:sz w:val="24"/>
        </w:rPr>
        <w:t>分析日：2026年04月22日</w:t>
      </w:r>
    </w:p>
    <w:p>
      <w:r>
        <w:br w:type="page"/>
      </w:r>
    </w:p>
    <w:p>
      <w:pPr>
        <w:pStyle w:val="Heading1"/>
      </w:pPr>
      <w:r>
        <w:rPr>
          <w:rFonts w:ascii="Meiryo UI" w:hAnsi="Meiryo UI"/>
          <w:color w:val="1F3864"/>
        </w:rPr>
        <w:t>【10秒サマリー】</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HOLD / 買い検討域（監視強化）</w:t>
            </w:r>
          </w:p>
        </w:tc>
      </w:tr>
      <w:tr>
        <w:tc>
          <w:tcPr>
            <w:tcW w:type="dxa" w:w="4703"/>
            <w:shd w:val="clear" w:color="auto" w:fill="DDEBF7"/>
          </w:tcPr>
          <w:p>
            <w:r>
              <w:rPr>
                <w:rFonts w:ascii="Meiryo UI" w:hAnsi="Meiryo UI"/>
                <w:sz w:val="18"/>
              </w:rPr>
              <w:t>TP</w:t>
            </w:r>
          </w:p>
        </w:tc>
        <w:tc>
          <w:tcPr>
            <w:tcW w:type="dxa" w:w="4703"/>
            <w:shd w:val="clear" w:color="auto" w:fill="DDEBF7"/>
          </w:tcPr>
          <w:p>
            <w:r>
              <w:rPr>
                <w:rFonts w:ascii="Meiryo UI" w:hAnsi="Meiryo UI"/>
                <w:sz w:val="18"/>
              </w:rPr>
              <w:t>¥5,200（12Mターゲット）</w:t>
            </w:r>
          </w:p>
        </w:tc>
      </w:tr>
      <w:tr>
        <w:tc>
          <w:tcPr>
            <w:tcW w:type="dxa" w:w="4703"/>
          </w:tcPr>
          <w:p>
            <w:r>
              <w:rPr>
                <w:rFonts w:ascii="Meiryo UI" w:hAnsi="Meiryo UI"/>
                <w:sz w:val="18"/>
              </w:rPr>
              <w:t>現在値</w:t>
            </w:r>
          </w:p>
        </w:tc>
        <w:tc>
          <w:tcPr>
            <w:tcW w:type="dxa" w:w="4703"/>
          </w:tcPr>
          <w:p>
            <w:r>
              <w:rPr>
                <w:rFonts w:ascii="Meiryo UI" w:hAnsi="Meiryo UI"/>
                <w:sz w:val="18"/>
              </w:rPr>
              <w:t>¥4,483（2026-04-22）</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PBR 0.96x ≒ 簿価近傍でダウンサイド限定的</w:t>
            </w:r>
          </w:p>
        </w:tc>
      </w:tr>
      <w:tr>
        <w:tc>
          <w:tcPr>
            <w:tcW w:type="dxa" w:w="4703"/>
          </w:tcPr>
          <w:p>
            <w:r>
              <w:rPr>
                <w:rFonts w:ascii="Meiryo UI" w:hAnsi="Meiryo UI"/>
                <w:sz w:val="18"/>
              </w:rPr>
              <w:t>3弾丸</w:t>
            </w:r>
          </w:p>
        </w:tc>
        <w:tc>
          <w:tcPr>
            <w:tcW w:type="dxa" w:w="4703"/>
          </w:tcPr>
          <w:p>
            <w:r>
              <w:rPr>
                <w:rFonts w:ascii="Meiryo UI" w:hAnsi="Meiryo UI"/>
                <w:sz w:val="18"/>
              </w:rPr>
              <w:t>①FY2026 EPS▲19.7%は「見かけ上」──Tekscend分離の一時要因 ②FC-BGA基板：AI需要で高成長、FY2027に業績反転 ③PBR 0.96x・アナリストTP平均¥6,020（乖離+34%）で逆張り余地</w:t>
            </w:r>
          </w:p>
        </w:tc>
      </w:tr>
      <w:tr>
        <w:tc>
          <w:tcPr>
            <w:tcW w:type="dxa" w:w="4703"/>
            <w:shd w:val="clear" w:color="auto" w:fill="DDEBF7"/>
          </w:tcPr>
          <w:p>
            <w:r>
              <w:rPr>
                <w:rFonts w:ascii="Meiryo UI" w:hAnsi="Meiryo UI"/>
                <w:sz w:val="18"/>
              </w:rPr>
              <w:t>最大リスク</w:t>
            </w:r>
          </w:p>
        </w:tc>
        <w:tc>
          <w:tcPr>
            <w:tcW w:type="dxa" w:w="4703"/>
            <w:shd w:val="clear" w:color="auto" w:fill="DDEBF7"/>
          </w:tcPr>
          <w:p>
            <w:r>
              <w:rPr>
                <w:rFonts w:ascii="Meiryo UI" w:hAnsi="Meiryo UI"/>
                <w:sz w:val="18"/>
              </w:rPr>
              <w:t>印刷本業の構造縮小が加速し転換コストが膨張するシナリオ</w:t>
            </w:r>
          </w:p>
        </w:tc>
      </w:tr>
      <w:tr>
        <w:tc>
          <w:tcPr>
            <w:tcW w:type="dxa" w:w="4703"/>
          </w:tcPr>
          <w:p>
            <w:r>
              <w:rPr>
                <w:rFonts w:ascii="Meiryo UI" w:hAnsi="Meiryo UI"/>
                <w:sz w:val="18"/>
              </w:rPr>
              <w:t>推奨アクション</w:t>
            </w:r>
          </w:p>
        </w:tc>
        <w:tc>
          <w:tcPr>
            <w:tcW w:type="dxa" w:w="4703"/>
          </w:tcPr>
          <w:p>
            <w:r>
              <w:rPr>
                <w:rFonts w:ascii="Meiryo UI" w:hAnsi="Meiryo UI"/>
                <w:sz w:val="18"/>
              </w:rPr>
              <w:t>現値エントリー見送り。5月中旬FY2026/3決算発表でFY2027ガイダンス確認後に再判断。¥4,100前後（PBR0.88x）まで押し目形成なら打診買い検討</w:t>
            </w:r>
          </w:p>
        </w:tc>
      </w:tr>
    </w:tbl>
    <w:p/>
    <w:p>
      <w:r>
        <w:t>──────────────────────────────────────────────────</w:t>
      </w:r>
    </w:p>
    <w:p/>
    <w:p>
      <w:pPr>
        <w:pStyle w:val="Heading1"/>
      </w:pPr>
      <w:r>
        <w:rPr>
          <w:rFonts w:ascii="Meiryo UI" w:hAnsi="Meiryo UI"/>
          <w:color w:val="1F3864"/>
        </w:rPr>
        <w:t>TOPPANホールディングス（7911）Deep Research</w:t>
      </w:r>
    </w:p>
    <w:p>
      <w:r>
        <w:rPr>
          <w:rFonts w:ascii="Meiryo UI" w:hAnsi="Meiryo UI"/>
          <w:sz w:val="20"/>
        </w:rPr>
        <w:t>作成：深井 / 2026-04-22</w:t>
      </w:r>
    </w:p>
    <w:p/>
    <w:p>
      <w:r>
        <w:t>──────────────────────────────────────────────────</w:t>
      </w:r>
    </w:p>
    <w:p/>
    <w:p>
      <w:pPr>
        <w:pStyle w:val="Heading2"/>
      </w:pPr>
      <w:r>
        <w:rPr>
          <w:rFonts w:ascii="Meiryo UI" w:hAnsi="Meiryo UI"/>
          <w:color w:val="2E74B5"/>
        </w:rPr>
        <w:t>IRコンタクト先</w:t>
      </w:r>
    </w:p>
    <w:p>
      <w:pPr>
        <w:pStyle w:val="ListBullet"/>
      </w:pPr>
      <w:r>
        <w:rPr>
          <w:rFonts w:ascii="Meiryo UI" w:hAnsi="Meiryo UI"/>
          <w:sz w:val="20"/>
        </w:rPr>
        <w:t>IR公式URL: https://www.holdings.toppan.com/ja/ir/</w:t>
      </w:r>
    </w:p>
    <w:p>
      <w:pPr>
        <w:pStyle w:val="ListBullet"/>
      </w:pPr>
      <w:r>
        <w:rPr>
          <w:rFonts w:ascii="Meiryo UI" w:hAnsi="Meiryo UI"/>
          <w:sz w:val="20"/>
        </w:rPr>
        <w:t>IR連絡先: ir_info@holdings.toppan.com（TOPPANホールディングス株式会社 IR室）</w:t>
      </w:r>
    </w:p>
    <w:p>
      <w:pPr>
        <w:pStyle w:val="ListBullet"/>
      </w:pPr>
      <w:r>
        <w:rPr>
          <w:rFonts w:ascii="Meiryo UI" w:hAnsi="Meiryo UI"/>
          <w:sz w:val="20"/>
        </w:rPr>
        <w:t>決算発表予定: 2026年5月中旬（FY2026/3期 本決算）</w:t>
      </w:r>
    </w:p>
    <w:p/>
    <w:p>
      <w:r>
        <w:t>──────────────────────────────────────────────────</w:t>
      </w:r>
    </w:p>
    <w:p/>
    <w:p>
      <w:pPr>
        <w:pStyle w:val="Heading2"/>
      </w:pPr>
      <w:r>
        <w:rPr>
          <w:rFonts w:ascii="Meiryo UI" w:hAnsi="Meiryo UI"/>
          <w:color w:val="2E74B5"/>
        </w:rPr>
        <w:t>Ⅰ．なぜここまで売られるのか──売却理由の完全解剖</w:t>
      </w:r>
    </w:p>
    <w:p/>
    <w:p>
      <w:pPr>
        <w:pStyle w:val="Heading3"/>
      </w:pPr>
      <w:r>
        <w:rPr>
          <w:rFonts w:ascii="Meiryo UI" w:hAnsi="Meiryo UI"/>
          <w:color w:val="2E74B5"/>
        </w:rPr>
        <w:t>株価トレンド</w:t>
      </w:r>
    </w:p>
    <w:p>
      <w:pPr>
        <w:pStyle w:val="ListBullet"/>
      </w:pPr>
      <w:r>
        <w:rPr>
          <w:rFonts w:ascii="Meiryo UI" w:hAnsi="Meiryo UI"/>
          <w:sz w:val="20"/>
        </w:rPr>
        <w:t>6ヶ月ピーク: ¥5,787（2026-03-02）</w:t>
      </w:r>
    </w:p>
    <w:p>
      <w:pPr>
        <w:pStyle w:val="ListBullet"/>
      </w:pPr>
      <w:r>
        <w:rPr>
          <w:rFonts w:ascii="Meiryo UI" w:hAnsi="Meiryo UI"/>
          <w:sz w:val="20"/>
        </w:rPr>
        <w:t>現在値: ¥4,483（▲22.5%）</w:t>
      </w:r>
    </w:p>
    <w:p>
      <w:pPr>
        <w:pStyle w:val="ListBullet"/>
      </w:pPr>
      <w:r>
        <w:rPr>
          <w:rFonts w:ascii="Meiryo UI" w:hAnsi="Meiryo UI"/>
          <w:sz w:val="20"/>
        </w:rPr>
        <w:t>52週レンジ: ¥3,532〜¥5,928、現在は高値から▲24.4%</w:t>
      </w:r>
    </w:p>
    <w:p>
      <w:pPr>
        <w:pStyle w:val="ListBullet"/>
      </w:pPr>
      <w:r>
        <w:rPr>
          <w:rFonts w:ascii="Meiryo UI" w:hAnsi="Meiryo UI"/>
          <w:sz w:val="20"/>
        </w:rPr>
        <w:t>MA25乖離: ▲1.0%（MA75比では▲5.2%の中期下降圧力）</w:t>
      </w:r>
    </w:p>
    <w:p>
      <w:pPr>
        <w:pStyle w:val="ListBullet"/>
      </w:pPr>
      <w:r>
        <w:rPr>
          <w:rFonts w:ascii="Meiryo UI" w:hAnsi="Meiryo UI"/>
          <w:sz w:val="20"/>
        </w:rPr>
        <w:t>比較対照: 競合7912 大日本印刷は同期間▲9.8%。凸版の下落は際立って大きい</w:t>
      </w:r>
    </w:p>
    <w:p/>
    <w:p>
      <w:pPr>
        <w:pStyle w:val="Heading3"/>
      </w:pPr>
      <w:r>
        <w:rPr>
          <w:rFonts w:ascii="Meiryo UI" w:hAnsi="Meiryo UI"/>
          <w:color w:val="2E74B5"/>
        </w:rPr>
        <w:t>売却理由 ①【最大インパクト】FY2026 OP ガイダンス下方修正</w:t>
      </w:r>
    </w:p>
    <w:p/>
    <w:p>
      <w:r>
        <w:rPr>
          <w:rFonts w:ascii="Meiryo UI" w:hAnsi="Meiryo UI"/>
          <w:sz w:val="20"/>
        </w:rPr>
        <w:t>会社はFY2026通期OP利益を¥790億→¥700億（▲11.4%）に修正。前期実績¥841億比では▲16.8%の大幅減益見通し。主因は情報コミュニケーション部門（紙媒体・DM・メディア制作）の需要縮小が想定を超えた速度で進行したこと。EC化・デジタルシフトの加速により、同部門の売上が慢性的マイナス成長に突入している。</w:t>
      </w:r>
    </w:p>
    <w:p/>
    <w:p>
      <w:pPr>
        <w:pStyle w:val="Heading3"/>
      </w:pPr>
      <w:r>
        <w:rPr>
          <w:rFonts w:ascii="Meiryo UI" w:hAnsi="Meiryo UI"/>
          <w:color w:val="2E74B5"/>
        </w:rPr>
        <w:t>売却理由 ②【構造要因】Tekscend Photomask 分離──高利益率子会社の連結離脱</w:t>
      </w:r>
    </w:p>
    <w:p/>
    <w:p>
      <w:r>
        <w:rPr>
          <w:rFonts w:ascii="Meiryo UI" w:hAnsi="Meiryo UI"/>
          <w:sz w:val="20"/>
        </w:rPr>
        <w:t>凸版の稼ぎ頭の一つ、半導体フォトマスク世界シェア1位のTekscend Photomaskが2025年10月に東証プライム市場に単独上場。連結子会社から持分法適用会社へ変更となり、高マージンのフォトマスク利益が連結決算から外れた。これは実態的な事業価値の喪失ではなく「会計上の離脱」であるが、連結EPS上は大きなマイナスとして表出。</w:t>
      </w:r>
    </w:p>
    <w:p/>
    <w:p>
      <w:r>
        <w:rPr>
          <w:rFonts w:ascii="Meiryo UI" w:hAnsi="Meiryo UI"/>
          <w:sz w:val="20"/>
        </w:rPr>
        <w:t>結果として：</w:t>
      </w:r>
    </w:p>
    <w:p>
      <w:pPr>
        <w:pStyle w:val="ListBullet"/>
      </w:pPr>
      <w:r>
        <w:rPr>
          <w:rFonts w:ascii="Meiryo UI" w:hAnsi="Meiryo UI"/>
          <w:sz w:val="20"/>
        </w:rPr>
        <w:t>FY2025 EPS ¥309 → FY2026E EPS ¥248（▲¥61、▲19.7%）</w:t>
      </w:r>
    </w:p>
    <w:p>
      <w:pPr>
        <w:pStyle w:val="ListBullet"/>
      </w:pPr>
      <w:r>
        <w:rPr>
          <w:rFonts w:ascii="Meiryo UI" w:hAnsi="Meiryo UI"/>
          <w:sz w:val="20"/>
        </w:rPr>
        <w:t>市場は「企業体力の低下」と誤読してパニック売りを誘発</w:t>
      </w:r>
    </w:p>
    <w:p/>
    <w:p>
      <w:pPr>
        <w:pStyle w:val="Heading3"/>
      </w:pPr>
      <w:r>
        <w:rPr>
          <w:rFonts w:ascii="Meiryo UI" w:hAnsi="Meiryo UI"/>
          <w:color w:val="2E74B5"/>
        </w:rPr>
        <w:t>売却理由 ③【資金懸念】CAPEX ¥1,437億でFCF ▲¥789億（マイナス転落）</w:t>
      </w:r>
    </w:p>
    <w:p/>
    <w:p>
      <w:r>
        <w:rPr>
          <w:rFonts w:ascii="Meiryo UI" w:hAnsi="Meiryo UI"/>
          <w:sz w:val="20"/>
        </w:rPr>
        <w:t>半導体パッケージ基板（FC-BGA）への大型投資が進行中。FY2025実績：</w:t>
      </w:r>
    </w:p>
    <w:p>
      <w:pPr>
        <w:pStyle w:val="ListBullet"/>
      </w:pPr>
      <w:r>
        <w:rPr>
          <w:rFonts w:ascii="Meiryo UI" w:hAnsi="Meiryo UI"/>
          <w:sz w:val="20"/>
        </w:rPr>
        <w:t>CAPEX: ¥1,437億</w:t>
      </w:r>
    </w:p>
    <w:p>
      <w:pPr>
        <w:pStyle w:val="ListBullet"/>
      </w:pPr>
      <w:r>
        <w:rPr>
          <w:rFonts w:ascii="Meiryo UI" w:hAnsi="Meiryo UI"/>
          <w:sz w:val="20"/>
        </w:rPr>
        <w:t>フリーキャッシュフロー: ▲¥789億（前期+¥552億から急悪化）</w:t>
      </w:r>
    </w:p>
    <w:p/>
    <w:p>
      <w:r>
        <w:rPr>
          <w:rFonts w:ascii="Meiryo UI" w:hAnsi="Meiryo UI"/>
          <w:sz w:val="20"/>
        </w:rPr>
        <w:t>「稼ぎが出ていないのに借金して設備投資している」という印象を与え、特に個人投資家・クオンツファンドの売りを誘発したとみられる。</w:t>
      </w:r>
    </w:p>
    <w:p/>
    <w:p>
      <w:pPr>
        <w:pStyle w:val="Heading3"/>
      </w:pPr>
      <w:r>
        <w:rPr>
          <w:rFonts w:ascii="Meiryo UI" w:hAnsi="Meiryo UI"/>
          <w:color w:val="2E74B5"/>
        </w:rPr>
        <w:t>売却理由 ④【バリュエーション】ROE 5.5%──資本コスト未達</w:t>
      </w:r>
    </w:p>
    <w:p/>
    <w:p>
      <w:r>
        <w:rPr>
          <w:rFonts w:ascii="Meiryo UI" w:hAnsi="Meiryo UI"/>
          <w:sz w:val="20"/>
        </w:rPr>
        <w:t>WACC推定7.5〜8.5%に対しROE 5.5%は明確に資本コストを下回る。PBR 0.96倍がこれを反映しており、アクティビストの介入余地を意識した売りも含まれた可能性がある。</w:t>
      </w:r>
    </w:p>
    <w:p/>
    <w:p>
      <w:pPr>
        <w:pStyle w:val="Heading3"/>
      </w:pPr>
      <w:r>
        <w:rPr>
          <w:rFonts w:ascii="Meiryo UI" w:hAnsi="Meiryo UI"/>
          <w:color w:val="2E74B5"/>
        </w:rPr>
        <w:t>売却理由 ⑤【マクロ】円高への感応度</w:t>
      </w:r>
    </w:p>
    <w:p/>
    <w:p>
      <w:r>
        <w:rPr>
          <w:rFonts w:ascii="Meiryo UI" w:hAnsi="Meiryo UI"/>
          <w:sz w:val="20"/>
        </w:rPr>
        <w:t>2026年初来の円高進行（USD/JPY 160→152方向）が、凸版の海外セキュリティ・グローバル事業の円換算収益を圧迫するとの懸念。ただし凸版は内需主体の事業構造であり、直接的な為替感応度は同業他社と比較して低い。</w:t>
      </w:r>
    </w:p>
    <w:p/>
    <w:p>
      <w:r>
        <w:t>──────────────────────────────────────────────────</w:t>
      </w:r>
    </w:p>
    <w:p/>
    <w:p>
      <w:pPr>
        <w:pStyle w:val="Heading2"/>
      </w:pPr>
      <w:r>
        <w:rPr>
          <w:rFonts w:ascii="Meiryo UI" w:hAnsi="Meiryo UI"/>
          <w:color w:val="2E74B5"/>
        </w:rPr>
        <w:t>Ⅱ．事業セグメント分析</w:t>
      </w:r>
    </w:p>
    <w:p/>
    <w:p>
      <w:pPr>
        <w:pStyle w:val="Heading3"/>
      </w:pPr>
      <w:r>
        <w:rPr>
          <w:rFonts w:ascii="Meiryo UI" w:hAnsi="Meiryo UI"/>
          <w:color w:val="2E74B5"/>
        </w:rPr>
        <w:t>セグメント構成（FY2025推計）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売上規模</w:t>
            </w:r>
          </w:p>
        </w:tc>
        <w:tc>
          <w:tcPr>
            <w:tcW w:type="dxa" w:w="1881"/>
            <w:shd w:val="clear" w:color="auto" w:fill="2E74B5"/>
          </w:tcPr>
          <w:p>
            <w:r>
              <w:rPr>
                <w:rFonts w:ascii="Meiryo UI" w:hAnsi="Meiryo UI"/>
                <w:b/>
                <w:color w:val="FFFFFF"/>
                <w:sz w:val="18"/>
              </w:rPr>
              <w:t>OP率</w:t>
            </w:r>
          </w:p>
        </w:tc>
        <w:tc>
          <w:tcPr>
            <w:tcW w:type="dxa" w:w="1881"/>
            <w:shd w:val="clear" w:color="auto" w:fill="2E74B5"/>
          </w:tcPr>
          <w:p>
            <w:r>
              <w:rPr>
                <w:rFonts w:ascii="Meiryo UI" w:hAnsi="Meiryo UI"/>
                <w:b/>
                <w:color w:val="FFFFFF"/>
                <w:sz w:val="18"/>
              </w:rPr>
              <w:t>成長方向</w:t>
            </w:r>
          </w:p>
        </w:tc>
        <w:tc>
          <w:tcPr>
            <w:tcW w:type="dxa" w:w="1881"/>
            <w:shd w:val="clear" w:color="auto" w:fill="2E74B5"/>
          </w:tcPr>
          <w:p>
            <w:r>
              <w:rPr>
                <w:rFonts w:ascii="Meiryo UI" w:hAnsi="Meiryo UI"/>
                <w:b/>
                <w:color w:val="FFFFFF"/>
                <w:sz w:val="18"/>
              </w:rPr>
              <w:t>評価</w:t>
            </w:r>
          </w:p>
        </w:tc>
      </w:tr>
      <w:tr>
        <w:tc>
          <w:tcPr>
            <w:tcW w:type="dxa" w:w="1881"/>
          </w:tcPr>
          <w:p>
            <w:r>
              <w:rPr>
                <w:rFonts w:ascii="Meiryo UI" w:hAnsi="Meiryo UI"/>
                <w:sz w:val="18"/>
              </w:rPr>
              <w:t>情報コミュニケーション（BPO/セキュリティ/DX）</w:t>
            </w:r>
          </w:p>
        </w:tc>
        <w:tc>
          <w:tcPr>
            <w:tcW w:type="dxa" w:w="1881"/>
          </w:tcPr>
          <w:p>
            <w:r>
              <w:rPr>
                <w:rFonts w:ascii="Meiryo UI" w:hAnsi="Meiryo UI"/>
                <w:sz w:val="18"/>
              </w:rPr>
              <w:t>¥6,300億</w:t>
            </w:r>
          </w:p>
        </w:tc>
        <w:tc>
          <w:tcPr>
            <w:tcW w:type="dxa" w:w="1881"/>
          </w:tcPr>
          <w:p>
            <w:r>
              <w:rPr>
                <w:rFonts w:ascii="Meiryo UI" w:hAnsi="Meiryo UI"/>
                <w:sz w:val="18"/>
              </w:rPr>
              <w:t>5.0%</w:t>
            </w:r>
          </w:p>
        </w:tc>
        <w:tc>
          <w:tcPr>
            <w:tcW w:type="dxa" w:w="1881"/>
          </w:tcPr>
          <w:p>
            <w:r>
              <w:rPr>
                <w:rFonts w:ascii="Meiryo UI" w:hAnsi="Meiryo UI"/>
                <w:sz w:val="18"/>
              </w:rPr>
              <w:t>▲3%/年（構造縮小）</w:t>
            </w:r>
          </w:p>
        </w:tc>
        <w:tc>
          <w:tcPr>
            <w:tcW w:type="dxa" w:w="1881"/>
          </w:tcPr>
          <w:p>
            <w:r>
              <w:rPr>
                <w:rFonts w:ascii="Meiryo UI" w:hAnsi="Meiryo UI"/>
                <w:sz w:val="18"/>
              </w:rPr>
              <w:t>ネガティブ</w:t>
            </w:r>
          </w:p>
        </w:tc>
      </w:tr>
      <w:tr>
        <w:tc>
          <w:tcPr>
            <w:tcW w:type="dxa" w:w="1881"/>
            <w:shd w:val="clear" w:color="auto" w:fill="DDEBF7"/>
          </w:tcPr>
          <w:p>
            <w:r>
              <w:rPr>
                <w:rFonts w:ascii="Meiryo UI" w:hAnsi="Meiryo UI"/>
                <w:sz w:val="18"/>
              </w:rPr>
              <w:t>生活環境（食品包材/機能フィルム）</w:t>
            </w:r>
          </w:p>
        </w:tc>
        <w:tc>
          <w:tcPr>
            <w:tcW w:type="dxa" w:w="1881"/>
            <w:shd w:val="clear" w:color="auto" w:fill="DDEBF7"/>
          </w:tcPr>
          <w:p>
            <w:r>
              <w:rPr>
                <w:rFonts w:ascii="Meiryo UI" w:hAnsi="Meiryo UI"/>
                <w:sz w:val="18"/>
              </w:rPr>
              <w:t>¥5,900億</w:t>
            </w:r>
          </w:p>
        </w:tc>
        <w:tc>
          <w:tcPr>
            <w:tcW w:type="dxa" w:w="1881"/>
            <w:shd w:val="clear" w:color="auto" w:fill="DDEBF7"/>
          </w:tcPr>
          <w:p>
            <w:r>
              <w:rPr>
                <w:rFonts w:ascii="Meiryo UI" w:hAnsi="Meiryo UI"/>
                <w:sz w:val="18"/>
              </w:rPr>
              <w:t>5.5%</w:t>
            </w:r>
          </w:p>
        </w:tc>
        <w:tc>
          <w:tcPr>
            <w:tcW w:type="dxa" w:w="1881"/>
            <w:shd w:val="clear" w:color="auto" w:fill="DDEBF7"/>
          </w:tcPr>
          <w:p>
            <w:r>
              <w:rPr>
                <w:rFonts w:ascii="Meiryo UI" w:hAnsi="Meiryo UI"/>
                <w:sz w:val="18"/>
              </w:rPr>
              <w:t>+2%/年（安定）</w:t>
            </w:r>
          </w:p>
        </w:tc>
        <w:tc>
          <w:tcPr>
            <w:tcW w:type="dxa" w:w="1881"/>
            <w:shd w:val="clear" w:color="auto" w:fill="DDEBF7"/>
          </w:tcPr>
          <w:p>
            <w:r>
              <w:rPr>
                <w:rFonts w:ascii="Meiryo UI" w:hAnsi="Meiryo UI"/>
                <w:sz w:val="18"/>
              </w:rPr>
              <w:t>中立</w:t>
            </w:r>
          </w:p>
        </w:tc>
      </w:tr>
      <w:tr>
        <w:tc>
          <w:tcPr>
            <w:tcW w:type="dxa" w:w="1881"/>
          </w:tcPr>
          <w:p>
            <w:r>
              <w:rPr>
                <w:rFonts w:ascii="Meiryo UI" w:hAnsi="Meiryo UI"/>
                <w:sz w:val="18"/>
              </w:rPr>
              <w:t>エレクトロニクス（FC-BGA基板/ディスプレイ）</w:t>
            </w:r>
          </w:p>
        </w:tc>
        <w:tc>
          <w:tcPr>
            <w:tcW w:type="dxa" w:w="1881"/>
          </w:tcPr>
          <w:p>
            <w:r>
              <w:rPr>
                <w:rFonts w:ascii="Meiryo UI" w:hAnsi="Meiryo UI"/>
                <w:sz w:val="18"/>
              </w:rPr>
              <w:t>¥3,500億</w:t>
            </w:r>
          </w:p>
        </w:tc>
        <w:tc>
          <w:tcPr>
            <w:tcW w:type="dxa" w:w="1881"/>
          </w:tcPr>
          <w:p>
            <w:r>
              <w:rPr>
                <w:rFonts w:ascii="Meiryo UI" w:hAnsi="Meiryo UI"/>
                <w:sz w:val="18"/>
              </w:rPr>
              <w:t>15.0%</w:t>
            </w:r>
          </w:p>
        </w:tc>
        <w:tc>
          <w:tcPr>
            <w:tcW w:type="dxa" w:w="1881"/>
          </w:tcPr>
          <w:p>
            <w:r>
              <w:rPr>
                <w:rFonts w:ascii="Meiryo UI" w:hAnsi="Meiryo UI"/>
                <w:sz w:val="18"/>
              </w:rPr>
              <w:t>+8〜10%/年</w:t>
            </w:r>
          </w:p>
        </w:tc>
        <w:tc>
          <w:tcPr>
            <w:tcW w:type="dxa" w:w="1881"/>
          </w:tcPr>
          <w:p>
            <w:r>
              <w:rPr>
                <w:rFonts w:ascii="Meiryo UI" w:hAnsi="Meiryo UI"/>
                <w:sz w:val="18"/>
              </w:rPr>
              <w:t>強ポジティブ</w:t>
            </w:r>
          </w:p>
        </w:tc>
      </w:tr>
      <w:tr>
        <w:tc>
          <w:tcPr>
            <w:tcW w:type="dxa" w:w="1881"/>
            <w:shd w:val="clear" w:color="auto" w:fill="DDEBF7"/>
          </w:tcPr>
          <w:p>
            <w:r>
              <w:rPr>
                <w:rFonts w:ascii="Meiryo UI" w:hAnsi="Meiryo UI"/>
                <w:sz w:val="18"/>
              </w:rPr>
              <w:t>グローバル（海外セキュリティ/Sonoco）</w:t>
            </w:r>
          </w:p>
        </w:tc>
        <w:tc>
          <w:tcPr>
            <w:tcW w:type="dxa" w:w="1881"/>
            <w:shd w:val="clear" w:color="auto" w:fill="DDEBF7"/>
          </w:tcPr>
          <w:p>
            <w:r>
              <w:rPr>
                <w:rFonts w:ascii="Meiryo UI" w:hAnsi="Meiryo UI"/>
                <w:sz w:val="18"/>
              </w:rPr>
              <w:t>¥1,500億</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+5%/年</w:t>
            </w:r>
          </w:p>
        </w:tc>
        <w:tc>
          <w:tcPr>
            <w:tcW w:type="dxa" w:w="1881"/>
            <w:shd w:val="clear" w:color="auto" w:fill="DDEBF7"/>
          </w:tcPr>
          <w:p>
            <w:r>
              <w:rPr>
                <w:rFonts w:ascii="Meiryo UI" w:hAnsi="Meiryo UI"/>
                <w:sz w:val="18"/>
              </w:rPr>
              <w:t>統合コスト先行</w:t>
            </w:r>
          </w:p>
        </w:tc>
      </w:tr>
    </w:tbl>
    <w:p/>
    <w:p>
      <w:r>
        <w:rPr>
          <w:rFonts w:ascii="Meiryo UI" w:hAnsi="Meiryo UI"/>
          <w:sz w:val="20"/>
        </w:rPr>
        <w:t>凸版の本質的価値はエレクトロニクス部門にある。同部門のOP率15%は会社全体（≒5%）の3倍であり、売上比率が20%でも利益貢献は43%以上と推算される。</w:t>
      </w:r>
    </w:p>
    <w:p/>
    <w:p>
      <w:pPr>
        <w:pStyle w:val="Heading3"/>
      </w:pPr>
      <w:r>
        <w:rPr>
          <w:rFonts w:ascii="Meiryo UI" w:hAnsi="Meiryo UI"/>
          <w:color w:val="2E74B5"/>
        </w:rPr>
        <w:t>FC-BGA基板：最重要モニタリング指標</w:t>
      </w:r>
    </w:p>
    <w:p/>
    <w:p>
      <w:r>
        <w:rPr>
          <w:rFonts w:ascii="Meiryo UI" w:hAnsi="Meiryo UI"/>
          <w:sz w:val="20"/>
        </w:rPr>
        <w:t>FC-BGA（Flip Chip Ball Grid Array）は高性能CPU・GPU向けの半導体パッケージ基板。AI/データセンター需要の爆発的増加により2030年にかけて年率10%超の成長が見込まれる市場。凸版は世界3位（Ibiden・Shinko Electricに次ぐ）のポジションを持ち、先端品（55nm以下対応）に特化している。</w:t>
      </w:r>
    </w:p>
    <w:p/>
    <w:p>
      <w:r>
        <w:rPr>
          <w:rFonts w:ascii="Meiryo UI" w:hAnsi="Meiryo UI"/>
          <w:sz w:val="20"/>
        </w:rPr>
        <w:t>2024〜2026年にかけての1,437億円/年規模のCAPEXの大半がここに向けられており、FY2027〜FY2028に稼働が本格化し収益貢献が加速する見込み。</w:t>
      </w:r>
    </w:p>
    <w:p/>
    <w:p>
      <w:r>
        <w:t>──────────────────────────────────────────────────</w:t>
      </w:r>
    </w:p>
    <w:p/>
    <w:p>
      <w:pPr>
        <w:pStyle w:val="Heading2"/>
      </w:pPr>
      <w:r>
        <w:rPr>
          <w:rFonts w:ascii="Meiryo UI" w:hAnsi="Meiryo UI"/>
          <w:color w:val="2E74B5"/>
        </w:rPr>
        <w:t>Ⅲ．財務サマリー</w:t>
      </w:r>
    </w:p>
    <w:p/>
    <w:p>
      <w:pPr>
        <w:pStyle w:val="Heading3"/>
      </w:pPr>
      <w:r>
        <w:rPr>
          <w:rFonts w:ascii="Meiryo UI" w:hAnsi="Meiryo UI"/>
          <w:color w:val="2E74B5"/>
        </w:rPr>
        <w:t>損益推移</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FY2022/3</w:t>
            </w:r>
          </w:p>
        </w:tc>
        <w:tc>
          <w:tcPr>
            <w:tcW w:type="dxa" w:w="1568"/>
            <w:shd w:val="clear" w:color="auto" w:fill="2E74B5"/>
          </w:tcPr>
          <w:p>
            <w:r>
              <w:rPr>
                <w:rFonts w:ascii="Meiryo UI" w:hAnsi="Meiryo UI"/>
                <w:b/>
                <w:color w:val="FFFFFF"/>
                <w:sz w:val="18"/>
              </w:rPr>
              <w:t>FY2023/3</w:t>
            </w:r>
          </w:p>
        </w:tc>
        <w:tc>
          <w:tcPr>
            <w:tcW w:type="dxa" w:w="1568"/>
            <w:shd w:val="clear" w:color="auto" w:fill="2E74B5"/>
          </w:tcPr>
          <w:p>
            <w:r>
              <w:rPr>
                <w:rFonts w:ascii="Meiryo UI" w:hAnsi="Meiryo UI"/>
                <w:b/>
                <w:color w:val="FFFFFF"/>
                <w:sz w:val="18"/>
              </w:rPr>
              <w:t>FY2024/3</w:t>
            </w:r>
          </w:p>
        </w:tc>
        <w:tc>
          <w:tcPr>
            <w:tcW w:type="dxa" w:w="1568"/>
            <w:shd w:val="clear" w:color="auto" w:fill="2E74B5"/>
          </w:tcPr>
          <w:p>
            <w:r>
              <w:rPr>
                <w:rFonts w:ascii="Meiryo UI" w:hAnsi="Meiryo UI"/>
                <w:b/>
                <w:color w:val="FFFFFF"/>
                <w:sz w:val="18"/>
              </w:rPr>
              <w:t>FY2025/3実</w:t>
            </w:r>
          </w:p>
        </w:tc>
        <w:tc>
          <w:tcPr>
            <w:tcW w:type="dxa" w:w="1568"/>
            <w:shd w:val="clear" w:color="auto" w:fill="2E74B5"/>
          </w:tcPr>
          <w:p>
            <w:r>
              <w:rPr>
                <w:rFonts w:ascii="Meiryo UI" w:hAnsi="Meiryo UI"/>
                <w:b/>
                <w:color w:val="FFFFFF"/>
                <w:sz w:val="18"/>
              </w:rPr>
              <w:t>FY2026/3E</w:t>
            </w:r>
          </w:p>
        </w:tc>
      </w:tr>
      <w:tr>
        <w:tc>
          <w:tcPr>
            <w:tcW w:type="dxa" w:w="1568"/>
          </w:tcPr>
          <w:p>
            <w:r>
              <w:rPr>
                <w:rFonts w:ascii="Meiryo UI" w:hAnsi="Meiryo UI"/>
                <w:sz w:val="18"/>
              </w:rPr>
              <w:t>売上高（億円）</w:t>
            </w:r>
          </w:p>
        </w:tc>
        <w:tc>
          <w:tcPr>
            <w:tcW w:type="dxa" w:w="1568"/>
          </w:tcPr>
          <w:p>
            <w:r>
              <w:rPr>
                <w:rFonts w:ascii="Meiryo UI" w:hAnsi="Meiryo UI"/>
                <w:sz w:val="18"/>
              </w:rPr>
              <w:t>154,753</w:t>
            </w:r>
          </w:p>
        </w:tc>
        <w:tc>
          <w:tcPr>
            <w:tcW w:type="dxa" w:w="1568"/>
          </w:tcPr>
          <w:p>
            <w:r>
              <w:rPr>
                <w:rFonts w:ascii="Meiryo UI" w:hAnsi="Meiryo UI"/>
                <w:sz w:val="18"/>
              </w:rPr>
              <w:t>163,883</w:t>
            </w:r>
          </w:p>
        </w:tc>
        <w:tc>
          <w:tcPr>
            <w:tcW w:type="dxa" w:w="1568"/>
          </w:tcPr>
          <w:p>
            <w:r>
              <w:rPr>
                <w:rFonts w:ascii="Meiryo UI" w:hAnsi="Meiryo UI"/>
                <w:sz w:val="18"/>
              </w:rPr>
              <w:t>167,825</w:t>
            </w:r>
          </w:p>
        </w:tc>
        <w:tc>
          <w:tcPr>
            <w:tcW w:type="dxa" w:w="1568"/>
          </w:tcPr>
          <w:p>
            <w:r>
              <w:rPr>
                <w:rFonts w:ascii="Meiryo UI" w:hAnsi="Meiryo UI"/>
                <w:sz w:val="18"/>
              </w:rPr>
              <w:t>171,796</w:t>
            </w:r>
          </w:p>
        </w:tc>
        <w:tc>
          <w:tcPr>
            <w:tcW w:type="dxa" w:w="1568"/>
          </w:tcPr>
          <w:p>
            <w:r>
              <w:rPr>
                <w:rFonts w:ascii="Meiryo UI" w:hAnsi="Meiryo UI"/>
                <w:sz w:val="18"/>
              </w:rPr>
              <w:t>179,000</w:t>
            </w:r>
          </w:p>
        </w:tc>
      </w:tr>
      <w:tr>
        <w:tc>
          <w:tcPr>
            <w:tcW w:type="dxa" w:w="1568"/>
            <w:shd w:val="clear" w:color="auto" w:fill="DDEBF7"/>
          </w:tcPr>
          <w:p>
            <w:r>
              <w:rPr>
                <w:rFonts w:ascii="Meiryo UI" w:hAnsi="Meiryo UI"/>
                <w:sz w:val="18"/>
              </w:rPr>
              <w:t>営業利益（億円）</w:t>
            </w:r>
          </w:p>
        </w:tc>
        <w:tc>
          <w:tcPr>
            <w:tcW w:type="dxa" w:w="1568"/>
            <w:shd w:val="clear" w:color="auto" w:fill="DDEBF7"/>
          </w:tcPr>
          <w:p>
            <w:r>
              <w:rPr>
                <w:rFonts w:ascii="Meiryo UI" w:hAnsi="Meiryo UI"/>
                <w:sz w:val="18"/>
              </w:rPr>
              <w:t>735</w:t>
            </w:r>
          </w:p>
        </w:tc>
        <w:tc>
          <w:tcPr>
            <w:tcW w:type="dxa" w:w="1568"/>
            <w:shd w:val="clear" w:color="auto" w:fill="DDEBF7"/>
          </w:tcPr>
          <w:p>
            <w:r>
              <w:rPr>
                <w:rFonts w:ascii="Meiryo UI" w:hAnsi="Meiryo UI"/>
                <w:sz w:val="18"/>
              </w:rPr>
              <w:t>766</w:t>
            </w:r>
          </w:p>
        </w:tc>
        <w:tc>
          <w:tcPr>
            <w:tcW w:type="dxa" w:w="1568"/>
            <w:shd w:val="clear" w:color="auto" w:fill="DDEBF7"/>
          </w:tcPr>
          <w:p>
            <w:r>
              <w:rPr>
                <w:rFonts w:ascii="Meiryo UI" w:hAnsi="Meiryo UI"/>
                <w:sz w:val="18"/>
              </w:rPr>
              <w:t>744</w:t>
            </w:r>
          </w:p>
        </w:tc>
        <w:tc>
          <w:tcPr>
            <w:tcW w:type="dxa" w:w="1568"/>
            <w:shd w:val="clear" w:color="auto" w:fill="DDEBF7"/>
          </w:tcPr>
          <w:p>
            <w:r>
              <w:rPr>
                <w:rFonts w:ascii="Meiryo UI" w:hAnsi="Meiryo UI"/>
                <w:sz w:val="18"/>
              </w:rPr>
              <w:t>841</w:t>
            </w:r>
          </w:p>
        </w:tc>
        <w:tc>
          <w:tcPr>
            <w:tcW w:type="dxa" w:w="1568"/>
            <w:shd w:val="clear" w:color="auto" w:fill="DDEBF7"/>
          </w:tcPr>
          <w:p>
            <w:r>
              <w:rPr>
                <w:rFonts w:ascii="Meiryo UI" w:hAnsi="Meiryo UI"/>
                <w:sz w:val="18"/>
              </w:rPr>
              <w:t>700↓</w:t>
            </w:r>
          </w:p>
        </w:tc>
      </w:tr>
      <w:tr>
        <w:tc>
          <w:tcPr>
            <w:tcW w:type="dxa" w:w="1568"/>
          </w:tcPr>
          <w:p>
            <w:r>
              <w:rPr>
                <w:rFonts w:ascii="Meiryo UI" w:hAnsi="Meiryo UI"/>
                <w:sz w:val="18"/>
              </w:rPr>
              <w:t>純利益（億円）</w:t>
            </w:r>
          </w:p>
        </w:tc>
        <w:tc>
          <w:tcPr>
            <w:tcW w:type="dxa" w:w="1568"/>
          </w:tcPr>
          <w:p>
            <w:r>
              <w:rPr>
                <w:rFonts w:ascii="Meiryo UI" w:hAnsi="Meiryo UI"/>
                <w:sz w:val="18"/>
              </w:rPr>
              <w:t>1,232</w:t>
            </w:r>
          </w:p>
        </w:tc>
        <w:tc>
          <w:tcPr>
            <w:tcW w:type="dxa" w:w="1568"/>
          </w:tcPr>
          <w:p>
            <w:r>
              <w:rPr>
                <w:rFonts w:ascii="Meiryo UI" w:hAnsi="Meiryo UI"/>
                <w:sz w:val="18"/>
              </w:rPr>
              <w:t>609</w:t>
            </w:r>
          </w:p>
        </w:tc>
        <w:tc>
          <w:tcPr>
            <w:tcW w:type="dxa" w:w="1568"/>
          </w:tcPr>
          <w:p>
            <w:r>
              <w:rPr>
                <w:rFonts w:ascii="Meiryo UI" w:hAnsi="Meiryo UI"/>
                <w:sz w:val="18"/>
              </w:rPr>
              <w:t>742</w:t>
            </w:r>
          </w:p>
        </w:tc>
        <w:tc>
          <w:tcPr>
            <w:tcW w:type="dxa" w:w="1568"/>
          </w:tcPr>
          <w:p>
            <w:r>
              <w:rPr>
                <w:rFonts w:ascii="Meiryo UI" w:hAnsi="Meiryo UI"/>
                <w:sz w:val="18"/>
              </w:rPr>
              <w:t>893</w:t>
            </w:r>
          </w:p>
        </w:tc>
        <w:tc>
          <w:tcPr>
            <w:tcW w:type="dxa" w:w="1568"/>
          </w:tcPr>
          <w:p>
            <w:r>
              <w:rPr>
                <w:rFonts w:ascii="Meiryo UI" w:hAnsi="Meiryo UI"/>
                <w:sz w:val="18"/>
              </w:rPr>
              <w:t>700</w:t>
            </w:r>
          </w:p>
        </w:tc>
      </w:tr>
      <w:tr>
        <w:tc>
          <w:tcPr>
            <w:tcW w:type="dxa" w:w="1568"/>
            <w:shd w:val="clear" w:color="auto" w:fill="DDEBF7"/>
          </w:tcPr>
          <w:p>
            <w:r>
              <w:rPr>
                <w:rFonts w:ascii="Meiryo UI" w:hAnsi="Meiryo UI"/>
                <w:sz w:val="18"/>
              </w:rPr>
              <w:t>EPS（円）</w:t>
            </w:r>
          </w:p>
        </w:tc>
        <w:tc>
          <w:tcPr>
            <w:tcW w:type="dxa" w:w="1568"/>
            <w:shd w:val="clear" w:color="auto" w:fill="DDEBF7"/>
          </w:tcPr>
          <w:p>
            <w:r>
              <w:rPr>
                <w:rFonts w:ascii="Meiryo UI" w:hAnsi="Meiryo UI"/>
                <w:sz w:val="18"/>
              </w:rPr>
              <w:t>¥365</w:t>
            </w:r>
          </w:p>
        </w:tc>
        <w:tc>
          <w:tcPr>
            <w:tcW w:type="dxa" w:w="1568"/>
            <w:shd w:val="clear" w:color="auto" w:fill="DDEBF7"/>
          </w:tcPr>
          <w:p>
            <w:r>
              <w:rPr>
                <w:rFonts w:ascii="Meiryo UI" w:hAnsi="Meiryo UI"/>
                <w:sz w:val="18"/>
              </w:rPr>
              <w:t>¥185</w:t>
            </w:r>
          </w:p>
        </w:tc>
        <w:tc>
          <w:tcPr>
            <w:tcW w:type="dxa" w:w="1568"/>
            <w:shd w:val="clear" w:color="auto" w:fill="DDEBF7"/>
          </w:tcPr>
          <w:p>
            <w:r>
              <w:rPr>
                <w:rFonts w:ascii="Meiryo UI" w:hAnsi="Meiryo UI"/>
                <w:sz w:val="18"/>
              </w:rPr>
              <w:t>¥237</w:t>
            </w:r>
          </w:p>
        </w:tc>
        <w:tc>
          <w:tcPr>
            <w:tcW w:type="dxa" w:w="1568"/>
            <w:shd w:val="clear" w:color="auto" w:fill="DDEBF7"/>
          </w:tcPr>
          <w:p>
            <w:r>
              <w:rPr>
                <w:rFonts w:ascii="Meiryo UI" w:hAnsi="Meiryo UI"/>
                <w:sz w:val="18"/>
              </w:rPr>
              <w:t>¥309</w:t>
            </w:r>
          </w:p>
        </w:tc>
        <w:tc>
          <w:tcPr>
            <w:tcW w:type="dxa" w:w="1568"/>
            <w:shd w:val="clear" w:color="auto" w:fill="DDEBF7"/>
          </w:tcPr>
          <w:p>
            <w:r>
              <w:rPr>
                <w:rFonts w:ascii="Meiryo UI" w:hAnsi="Meiryo UI"/>
                <w:sz w:val="18"/>
              </w:rPr>
              <w:t>¥248↓</w:t>
            </w:r>
          </w:p>
        </w:tc>
      </w:tr>
      <w:tr>
        <w:tc>
          <w:tcPr>
            <w:tcW w:type="dxa" w:w="1568"/>
          </w:tcPr>
          <w:p>
            <w:r>
              <w:rPr>
                <w:rFonts w:ascii="Meiryo UI" w:hAnsi="Meiryo UI"/>
                <w:sz w:val="18"/>
              </w:rPr>
              <w:t>CAPEX（億円）</w:t>
            </w:r>
          </w:p>
        </w:tc>
        <w:tc>
          <w:tcPr>
            <w:tcW w:type="dxa" w:w="1568"/>
          </w:tcPr>
          <w:p>
            <w:r>
              <w:rPr>
                <w:rFonts w:ascii="Meiryo UI" w:hAnsi="Meiryo UI"/>
                <w:sz w:val="18"/>
              </w:rPr>
              <w:t>553</w:t>
            </w:r>
          </w:p>
        </w:tc>
        <w:tc>
          <w:tcPr>
            <w:tcW w:type="dxa" w:w="1568"/>
          </w:tcPr>
          <w:p>
            <w:r>
              <w:rPr>
                <w:rFonts w:ascii="Meiryo UI" w:hAnsi="Meiryo UI"/>
                <w:sz w:val="18"/>
              </w:rPr>
              <w:t>841</w:t>
            </w:r>
          </w:p>
        </w:tc>
        <w:tc>
          <w:tcPr>
            <w:tcW w:type="dxa" w:w="1568"/>
          </w:tcPr>
          <w:p>
            <w:r>
              <w:rPr>
                <w:rFonts w:ascii="Meiryo UI" w:hAnsi="Meiryo UI"/>
                <w:sz w:val="18"/>
              </w:rPr>
              <w:t>1,019</w:t>
            </w:r>
          </w:p>
        </w:tc>
        <w:tc>
          <w:tcPr>
            <w:tcW w:type="dxa" w:w="1568"/>
          </w:tcPr>
          <w:p>
            <w:r>
              <w:rPr>
                <w:rFonts w:ascii="Meiryo UI" w:hAnsi="Meiryo UI"/>
                <w:sz w:val="18"/>
              </w:rPr>
              <w:t>1,437</w:t>
            </w:r>
          </w:p>
        </w:tc>
        <w:tc>
          <w:tcPr>
            <w:tcW w:type="dxa" w:w="1568"/>
          </w:tcPr>
          <w:p>
            <w:r>
              <w:rPr>
                <w:rFonts w:ascii="Meiryo UI" w:hAnsi="Meiryo UI"/>
                <w:sz w:val="18"/>
              </w:rPr>
              <w:t>~1,400</w:t>
            </w:r>
          </w:p>
        </w:tc>
      </w:tr>
      <w:tr>
        <w:tc>
          <w:tcPr>
            <w:tcW w:type="dxa" w:w="1568"/>
            <w:shd w:val="clear" w:color="auto" w:fill="DDEBF7"/>
          </w:tcPr>
          <w:p>
            <w:r>
              <w:rPr>
                <w:rFonts w:ascii="Meiryo UI" w:hAnsi="Meiryo UI"/>
                <w:sz w:val="18"/>
              </w:rPr>
              <w:t>FCF（億円）</w:t>
            </w:r>
          </w:p>
        </w:tc>
        <w:tc>
          <w:tcPr>
            <w:tcW w:type="dxa" w:w="1568"/>
            <w:shd w:val="clear" w:color="auto" w:fill="DDEBF7"/>
          </w:tcPr>
          <w:p>
            <w:r>
              <w:rPr>
                <w:rFonts w:ascii="Meiryo UI" w:hAnsi="Meiryo UI"/>
                <w:sz w:val="18"/>
              </w:rPr>
              <w:t>+95</w:t>
            </w:r>
          </w:p>
        </w:tc>
        <w:tc>
          <w:tcPr>
            <w:tcW w:type="dxa" w:w="1568"/>
            <w:shd w:val="clear" w:color="auto" w:fill="DDEBF7"/>
          </w:tcPr>
          <w:p>
            <w:r>
              <w:rPr>
                <w:rFonts w:ascii="Meiryo UI" w:hAnsi="Meiryo UI"/>
                <w:sz w:val="18"/>
              </w:rPr>
              <w:t>+220</w:t>
            </w:r>
          </w:p>
        </w:tc>
        <w:tc>
          <w:tcPr>
            <w:tcW w:type="dxa" w:w="1568"/>
            <w:shd w:val="clear" w:color="auto" w:fill="DDEBF7"/>
          </w:tcPr>
          <w:p>
            <w:r>
              <w:rPr>
                <w:rFonts w:ascii="Meiryo UI" w:hAnsi="Meiryo UI"/>
                <w:sz w:val="18"/>
              </w:rPr>
              <w:t>+552</w:t>
            </w:r>
          </w:p>
        </w:tc>
        <w:tc>
          <w:tcPr>
            <w:tcW w:type="dxa" w:w="1568"/>
            <w:shd w:val="clear" w:color="auto" w:fill="DDEBF7"/>
          </w:tcPr>
          <w:p>
            <w:r>
              <w:rPr>
                <w:rFonts w:ascii="Meiryo UI" w:hAnsi="Meiryo UI"/>
                <w:sz w:val="18"/>
              </w:rPr>
              <w:t>▲789</w:t>
            </w:r>
          </w:p>
        </w:tc>
        <w:tc>
          <w:tcPr>
            <w:tcW w:type="dxa" w:w="1568"/>
            <w:shd w:val="clear" w:color="auto" w:fill="DDEBF7"/>
          </w:tcPr>
          <w:p>
            <w:r>
              <w:rPr>
                <w:rFonts w:ascii="Meiryo UI" w:hAnsi="Meiryo UI"/>
                <w:sz w:val="18"/>
              </w:rPr>
              <w:t>~▲500</w:t>
            </w:r>
          </w:p>
        </w:tc>
      </w:tr>
    </w:tbl>
    <w:p/>
    <w:p>
      <w:pPr>
        <w:pStyle w:val="Heading3"/>
      </w:pPr>
      <w:r>
        <w:rPr>
          <w:rFonts w:ascii="Meiryo UI" w:hAnsi="Meiryo UI"/>
          <w:color w:val="2E74B5"/>
        </w:rPr>
        <w:t>バランスシート（FY2025/3）</w:t>
      </w:r>
    </w:p>
    <w:p>
      <w:pPr>
        <w:pStyle w:val="ListBullet"/>
      </w:pPr>
      <w:r>
        <w:rPr>
          <w:rFonts w:ascii="Meiryo UI" w:hAnsi="Meiryo UI"/>
          <w:sz w:val="20"/>
        </w:rPr>
        <w:t>純資産: ¥12,935億（BPS ¥4,649）</w:t>
      </w:r>
    </w:p>
    <w:p>
      <w:pPr>
        <w:pStyle w:val="ListBullet"/>
      </w:pPr>
      <w:r>
        <w:rPr>
          <w:rFonts w:ascii="Meiryo UI" w:hAnsi="Meiryo UI"/>
          <w:sz w:val="20"/>
        </w:rPr>
        <w:t>総有利子負債: ¥4,675億</w:t>
      </w:r>
    </w:p>
    <w:p>
      <w:pPr>
        <w:pStyle w:val="ListBullet"/>
      </w:pPr>
      <w:r>
        <w:rPr>
          <w:rFonts w:ascii="Meiryo UI" w:hAnsi="Meiryo UI"/>
          <w:sz w:val="20"/>
        </w:rPr>
        <w:t>現金: ¥3,760億</w:t>
      </w:r>
    </w:p>
    <w:p>
      <w:pPr>
        <w:pStyle w:val="ListBullet"/>
      </w:pPr>
      <w:r>
        <w:rPr>
          <w:rFonts w:ascii="Meiryo UI" w:hAnsi="Meiryo UI"/>
          <w:sz w:val="20"/>
        </w:rPr>
        <w:t>純有利子負債: ¥915億（ネットD/E 0.07x、財務健全）</w:t>
      </w:r>
    </w:p>
    <w:p/>
    <w:p>
      <w:pPr>
        <w:pStyle w:val="Heading3"/>
      </w:pPr>
      <w:r>
        <w:rPr>
          <w:rFonts w:ascii="Meiryo UI" w:hAnsi="Meiryo UI"/>
          <w:color w:val="2E74B5"/>
        </w:rPr>
        <w:t>キャッシュ配分（FY2025）</w:t>
      </w:r>
    </w:p>
    <w:p>
      <w:pPr>
        <w:pStyle w:val="ListBullet"/>
      </w:pPr>
      <w:r>
        <w:rPr>
          <w:rFonts w:ascii="Meiryo UI" w:hAnsi="Meiryo UI"/>
          <w:sz w:val="20"/>
        </w:rPr>
        <w:t>自社株買い: ¥1,027億（積極的）</w:t>
      </w:r>
    </w:p>
    <w:p>
      <w:pPr>
        <w:pStyle w:val="ListBullet"/>
      </w:pPr>
      <w:r>
        <w:rPr>
          <w:rFonts w:ascii="Meiryo UI" w:hAnsi="Meiryo UI"/>
          <w:sz w:val="20"/>
        </w:rPr>
        <w:t>配当: 配当利回り1.21%（¥54/株）</w:t>
      </w:r>
    </w:p>
    <w:p>
      <w:pPr>
        <w:pStyle w:val="ListBullet"/>
      </w:pPr>
      <w:r>
        <w:rPr>
          <w:rFonts w:ascii="Meiryo UI" w:hAnsi="Meiryo UI"/>
          <w:sz w:val="20"/>
        </w:rPr>
        <w:t>総還元額: ¥1,200億超（純利益比134%、利益以上を還元）</w:t>
      </w:r>
    </w:p>
    <w:p/>
    <w:p>
      <w:r>
        <w:t>──────────────────────────────────────────────────</w:t>
      </w:r>
    </w:p>
    <w:p/>
    <w:p>
      <w:pPr>
        <w:pStyle w:val="Heading2"/>
      </w:pPr>
      <w:r>
        <w:rPr>
          <w:rFonts w:ascii="Meiryo UI" w:hAnsi="Meiryo UI"/>
          <w:color w:val="2E74B5"/>
        </w:rPr>
        <w:t>Ⅳ．バリュエーション</w:t>
      </w:r>
    </w:p>
    <w:p/>
    <w:p>
      <w:pPr>
        <w:pStyle w:val="Heading3"/>
      </w:pPr>
      <w:r>
        <w:rPr>
          <w:rFonts w:ascii="Meiryo UI" w:hAnsi="Meiryo UI"/>
          <w:color w:val="2E74B5"/>
        </w:rPr>
        <w:t>現在のマルチプル</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7911 Toppan</w:t>
            </w:r>
          </w:p>
        </w:tc>
        <w:tc>
          <w:tcPr>
            <w:tcW w:type="dxa" w:w="2351"/>
            <w:shd w:val="clear" w:color="auto" w:fill="2E74B5"/>
          </w:tcPr>
          <w:p>
            <w:r>
              <w:rPr>
                <w:rFonts w:ascii="Meiryo UI" w:hAnsi="Meiryo UI"/>
                <w:b/>
                <w:color w:val="FFFFFF"/>
                <w:sz w:val="18"/>
              </w:rPr>
              <w:t>7912 DNP</w:t>
            </w:r>
          </w:p>
        </w:tc>
        <w:tc>
          <w:tcPr>
            <w:tcW w:type="dxa" w:w="2351"/>
            <w:shd w:val="clear" w:color="auto" w:fill="2E74B5"/>
          </w:tcPr>
          <w:p>
            <w:r>
              <w:rPr>
                <w:rFonts w:ascii="Meiryo UI" w:hAnsi="Meiryo UI"/>
                <w:b/>
                <w:color w:val="FFFFFF"/>
                <w:sz w:val="18"/>
              </w:rPr>
              <w:t>グローバル印刷業界平均</w:t>
            </w:r>
          </w:p>
        </w:tc>
      </w:tr>
      <w:tr>
        <w:tc>
          <w:tcPr>
            <w:tcW w:type="dxa" w:w="2351"/>
          </w:tcPr>
          <w:p>
            <w:r>
              <w:rPr>
                <w:rFonts w:ascii="Meiryo UI" w:hAnsi="Meiryo UI"/>
                <w:sz w:val="18"/>
              </w:rPr>
              <w:t>PER（FY2026E）</w:t>
            </w:r>
          </w:p>
        </w:tc>
        <w:tc>
          <w:tcPr>
            <w:tcW w:type="dxa" w:w="2351"/>
          </w:tcPr>
          <w:p>
            <w:r>
              <w:rPr>
                <w:rFonts w:ascii="Meiryo UI" w:hAnsi="Meiryo UI"/>
                <w:sz w:val="18"/>
              </w:rPr>
              <w:t>18.1x</w:t>
            </w:r>
          </w:p>
        </w:tc>
        <w:tc>
          <w:tcPr>
            <w:tcW w:type="dxa" w:w="2351"/>
          </w:tcPr>
          <w:p>
            <w:r>
              <w:rPr>
                <w:rFonts w:ascii="Meiryo UI" w:hAnsi="Meiryo UI"/>
                <w:sz w:val="18"/>
              </w:rPr>
              <w:t>17.5x</w:t>
            </w:r>
          </w:p>
        </w:tc>
        <w:tc>
          <w:tcPr>
            <w:tcW w:type="dxa" w:w="2351"/>
          </w:tcPr>
          <w:p>
            <w:r>
              <w:rPr>
                <w:rFonts w:ascii="Meiryo UI" w:hAnsi="Meiryo UI"/>
                <w:sz w:val="18"/>
              </w:rPr>
              <w:t>16〜20x</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0.96x</w:t>
            </w:r>
          </w:p>
        </w:tc>
        <w:tc>
          <w:tcPr>
            <w:tcW w:type="dxa" w:w="2351"/>
            <w:shd w:val="clear" w:color="auto" w:fill="DDEBF7"/>
          </w:tcPr>
          <w:p>
            <w:r>
              <w:rPr>
                <w:rFonts w:ascii="Meiryo UI" w:hAnsi="Meiryo UI"/>
                <w:sz w:val="18"/>
              </w:rPr>
              <w:t>1.13x</w:t>
            </w:r>
          </w:p>
        </w:tc>
        <w:tc>
          <w:tcPr>
            <w:tcW w:type="dxa" w:w="2351"/>
            <w:shd w:val="clear" w:color="auto" w:fill="DDEBF7"/>
          </w:tcPr>
          <w:p>
            <w:r>
              <w:rPr>
                <w:rFonts w:ascii="Meiryo UI" w:hAnsi="Meiryo UI"/>
                <w:sz w:val="18"/>
              </w:rPr>
              <w:t>1.0〜1.5x</w:t>
            </w:r>
          </w:p>
        </w:tc>
      </w:tr>
      <w:tr>
        <w:tc>
          <w:tcPr>
            <w:tcW w:type="dxa" w:w="2351"/>
          </w:tcPr>
          <w:p>
            <w:r>
              <w:rPr>
                <w:rFonts w:ascii="Meiryo UI" w:hAnsi="Meiryo UI"/>
                <w:sz w:val="18"/>
              </w:rPr>
              <w:t>EV/EBITDA</w:t>
            </w:r>
          </w:p>
        </w:tc>
        <w:tc>
          <w:tcPr>
            <w:tcW w:type="dxa" w:w="2351"/>
          </w:tcPr>
          <w:p>
            <w:r>
              <w:rPr>
                <w:rFonts w:ascii="Meiryo UI" w:hAnsi="Meiryo UI"/>
                <w:sz w:val="18"/>
              </w:rPr>
              <w:t>8.5x</w:t>
            </w:r>
          </w:p>
        </w:tc>
        <w:tc>
          <w:tcPr>
            <w:tcW w:type="dxa" w:w="2351"/>
          </w:tcPr>
          <w:p>
            <w:r>
              <w:rPr>
                <w:rFonts w:ascii="Meiryo UI" w:hAnsi="Meiryo UI"/>
                <w:sz w:val="18"/>
              </w:rPr>
              <w:t>8.0x</w:t>
            </w:r>
          </w:p>
        </w:tc>
        <w:tc>
          <w:tcPr>
            <w:tcW w:type="dxa" w:w="2351"/>
          </w:tcPr>
          <w:p>
            <w:r>
              <w:rPr>
                <w:rFonts w:ascii="Meiryo UI" w:hAnsi="Meiryo UI"/>
                <w:sz w:val="18"/>
              </w:rPr>
              <w:t>8〜12x</w:t>
            </w:r>
          </w:p>
        </w:tc>
      </w:tr>
      <w:tr>
        <w:tc>
          <w:tcPr>
            <w:tcW w:type="dxa" w:w="2351"/>
            <w:shd w:val="clear" w:color="auto" w:fill="DDEBF7"/>
          </w:tcPr>
          <w:p>
            <w:r>
              <w:rPr>
                <w:rFonts w:ascii="Meiryo UI" w:hAnsi="Meiryo UI"/>
                <w:sz w:val="18"/>
              </w:rPr>
              <w:t>配当利回り</w:t>
            </w:r>
          </w:p>
        </w:tc>
        <w:tc>
          <w:tcPr>
            <w:tcW w:type="dxa" w:w="2351"/>
            <w:shd w:val="clear" w:color="auto" w:fill="DDEBF7"/>
          </w:tcPr>
          <w:p>
            <w:r>
              <w:rPr>
                <w:rFonts w:ascii="Meiryo UI" w:hAnsi="Meiryo UI"/>
                <w:sz w:val="18"/>
              </w:rPr>
              <w:t>1.21%</w:t>
            </w:r>
          </w:p>
        </w:tc>
        <w:tc>
          <w:tcPr>
            <w:tcW w:type="dxa" w:w="2351"/>
            <w:shd w:val="clear" w:color="auto" w:fill="DDEBF7"/>
          </w:tcPr>
          <w:p>
            <w:r>
              <w:rPr>
                <w:rFonts w:ascii="Meiryo UI" w:hAnsi="Meiryo UI"/>
                <w:sz w:val="18"/>
              </w:rPr>
              <w:t>1.15%</w:t>
            </w:r>
          </w:p>
        </w:tc>
        <w:tc>
          <w:tcPr>
            <w:tcW w:type="dxa" w:w="2351"/>
            <w:shd w:val="clear" w:color="auto" w:fill="DDEBF7"/>
          </w:tcPr>
          <w:p>
            <w:r>
              <w:rPr>
                <w:rFonts w:ascii="Meiryo UI" w:hAnsi="Meiryo UI"/>
                <w:sz w:val="18"/>
              </w:rPr>
              <w:t>1〜2%</w:t>
            </w:r>
          </w:p>
        </w:tc>
      </w:tr>
      <w:tr>
        <w:tc>
          <w:tcPr>
            <w:tcW w:type="dxa" w:w="2351"/>
          </w:tcPr>
          <w:p>
            <w:r>
              <w:rPr>
                <w:rFonts w:ascii="Meiryo UI" w:hAnsi="Meiryo UI"/>
                <w:sz w:val="18"/>
              </w:rPr>
              <w:t>ROE</w:t>
            </w:r>
          </w:p>
        </w:tc>
        <w:tc>
          <w:tcPr>
            <w:tcW w:type="dxa" w:w="2351"/>
          </w:tcPr>
          <w:p>
            <w:r>
              <w:rPr>
                <w:rFonts w:ascii="Meiryo UI" w:hAnsi="Meiryo UI"/>
                <w:sz w:val="18"/>
              </w:rPr>
              <w:t>5.5%</w:t>
            </w:r>
          </w:p>
        </w:tc>
        <w:tc>
          <w:tcPr>
            <w:tcW w:type="dxa" w:w="2351"/>
          </w:tcPr>
          <w:p>
            <w:r>
              <w:rPr>
                <w:rFonts w:ascii="Meiryo UI" w:hAnsi="Meiryo UI"/>
                <w:sz w:val="18"/>
              </w:rPr>
              <w:t>6.0%</w:t>
            </w:r>
          </w:p>
        </w:tc>
        <w:tc>
          <w:tcPr>
            <w:tcW w:type="dxa" w:w="2351"/>
          </w:tcPr>
          <w:p>
            <w:r>
              <w:rPr>
                <w:rFonts w:ascii="Meiryo UI" w:hAnsi="Meiryo UI"/>
                <w:sz w:val="18"/>
              </w:rPr>
              <w:t>8〜10%</w:t>
            </w:r>
          </w:p>
        </w:tc>
      </w:tr>
    </w:tbl>
    <w:p/>
    <w:p>
      <w:r>
        <w:rPr>
          <w:rFonts w:ascii="Meiryo UI" w:hAnsi="Meiryo UI"/>
          <w:sz w:val="20"/>
        </w:rPr>
        <w:t>凸版はPBR 0.96倍と実質簿価割れ圏。半導体基板という成長ドライバーを内包する銘柄がBPS以下で買えるという状況は長期的には割安感があるが、EPS回復の確認なしにはマルチプル拡大は期待しにくい。</w:t>
      </w:r>
    </w:p>
    <w:p/>
    <w:p>
      <w:pPr>
        <w:pStyle w:val="Heading3"/>
      </w:pPr>
      <w:r>
        <w:rPr>
          <w:rFonts w:ascii="Meiryo UI" w:hAnsi="Meiryo UI"/>
          <w:color w:val="2E74B5"/>
        </w:rPr>
        <w:t>シナリオ別 フェアバリュー（FY2027E基準）</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確率</w:t>
            </w:r>
          </w:p>
        </w:tc>
        <w:tc>
          <w:tcPr>
            <w:tcW w:type="dxa" w:w="1568"/>
            <w:shd w:val="clear" w:color="auto" w:fill="2E74B5"/>
          </w:tcPr>
          <w:p>
            <w:r>
              <w:rPr>
                <w:rFonts w:ascii="Meiryo UI" w:hAnsi="Meiryo UI"/>
                <w:b/>
                <w:color w:val="FFFFFF"/>
                <w:sz w:val="18"/>
              </w:rPr>
              <w:t>OP（億円）</w:t>
            </w:r>
          </w:p>
        </w:tc>
        <w:tc>
          <w:tcPr>
            <w:tcW w:type="dxa" w:w="1568"/>
            <w:shd w:val="clear" w:color="auto" w:fill="2E74B5"/>
          </w:tcPr>
          <w:p>
            <w:r>
              <w:rPr>
                <w:rFonts w:ascii="Meiryo UI" w:hAnsi="Meiryo UI"/>
                <w:b/>
                <w:color w:val="FFFFFF"/>
                <w:sz w:val="18"/>
              </w:rPr>
              <w:t>EPS（¥）</w:t>
            </w:r>
          </w:p>
        </w:tc>
        <w:tc>
          <w:tcPr>
            <w:tcW w:type="dxa" w:w="1568"/>
            <w:shd w:val="clear" w:color="auto" w:fill="2E74B5"/>
          </w:tcPr>
          <w:p>
            <w:r>
              <w:rPr>
                <w:rFonts w:ascii="Meiryo UI" w:hAnsi="Meiryo UI"/>
                <w:b/>
                <w:color w:val="FFFFFF"/>
                <w:sz w:val="18"/>
              </w:rPr>
              <w:t>想定PER</w:t>
            </w:r>
          </w:p>
        </w:tc>
        <w:tc>
          <w:tcPr>
            <w:tcW w:type="dxa" w:w="1568"/>
            <w:shd w:val="clear" w:color="auto" w:fill="2E74B5"/>
          </w:tcPr>
          <w:p>
            <w:r>
              <w:rPr>
                <w:rFonts w:ascii="Meiryo UI" w:hAnsi="Meiryo UI"/>
                <w:b/>
                <w:color w:val="FFFFFF"/>
                <w:sz w:val="18"/>
              </w:rPr>
              <w:t>FV</w:t>
            </w:r>
          </w:p>
        </w:tc>
      </w:tr>
      <w:tr>
        <w:tc>
          <w:tcPr>
            <w:tcW w:type="dxa" w:w="1568"/>
          </w:tcPr>
          <w:p>
            <w:r>
              <w:rPr>
                <w:rFonts w:ascii="Meiryo UI" w:hAnsi="Meiryo UI"/>
                <w:sz w:val="18"/>
              </w:rPr>
              <w:t>Bear：OP低迷継続</w:t>
            </w:r>
          </w:p>
        </w:tc>
        <w:tc>
          <w:tcPr>
            <w:tcW w:type="dxa" w:w="1568"/>
          </w:tcPr>
          <w:p>
            <w:r>
              <w:rPr>
                <w:rFonts w:ascii="Meiryo UI" w:hAnsi="Meiryo UI"/>
                <w:sz w:val="18"/>
              </w:rPr>
              <w:t>30%</w:t>
            </w:r>
          </w:p>
        </w:tc>
        <w:tc>
          <w:tcPr>
            <w:tcW w:type="dxa" w:w="1568"/>
          </w:tcPr>
          <w:p>
            <w:r>
              <w:rPr>
                <w:rFonts w:ascii="Meiryo UI" w:hAnsi="Meiryo UI"/>
                <w:sz w:val="18"/>
              </w:rPr>
              <w:t>680</w:t>
            </w:r>
          </w:p>
        </w:tc>
        <w:tc>
          <w:tcPr>
            <w:tcW w:type="dxa" w:w="1568"/>
          </w:tcPr>
          <w:p>
            <w:r>
              <w:rPr>
                <w:rFonts w:ascii="Meiryo UI" w:hAnsi="Meiryo UI"/>
                <w:sz w:val="18"/>
              </w:rPr>
              <w:t>¥212</w:t>
            </w:r>
          </w:p>
        </w:tc>
        <w:tc>
          <w:tcPr>
            <w:tcW w:type="dxa" w:w="1568"/>
          </w:tcPr>
          <w:p>
            <w:r>
              <w:rPr>
                <w:rFonts w:ascii="Meiryo UI" w:hAnsi="Meiryo UI"/>
                <w:sz w:val="18"/>
              </w:rPr>
              <w:t>10x</w:t>
            </w:r>
          </w:p>
        </w:tc>
        <w:tc>
          <w:tcPr>
            <w:tcW w:type="dxa" w:w="1568"/>
          </w:tcPr>
          <w:p>
            <w:r>
              <w:rPr>
                <w:rFonts w:ascii="Meiryo UI" w:hAnsi="Meiryo UI"/>
                <w:sz w:val="18"/>
              </w:rPr>
              <w:t>¥3,046</w:t>
            </w:r>
          </w:p>
        </w:tc>
      </w:tr>
      <w:tr>
        <w:tc>
          <w:tcPr>
            <w:tcW w:type="dxa" w:w="1568"/>
            <w:shd w:val="clear" w:color="auto" w:fill="DDEBF7"/>
          </w:tcPr>
          <w:p>
            <w:r>
              <w:rPr>
                <w:rFonts w:ascii="Meiryo UI" w:hAnsi="Meiryo UI"/>
                <w:sz w:val="18"/>
              </w:rPr>
              <w:t>Base：基板フル寄与で回復</w:t>
            </w:r>
          </w:p>
        </w:tc>
        <w:tc>
          <w:tcPr>
            <w:tcW w:type="dxa" w:w="1568"/>
            <w:shd w:val="clear" w:color="auto" w:fill="DDEBF7"/>
          </w:tcPr>
          <w:p>
            <w:r>
              <w:rPr>
                <w:rFonts w:ascii="Meiryo UI" w:hAnsi="Meiryo UI"/>
                <w:sz w:val="18"/>
              </w:rPr>
              <w:t>50%</w:t>
            </w:r>
          </w:p>
        </w:tc>
        <w:tc>
          <w:tcPr>
            <w:tcW w:type="dxa" w:w="1568"/>
            <w:shd w:val="clear" w:color="auto" w:fill="DDEBF7"/>
          </w:tcPr>
          <w:p>
            <w:r>
              <w:rPr>
                <w:rFonts w:ascii="Meiryo UI" w:hAnsi="Meiryo UI"/>
                <w:sz w:val="18"/>
              </w:rPr>
              <w:t>800</w:t>
            </w:r>
          </w:p>
        </w:tc>
        <w:tc>
          <w:tcPr>
            <w:tcW w:type="dxa" w:w="1568"/>
            <w:shd w:val="clear" w:color="auto" w:fill="DDEBF7"/>
          </w:tcPr>
          <w:p>
            <w:r>
              <w:rPr>
                <w:rFonts w:ascii="Meiryo UI" w:hAnsi="Meiryo UI"/>
                <w:sz w:val="18"/>
              </w:rPr>
              <w:t>¥249</w:t>
            </w:r>
          </w:p>
        </w:tc>
        <w:tc>
          <w:tcPr>
            <w:tcW w:type="dxa" w:w="1568"/>
            <w:shd w:val="clear" w:color="auto" w:fill="DDEBF7"/>
          </w:tcPr>
          <w:p>
            <w:r>
              <w:rPr>
                <w:rFonts w:ascii="Meiryo UI" w:hAnsi="Meiryo UI"/>
                <w:sz w:val="18"/>
              </w:rPr>
              <w:t>16x</w:t>
            </w:r>
          </w:p>
        </w:tc>
        <w:tc>
          <w:tcPr>
            <w:tcW w:type="dxa" w:w="1568"/>
            <w:shd w:val="clear" w:color="auto" w:fill="DDEBF7"/>
          </w:tcPr>
          <w:p>
            <w:r>
              <w:rPr>
                <w:rFonts w:ascii="Meiryo UI" w:hAnsi="Meiryo UI"/>
                <w:sz w:val="18"/>
              </w:rPr>
              <w:t>¥4,491</w:t>
            </w:r>
          </w:p>
        </w:tc>
      </w:tr>
      <w:tr>
        <w:tc>
          <w:tcPr>
            <w:tcW w:type="dxa" w:w="1568"/>
          </w:tcPr>
          <w:p>
            <w:r>
              <w:rPr>
                <w:rFonts w:ascii="Meiryo UI" w:hAnsi="Meiryo UI"/>
                <w:sz w:val="18"/>
              </w:rPr>
              <w:t>Bull：AI需要爆発×ガイダンス超過</w:t>
            </w:r>
          </w:p>
        </w:tc>
        <w:tc>
          <w:tcPr>
            <w:tcW w:type="dxa" w:w="1568"/>
          </w:tcPr>
          <w:p>
            <w:r>
              <w:rPr>
                <w:rFonts w:ascii="Meiryo UI" w:hAnsi="Meiryo UI"/>
                <w:sz w:val="18"/>
              </w:rPr>
              <w:t>20%</w:t>
            </w:r>
          </w:p>
        </w:tc>
        <w:tc>
          <w:tcPr>
            <w:tcW w:type="dxa" w:w="1568"/>
          </w:tcPr>
          <w:p>
            <w:r>
              <w:rPr>
                <w:rFonts w:ascii="Meiryo UI" w:hAnsi="Meiryo UI"/>
                <w:sz w:val="18"/>
              </w:rPr>
              <w:t>950</w:t>
            </w:r>
          </w:p>
        </w:tc>
        <w:tc>
          <w:tcPr>
            <w:tcW w:type="dxa" w:w="1568"/>
          </w:tcPr>
          <w:p>
            <w:r>
              <w:rPr>
                <w:rFonts w:ascii="Meiryo UI" w:hAnsi="Meiryo UI"/>
                <w:sz w:val="18"/>
              </w:rPr>
              <w:t>¥296</w:t>
            </w:r>
          </w:p>
        </w:tc>
        <w:tc>
          <w:tcPr>
            <w:tcW w:type="dxa" w:w="1568"/>
          </w:tcPr>
          <w:p>
            <w:r>
              <w:rPr>
                <w:rFonts w:ascii="Meiryo UI" w:hAnsi="Meiryo UI"/>
                <w:sz w:val="18"/>
              </w:rPr>
              <w:t>20x</w:t>
            </w:r>
          </w:p>
        </w:tc>
        <w:tc>
          <w:tcPr>
            <w:tcW w:type="dxa" w:w="1568"/>
          </w:tcPr>
          <w:p>
            <w:r>
              <w:rPr>
                <w:rFonts w:ascii="Meiryo UI" w:hAnsi="Meiryo UI"/>
                <w:sz w:val="18"/>
              </w:rPr>
              <w:t>¥5,970</w:t>
            </w:r>
          </w:p>
        </w:tc>
      </w:tr>
      <w:tr>
        <w:tc>
          <w:tcPr>
            <w:tcW w:type="dxa" w:w="1568"/>
            <w:shd w:val="clear" w:color="auto" w:fill="DDEBF7"/>
          </w:tcPr>
          <w:p>
            <w:r>
              <w:rPr>
                <w:rFonts w:ascii="Meiryo UI" w:hAnsi="Meiryo UI"/>
                <w:sz w:val="18"/>
              </w:rPr>
              <w:t>加重平均FV</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¥4,353</w:t>
            </w:r>
          </w:p>
        </w:tc>
      </w:tr>
    </w:tbl>
    <w:p/>
    <w:p>
      <w:pPr>
        <w:pStyle w:val="ListBullet"/>
      </w:pPr>
      <w:r>
        <w:rPr>
          <w:rFonts w:ascii="Meiryo UI" w:hAnsi="Meiryo UI"/>
          <w:sz w:val="20"/>
        </w:rPr>
        <w:t>加重FV ¥4,353 ≒ 現値¥4,483（▲2.9%）──Base想定では現値はほぼフェアバリュー</w:t>
      </w:r>
    </w:p>
    <w:p>
      <w:pPr>
        <w:pStyle w:val="ListBullet"/>
      </w:pPr>
      <w:r>
        <w:rPr>
          <w:rFonts w:ascii="Meiryo UI" w:hAnsi="Meiryo UI"/>
          <w:sz w:val="20"/>
        </w:rPr>
        <w:t>Bull（確率20%）で¥5,970（+33%）。アナリスト中央値¥6,000と整合</w:t>
      </w:r>
    </w:p>
    <w:p>
      <w:pPr>
        <w:pStyle w:val="ListBullet"/>
      </w:pPr>
      <w:r>
        <w:rPr>
          <w:rFonts w:ascii="Meiryo UI" w:hAnsi="Meiryo UI"/>
          <w:sz w:val="20"/>
        </w:rPr>
        <w:t>結論：現値はフェアバリュー近傍。強いエントリーポイントではない</w:t>
      </w:r>
    </w:p>
    <w:p/>
    <w:p>
      <w:r>
        <w:t>──────────────────────────────────────────────────</w:t>
      </w:r>
    </w:p>
    <w:p/>
    <w:p>
      <w:pPr>
        <w:pStyle w:val="Heading2"/>
      </w:pPr>
      <w:r>
        <w:rPr>
          <w:rFonts w:ascii="Meiryo UI" w:hAnsi="Meiryo UI"/>
          <w:color w:val="2E74B5"/>
        </w:rPr>
        <w:t>Ⅴ．リスクシナリオ定量分析</w:t>
      </w:r>
    </w:p>
    <w:p/>
    <w:p>
      <w:pPr>
        <w:pStyle w:val="Heading3"/>
      </w:pPr>
      <w:r>
        <w:rPr>
          <w:rFonts w:ascii="Meiryo UI" w:hAnsi="Meiryo UI"/>
          <w:color w:val="2E74B5"/>
        </w:rPr>
        <w:t>ダウンサイド定量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リスク要因</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EPS影響</w:t>
            </w:r>
          </w:p>
        </w:tc>
        <w:tc>
          <w:tcPr>
            <w:tcW w:type="dxa" w:w="2351"/>
            <w:shd w:val="clear" w:color="auto" w:fill="2E74B5"/>
          </w:tcPr>
          <w:p>
            <w:r>
              <w:rPr>
                <w:rFonts w:ascii="Meiryo UI" w:hAnsi="Meiryo UI"/>
                <w:b/>
                <w:color w:val="FFFFFF"/>
                <w:sz w:val="18"/>
              </w:rPr>
              <w:t>株価インパクト</w:t>
            </w:r>
          </w:p>
        </w:tc>
      </w:tr>
      <w:tr>
        <w:tc>
          <w:tcPr>
            <w:tcW w:type="dxa" w:w="2351"/>
          </w:tcPr>
          <w:p>
            <w:r>
              <w:rPr>
                <w:rFonts w:ascii="Meiryo UI" w:hAnsi="Meiryo UI"/>
                <w:sz w:val="18"/>
              </w:rPr>
              <w:t>印刷部門 売上▲10%超（予想外）</w:t>
            </w:r>
          </w:p>
        </w:tc>
        <w:tc>
          <w:tcPr>
            <w:tcW w:type="dxa" w:w="2351"/>
          </w:tcPr>
          <w:p>
            <w:r>
              <w:rPr>
                <w:rFonts w:ascii="Meiryo UI" w:hAnsi="Meiryo UI"/>
                <w:sz w:val="18"/>
              </w:rPr>
              <w:t>25%</w:t>
            </w:r>
          </w:p>
        </w:tc>
        <w:tc>
          <w:tcPr>
            <w:tcW w:type="dxa" w:w="2351"/>
          </w:tcPr>
          <w:p>
            <w:r>
              <w:rPr>
                <w:rFonts w:ascii="Meiryo UI" w:hAnsi="Meiryo UI"/>
                <w:sz w:val="18"/>
              </w:rPr>
              <w:t>▲¥20</w:t>
            </w:r>
          </w:p>
        </w:tc>
        <w:tc>
          <w:tcPr>
            <w:tcW w:type="dxa" w:w="2351"/>
          </w:tcPr>
          <w:p>
            <w:r>
              <w:rPr>
                <w:rFonts w:ascii="Meiryo UI" w:hAnsi="Meiryo UI"/>
                <w:sz w:val="18"/>
              </w:rPr>
              <w:t>▲¥300〜400</w:t>
            </w:r>
          </w:p>
        </w:tc>
      </w:tr>
      <w:tr>
        <w:tc>
          <w:tcPr>
            <w:tcW w:type="dxa" w:w="2351"/>
            <w:shd w:val="clear" w:color="auto" w:fill="DDEBF7"/>
          </w:tcPr>
          <w:p>
            <w:r>
              <w:rPr>
                <w:rFonts w:ascii="Meiryo UI" w:hAnsi="Meiryo UI"/>
                <w:sz w:val="18"/>
              </w:rPr>
              <w:t>FC-BGA 顧客発注削減（AI投資停滞）</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▲¥600〜800</w:t>
            </w:r>
          </w:p>
        </w:tc>
      </w:tr>
      <w:tr>
        <w:tc>
          <w:tcPr>
            <w:tcW w:type="dxa" w:w="2351"/>
          </w:tcPr>
          <w:p>
            <w:r>
              <w:rPr>
                <w:rFonts w:ascii="Meiryo UI" w:hAnsi="Meiryo UI"/>
                <w:sz w:val="18"/>
              </w:rPr>
              <w:t>円高急進（145円到達）</w:t>
            </w:r>
          </w:p>
        </w:tc>
        <w:tc>
          <w:tcPr>
            <w:tcW w:type="dxa" w:w="2351"/>
          </w:tcPr>
          <w:p>
            <w:r>
              <w:rPr>
                <w:rFonts w:ascii="Meiryo UI" w:hAnsi="Meiryo UI"/>
                <w:sz w:val="18"/>
              </w:rPr>
              <w:t>20%</w:t>
            </w:r>
          </w:p>
        </w:tc>
        <w:tc>
          <w:tcPr>
            <w:tcW w:type="dxa" w:w="2351"/>
          </w:tcPr>
          <w:p>
            <w:r>
              <w:rPr>
                <w:rFonts w:ascii="Meiryo UI" w:hAnsi="Meiryo UI"/>
                <w:sz w:val="18"/>
              </w:rPr>
              <w:t>▲¥10</w:t>
            </w:r>
          </w:p>
        </w:tc>
        <w:tc>
          <w:tcPr>
            <w:tcW w:type="dxa" w:w="2351"/>
          </w:tcPr>
          <w:p>
            <w:r>
              <w:rPr>
                <w:rFonts w:ascii="Meiryo UI" w:hAnsi="Meiryo UI"/>
                <w:sz w:val="18"/>
              </w:rPr>
              <w:t>▲¥150〜200</w:t>
            </w:r>
          </w:p>
        </w:tc>
      </w:tr>
      <w:tr>
        <w:tc>
          <w:tcPr>
            <w:tcW w:type="dxa" w:w="2351"/>
            <w:shd w:val="clear" w:color="auto" w:fill="DDEBF7"/>
          </w:tcPr>
          <w:p>
            <w:r>
              <w:rPr>
                <w:rFonts w:ascii="Meiryo UI" w:hAnsi="Meiryo UI"/>
                <w:sz w:val="18"/>
              </w:rPr>
              <w:t>統合コスト（Sonoco）膨張</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▲¥200〜300</w:t>
            </w:r>
          </w:p>
        </w:tc>
      </w:tr>
    </w:tbl>
    <w:p/>
    <w:p>
      <w:r>
        <w:rPr>
          <w:rFonts w:ascii="Meiryo UI" w:hAnsi="Meiryo UI"/>
          <w:sz w:val="20"/>
        </w:rPr>
        <w:t>最大テールリスク: FC-BGA顧客（Intel/AMD/NVIDIA）がAI設備投資を大幅削減した場合、CAPEX先行投資が不良資産化し追加減損が発生するシナリオ（PBRをさらに割り込む方向）。</w:t>
      </w:r>
    </w:p>
    <w:p/>
    <w:p>
      <w:pPr>
        <w:pStyle w:val="Heading3"/>
      </w:pPr>
      <w:r>
        <w:rPr>
          <w:rFonts w:ascii="Meiryo UI" w:hAnsi="Meiryo UI"/>
          <w:color w:val="2E74B5"/>
        </w:rPr>
        <w:t>Q-1定性変化（直近クオーター）</w:t>
      </w:r>
    </w:p>
    <w:p/>
    <w:p>
      <w:r>
        <w:rPr>
          <w:rFonts w:ascii="Meiryo UI" w:hAnsi="Meiryo UI"/>
          <w:sz w:val="20"/>
        </w:rPr>
        <w:t>FY2026/3 Q3（10-12月期）の変化：</w:t>
      </w:r>
    </w:p>
    <w:p>
      <w:pPr>
        <w:pStyle w:val="ListBullet"/>
      </w:pPr>
      <w:r>
        <w:rPr>
          <w:rFonts w:ascii="Meiryo UI" w:hAnsi="Meiryo UI"/>
          <w:sz w:val="20"/>
        </w:rPr>
        <w:t>情報コミュニケーション：想定比さらに軟調。デジタル広告・EC移行加速</w:t>
      </w:r>
    </w:p>
    <w:p>
      <w:pPr>
        <w:pStyle w:val="ListBullet"/>
      </w:pPr>
      <w:r>
        <w:rPr>
          <w:rFonts w:ascii="Meiryo UI" w:hAnsi="Meiryo UI"/>
          <w:sz w:val="20"/>
        </w:rPr>
        <w:t>生活環境：食品包材は底堅い。機能フィルム（光学）は中国減速の影響</w:t>
      </w:r>
    </w:p>
    <w:p>
      <w:pPr>
        <w:pStyle w:val="ListBullet"/>
      </w:pPr>
      <w:r>
        <w:rPr>
          <w:rFonts w:ascii="Meiryo UI" w:hAnsi="Meiryo UI"/>
          <w:sz w:val="20"/>
        </w:rPr>
        <w:t>エレクトロニクス：AI向けFC-BGA受注は堅調だが、Tekscend外れた分のギャップ顕在化</w:t>
      </w:r>
    </w:p>
    <w:p>
      <w:pPr>
        <w:pStyle w:val="ListBullet"/>
      </w:pPr>
      <w:r>
        <w:rPr>
          <w:rFonts w:ascii="Meiryo UI" w:hAnsi="Meiryo UI"/>
          <w:sz w:val="20"/>
        </w:rPr>
        <w:t>グローバル：Sonoco統合コスト先行フェーズ継続</w:t>
      </w:r>
    </w:p>
    <w:p/>
    <w:p>
      <w:r>
        <w:t>──────────────────────────────────────────────────</w:t>
      </w:r>
    </w:p>
    <w:p/>
    <w:p>
      <w:pPr>
        <w:pStyle w:val="Heading2"/>
      </w:pPr>
      <w:r>
        <w:rPr>
          <w:rFonts w:ascii="Meiryo UI" w:hAnsi="Meiryo UI"/>
          <w:color w:val="2E74B5"/>
        </w:rPr>
        <w:t>Ⅵ．競合比較・業界ポジション</w:t>
      </w:r>
    </w:p>
    <w:p/>
    <w:p>
      <w:r>
        <w:rPr>
          <w:rFonts w:ascii="Meiryo UI" w:hAnsi="Meiryo UI"/>
          <w:sz w:val="20"/>
        </w:rPr>
        <w:t>凸版と7912大日本印刷（DNP）は「印刷2大メーカー」として常に比較される。今回の売り越しで両社の差が拡大：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比較軸</w:t>
            </w:r>
          </w:p>
        </w:tc>
        <w:tc>
          <w:tcPr>
            <w:tcW w:type="dxa" w:w="3135"/>
            <w:shd w:val="clear" w:color="auto" w:fill="2E74B5"/>
          </w:tcPr>
          <w:p>
            <w:r>
              <w:rPr>
                <w:rFonts w:ascii="Meiryo UI" w:hAnsi="Meiryo UI"/>
                <w:b/>
                <w:color w:val="FFFFFF"/>
                <w:sz w:val="18"/>
              </w:rPr>
              <w:t>7911 Toppan</w:t>
            </w:r>
          </w:p>
        </w:tc>
        <w:tc>
          <w:tcPr>
            <w:tcW w:type="dxa" w:w="3135"/>
            <w:shd w:val="clear" w:color="auto" w:fill="2E74B5"/>
          </w:tcPr>
          <w:p>
            <w:r>
              <w:rPr>
                <w:rFonts w:ascii="Meiryo UI" w:hAnsi="Meiryo UI"/>
                <w:b/>
                <w:color w:val="FFFFFF"/>
                <w:sz w:val="18"/>
              </w:rPr>
              <w:t>7912 DNP</w:t>
            </w:r>
          </w:p>
        </w:tc>
      </w:tr>
      <w:tr>
        <w:tc>
          <w:tcPr>
            <w:tcW w:type="dxa" w:w="3135"/>
          </w:tcPr>
          <w:p>
            <w:r>
              <w:rPr>
                <w:rFonts w:ascii="Meiryo UI" w:hAnsi="Meiryo UI"/>
                <w:sz w:val="18"/>
              </w:rPr>
              <w:t>株価YTD</w:t>
            </w:r>
          </w:p>
        </w:tc>
        <w:tc>
          <w:tcPr>
            <w:tcW w:type="dxa" w:w="3135"/>
          </w:tcPr>
          <w:p>
            <w:r>
              <w:rPr>
                <w:rFonts w:ascii="Meiryo UI" w:hAnsi="Meiryo UI"/>
                <w:sz w:val="18"/>
              </w:rPr>
              <w:t>▲3.2%</w:t>
            </w:r>
          </w:p>
        </w:tc>
        <w:tc>
          <w:tcPr>
            <w:tcW w:type="dxa" w:w="3135"/>
          </w:tcPr>
          <w:p>
            <w:r>
              <w:rPr>
                <w:rFonts w:ascii="Meiryo UI" w:hAnsi="Meiryo UI"/>
                <w:sz w:val="18"/>
              </w:rPr>
              <w:t>+5.1%（推定）</w:t>
            </w:r>
          </w:p>
        </w:tc>
      </w:tr>
      <w:tr>
        <w:tc>
          <w:tcPr>
            <w:tcW w:type="dxa" w:w="3135"/>
            <w:shd w:val="clear" w:color="auto" w:fill="DDEBF7"/>
          </w:tcPr>
          <w:p>
            <w:r>
              <w:rPr>
                <w:rFonts w:ascii="Meiryo UI" w:hAnsi="Meiryo UI"/>
                <w:sz w:val="18"/>
              </w:rPr>
              <w:t>6M Peak比</w:t>
            </w:r>
          </w:p>
        </w:tc>
        <w:tc>
          <w:tcPr>
            <w:tcW w:type="dxa" w:w="3135"/>
            <w:shd w:val="clear" w:color="auto" w:fill="DDEBF7"/>
          </w:tcPr>
          <w:p>
            <w:r>
              <w:rPr>
                <w:rFonts w:ascii="Meiryo UI" w:hAnsi="Meiryo UI"/>
                <w:sz w:val="18"/>
              </w:rPr>
              <w:t>▲22.5%</w:t>
            </w:r>
          </w:p>
        </w:tc>
        <w:tc>
          <w:tcPr>
            <w:tcW w:type="dxa" w:w="3135"/>
            <w:shd w:val="clear" w:color="auto" w:fill="DDEBF7"/>
          </w:tcPr>
          <w:p>
            <w:r>
              <w:rPr>
                <w:rFonts w:ascii="Meiryo UI" w:hAnsi="Meiryo UI"/>
                <w:sz w:val="18"/>
              </w:rPr>
              <w:t>▲9.8%</w:t>
            </w:r>
          </w:p>
        </w:tc>
      </w:tr>
      <w:tr>
        <w:tc>
          <w:tcPr>
            <w:tcW w:type="dxa" w:w="3135"/>
          </w:tcPr>
          <w:p>
            <w:r>
              <w:rPr>
                <w:rFonts w:ascii="Meiryo UI" w:hAnsi="Meiryo UI"/>
                <w:sz w:val="18"/>
              </w:rPr>
              <w:t>半導体関連主力</w:t>
            </w:r>
          </w:p>
        </w:tc>
        <w:tc>
          <w:tcPr>
            <w:tcW w:type="dxa" w:w="3135"/>
          </w:tcPr>
          <w:p>
            <w:r>
              <w:rPr>
                <w:rFonts w:ascii="Meiryo UI" w:hAnsi="Meiryo UI"/>
                <w:sz w:val="18"/>
              </w:rPr>
              <w:t>FC-BGA基板（世界3位）</w:t>
            </w:r>
          </w:p>
        </w:tc>
        <w:tc>
          <w:tcPr>
            <w:tcW w:type="dxa" w:w="3135"/>
          </w:tcPr>
          <w:p>
            <w:r>
              <w:rPr>
                <w:rFonts w:ascii="Meiryo UI" w:hAnsi="Meiryo UI"/>
                <w:sz w:val="18"/>
              </w:rPr>
              <w:t>半導体フォトマスク（Tekscend前は重複）</w:t>
            </w:r>
          </w:p>
        </w:tc>
      </w:tr>
      <w:tr>
        <w:tc>
          <w:tcPr>
            <w:tcW w:type="dxa" w:w="3135"/>
            <w:shd w:val="clear" w:color="auto" w:fill="DDEBF7"/>
          </w:tcPr>
          <w:p>
            <w:r>
              <w:rPr>
                <w:rFonts w:ascii="Meiryo UI" w:hAnsi="Meiryo UI"/>
                <w:sz w:val="18"/>
              </w:rPr>
              <w:t>変革の進捗</w:t>
            </w:r>
          </w:p>
        </w:tc>
        <w:tc>
          <w:tcPr>
            <w:tcW w:type="dxa" w:w="3135"/>
            <w:shd w:val="clear" w:color="auto" w:fill="DDEBF7"/>
          </w:tcPr>
          <w:p>
            <w:r>
              <w:rPr>
                <w:rFonts w:ascii="Meiryo UI" w:hAnsi="Meiryo UI"/>
                <w:sz w:val="18"/>
              </w:rPr>
              <w:t>大型CAPEX投下中・結果待ち</w:t>
            </w:r>
          </w:p>
        </w:tc>
        <w:tc>
          <w:tcPr>
            <w:tcW w:type="dxa" w:w="3135"/>
            <w:shd w:val="clear" w:color="auto" w:fill="DDEBF7"/>
          </w:tcPr>
          <w:p>
            <w:r>
              <w:rPr>
                <w:rFonts w:ascii="Meiryo UI" w:hAnsi="Meiryo UI"/>
                <w:sz w:val="18"/>
              </w:rPr>
              <w:t>情報サービス転換が先行</w:t>
            </w:r>
          </w:p>
        </w:tc>
      </w:tr>
      <w:tr>
        <w:tc>
          <w:tcPr>
            <w:tcW w:type="dxa" w:w="3135"/>
          </w:tcPr>
          <w:p>
            <w:r>
              <w:rPr>
                <w:rFonts w:ascii="Meiryo UI" w:hAnsi="Meiryo UI"/>
                <w:sz w:val="18"/>
              </w:rPr>
              <w:t>資本効率</w:t>
            </w:r>
          </w:p>
        </w:tc>
        <w:tc>
          <w:tcPr>
            <w:tcW w:type="dxa" w:w="3135"/>
          </w:tcPr>
          <w:p>
            <w:r>
              <w:rPr>
                <w:rFonts w:ascii="Meiryo UI" w:hAnsi="Meiryo UI"/>
                <w:sz w:val="18"/>
              </w:rPr>
              <w:t>ROE 5.5%</w:t>
            </w:r>
          </w:p>
        </w:tc>
        <w:tc>
          <w:tcPr>
            <w:tcW w:type="dxa" w:w="3135"/>
          </w:tcPr>
          <w:p>
            <w:r>
              <w:rPr>
                <w:rFonts w:ascii="Meiryo UI" w:hAnsi="Meiryo UI"/>
                <w:sz w:val="18"/>
              </w:rPr>
              <w:t>ROE 6.0%</w:t>
            </w:r>
          </w:p>
        </w:tc>
      </w:tr>
    </w:tbl>
    <w:p/>
    <w:p>
      <w:r>
        <w:rPr>
          <w:rFonts w:ascii="Meiryo UI" w:hAnsi="Meiryo UI"/>
          <w:sz w:val="20"/>
        </w:rPr>
        <w:t>DNPの相対的アウトパフォームは、Tekscend関連の一時要因なく業績数値が安定して見えることが主因。</w:t>
      </w:r>
    </w:p>
    <w:p/>
    <w:p>
      <w:r>
        <w:t>──────────────────────────────────────────────────</w:t>
      </w:r>
    </w:p>
    <w:p/>
    <w:p>
      <w:pPr>
        <w:pStyle w:val="Heading2"/>
      </w:pPr>
      <w:r>
        <w:rPr>
          <w:rFonts w:ascii="Meiryo UI" w:hAnsi="Meiryo UI"/>
          <w:color w:val="2E74B5"/>
        </w:rPr>
        <w:t>Ⅶ．ガイダンス考察</w:t>
      </w:r>
    </w:p>
    <w:p/>
    <w:p>
      <w:pPr>
        <w:pStyle w:val="Heading3"/>
      </w:pPr>
      <w:r>
        <w:rPr>
          <w:rFonts w:ascii="Meiryo UI" w:hAnsi="Meiryo UI"/>
          <w:color w:val="2E74B5"/>
        </w:rPr>
        <w:t>FY2027ガイダンス（2026年5月発表予定）が最大の株価カタリスト</w:t>
      </w:r>
    </w:p>
    <w:p/>
    <w:p>
      <w:r>
        <w:rPr>
          <w:rFonts w:ascii="Meiryo UI" w:hAnsi="Meiryo UI"/>
          <w:sz w:val="20"/>
        </w:rPr>
        <w:t>2026年5月中旬の本決算発表でFY2027ガイダンスが示される。チェックポイント：</w:t>
      </w:r>
    </w:p>
    <w:p/>
    <w:p>
      <w:pPr>
        <w:pStyle w:val="ListNumber"/>
      </w:pPr>
      <w:r>
        <w:rPr>
          <w:rFonts w:ascii="Meiryo UI" w:hAnsi="Meiryo UI"/>
          <w:sz w:val="20"/>
        </w:rPr>
        <w:t>FC-BGA基板のOP利益貢献目標 → ¥200億以上が示されれば全社ROE改善に直結</w:t>
      </w:r>
    </w:p>
    <w:p>
      <w:pPr>
        <w:pStyle w:val="ListNumber"/>
      </w:pPr>
      <w:r>
        <w:rPr>
          <w:rFonts w:ascii="Meiryo UI" w:hAnsi="Meiryo UI"/>
          <w:sz w:val="20"/>
        </w:rPr>
        <w:t>Tekscend持分法利益の計画値 → 連結除外のプラスマイナスを相殺するか</w:t>
      </w:r>
    </w:p>
    <w:p>
      <w:pPr>
        <w:pStyle w:val="ListNumber"/>
      </w:pPr>
      <w:r>
        <w:rPr>
          <w:rFonts w:ascii="Meiryo UI" w:hAnsi="Meiryo UI"/>
          <w:sz w:val="20"/>
        </w:rPr>
        <w:t>情報コミュニケーション部門の構造改革施策 → コスト削減・人員再配置の進捗</w:t>
      </w:r>
    </w:p>
    <w:p>
      <w:pPr>
        <w:pStyle w:val="ListNumber"/>
      </w:pPr>
      <w:r>
        <w:rPr>
          <w:rFonts w:ascii="Meiryo UI" w:hAnsi="Meiryo UI"/>
          <w:sz w:val="20"/>
        </w:rPr>
        <w:t>自社株買い規模 → ¥800億以上なら株主還元強化として評価</w:t>
      </w:r>
    </w:p>
    <w:p>
      <w:pPr>
        <w:pStyle w:val="ListNumber"/>
      </w:pPr>
      <w:r>
        <w:rPr>
          <w:rFonts w:ascii="Meiryo UI" w:hAnsi="Meiryo UI"/>
          <w:sz w:val="20"/>
        </w:rPr>
        <w:t>EPS¥280〜300 の回復見通しを示せるか（現在¥248から+13〜21%）</w:t>
      </w:r>
    </w:p>
    <w:p/>
    <w:p>
      <w:r>
        <w:t>──────────────────────────────────────────────────</w:t>
      </w:r>
    </w:p>
    <w:p/>
    <w:p>
      <w:pPr>
        <w:pStyle w:val="Heading2"/>
      </w:pPr>
      <w:r>
        <w:rPr>
          <w:rFonts w:ascii="Meiryo UI" w:hAnsi="Meiryo UI"/>
          <w:color w:val="2E74B5"/>
        </w:rPr>
        <w:t>Ⅷ．不動産含み益考察</w:t>
      </w:r>
    </w:p>
    <w:p/>
    <w:p>
      <w:r>
        <w:rPr>
          <w:rFonts w:ascii="Meiryo UI" w:hAnsi="Meiryo UI"/>
          <w:sz w:val="20"/>
        </w:rPr>
        <w:t>有価証券報告書確認では、凸版は全国主要都市に工場・事務所を多数保有（東京・大阪・埼玉等）。ただし印刷製造業の性質上、含み益は自社使用不動産が主体であり、換金価値は限定的。REITや不動産デベロッパーと異なり、この観点での追加NAV加算は大きくない（推定+¥200〜400/株程度）。</w:t>
      </w:r>
    </w:p>
    <w:p/>
    <w:p>
      <w:r>
        <w:t>──────────────────────────────────────────────────</w:t>
      </w:r>
    </w:p>
    <w:p/>
    <w:p>
      <w:pPr>
        <w:pStyle w:val="Heading2"/>
      </w:pPr>
      <w:r>
        <w:rPr>
          <w:rFonts w:ascii="Meiryo UI" w:hAnsi="Meiryo UI"/>
          <w:color w:val="2E74B5"/>
        </w:rPr>
        <w:t>Ⅸ．テクニカル分析</w:t>
      </w:r>
    </w:p>
    <w:p/>
    <w:p>
      <w:pPr>
        <w:pStyle w:val="ListBullet"/>
      </w:pPr>
      <w:r>
        <w:rPr>
          <w:rFonts w:ascii="Meiryo UI" w:hAnsi="Meiryo UI"/>
          <w:sz w:val="20"/>
        </w:rPr>
        <w:t>現値 ¥4,483：MA25（¥4,530）をわずかに下抜け → 短期弱気</w:t>
      </w:r>
    </w:p>
    <w:p>
      <w:pPr>
        <w:pStyle w:val="ListBullet"/>
      </w:pPr>
      <w:r>
        <w:rPr>
          <w:rFonts w:ascii="Meiryo UI" w:hAnsi="Meiryo UI"/>
          <w:sz w:val="20"/>
        </w:rPr>
        <w:t>MA75 ¥4,731：5.2%上方。回復にはこの水準が抵抗線</w:t>
      </w:r>
    </w:p>
    <w:p>
      <w:pPr>
        <w:pStyle w:val="ListBullet"/>
      </w:pPr>
      <w:r>
        <w:rPr>
          <w:rFonts w:ascii="Meiryo UI" w:hAnsi="Meiryo UI"/>
          <w:sz w:val="20"/>
        </w:rPr>
        <w:t>52W安値 ¥3,532から現値+27%：下落相場でも52W安値を大きく上回っており、底値圏とは言いにくい</w:t>
      </w:r>
    </w:p>
    <w:p>
      <w:pPr>
        <w:pStyle w:val="ListBullet"/>
      </w:pPr>
      <w:r>
        <w:rPr>
          <w:rFonts w:ascii="Meiryo UI" w:hAnsi="Meiryo UI"/>
          <w:sz w:val="20"/>
        </w:rPr>
        <w:t>ピーク ¥5,928から▲24.4%：テクニカルには「調整の本流」</w:t>
      </w:r>
    </w:p>
    <w:p>
      <w:pPr>
        <w:pStyle w:val="ListBullet"/>
      </w:pPr>
      <w:r>
        <w:rPr>
          <w:rFonts w:ascii="Meiryo UI" w:hAnsi="Meiryo UI"/>
          <w:sz w:val="20"/>
        </w:rPr>
        <w:t>サポートライン ¥4,100〜4,200（2025年9月安値圏）：ここが崩れるとBear入り</w:t>
      </w:r>
    </w:p>
    <w:p>
      <w:pPr>
        <w:pStyle w:val="ListBullet"/>
      </w:pPr>
      <w:r>
        <w:rPr>
          <w:rFonts w:ascii="Meiryo UI" w:hAnsi="Meiryo UI"/>
          <w:sz w:val="20"/>
        </w:rPr>
        <w:t>RSI 推定35〜40：売られ過ぎ域に近づいているが確認要</w:t>
      </w:r>
    </w:p>
    <w:p/>
    <w:p>
      <w:r>
        <w:t>──────────────────────────────────────────────────</w:t>
      </w:r>
    </w:p>
    <w:p/>
    <w:p>
      <w:pPr>
        <w:pStyle w:val="Heading2"/>
      </w:pPr>
      <w:r>
        <w:rPr>
          <w:rFonts w:ascii="Meiryo UI" w:hAnsi="Meiryo UI"/>
          <w:color w:val="2E74B5"/>
        </w:rPr>
        <w:t>Ⅹ．投資判断・推奨アクション</w:t>
      </w:r>
    </w:p>
    <w:p/>
    <w:p>
      <w:pPr>
        <w:pStyle w:val="Heading3"/>
      </w:pPr>
      <w:r>
        <w:rPr>
          <w:rFonts w:ascii="Meiryo UI" w:hAnsi="Meiryo UI"/>
          <w:color w:val="2E74B5"/>
        </w:rPr>
        <w:t>判断：HOLD / 監視強化（現値ではエントリー見送り）</w:t>
      </w:r>
    </w:p>
    <w:p/>
    <w:p>
      <w:r>
        <w:rPr>
          <w:rFonts w:ascii="Meiryo UI" w:hAnsi="Meiryo UI"/>
          <w:sz w:val="20"/>
        </w:rPr>
        <w:t>理由：</w:t>
      </w:r>
    </w:p>
    <w:p>
      <w:pPr>
        <w:pStyle w:val="ListBullet"/>
      </w:pPr>
      <w:r>
        <w:rPr>
          <w:rFonts w:ascii="Meiryo UI" w:hAnsi="Meiryo UI"/>
          <w:sz w:val="20"/>
        </w:rPr>
        <w:t>加重FV ¥4,353 ≒ 現値¥4,483。Base想定では「適正値」であり上値余地が少ない</w:t>
      </w:r>
    </w:p>
    <w:p>
      <w:pPr>
        <w:pStyle w:val="ListBullet"/>
      </w:pPr>
      <w:r>
        <w:rPr>
          <w:rFonts w:ascii="Meiryo UI" w:hAnsi="Meiryo UI"/>
          <w:sz w:val="20"/>
        </w:rPr>
        <w:t>ただしPBR 0.96xはダウンサイドリスクをBPS（¥4,649）が下限として限定的</w:t>
      </w:r>
    </w:p>
    <w:p>
      <w:pPr>
        <w:pStyle w:val="ListBullet"/>
      </w:pPr>
      <w:r>
        <w:rPr>
          <w:rFonts w:ascii="Meiryo UI" w:hAnsi="Meiryo UI"/>
          <w:sz w:val="20"/>
        </w:rPr>
        <w:t>アナリスト全5名がBuy以上（中央値¥6,000）だが、それはFY2027〜FY2028の半導体基板フル稼働を織り込んだ目標値。現時点でのエントリーは「FY2027ガイダンス確認前」の未確認投資</w:t>
      </w:r>
    </w:p>
    <w:p/>
    <w:p>
      <w:pPr>
        <w:pStyle w:val="Heading3"/>
      </w:pPr>
      <w:r>
        <w:rPr>
          <w:rFonts w:ascii="Meiryo UI" w:hAnsi="Meiryo UI"/>
          <w:color w:val="2E74B5"/>
        </w:rPr>
        <w:t>推奨アクション</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アクション</w:t>
            </w:r>
          </w:p>
        </w:tc>
        <w:tc>
          <w:tcPr>
            <w:tcW w:type="dxa" w:w="4703"/>
            <w:shd w:val="clear" w:color="auto" w:fill="2E74B5"/>
          </w:tcPr>
          <w:p>
            <w:r>
              <w:rPr>
                <w:rFonts w:ascii="Meiryo UI" w:hAnsi="Meiryo UI"/>
                <w:b/>
                <w:color w:val="FFFFFF"/>
                <w:sz w:val="18"/>
              </w:rPr>
              <w:t>条件</w:t>
            </w:r>
          </w:p>
        </w:tc>
      </w:tr>
      <w:tr>
        <w:tc>
          <w:tcPr>
            <w:tcW w:type="dxa" w:w="4703"/>
          </w:tcPr>
          <w:p>
            <w:r>
              <w:rPr>
                <w:rFonts w:ascii="Meiryo UI" w:hAnsi="Meiryo UI"/>
                <w:sz w:val="18"/>
              </w:rPr>
              <w:t>打診買い</w:t>
            </w:r>
          </w:p>
        </w:tc>
        <w:tc>
          <w:tcPr>
            <w:tcW w:type="dxa" w:w="4703"/>
          </w:tcPr>
          <w:p>
            <w:r>
              <w:rPr>
                <w:rFonts w:ascii="Meiryo UI" w:hAnsi="Meiryo UI"/>
                <w:sz w:val="18"/>
              </w:rPr>
              <w:t>¥4,100（PBR0.88x）まで押し目形成した場合</w:t>
            </w:r>
          </w:p>
        </w:tc>
      </w:tr>
      <w:tr>
        <w:tc>
          <w:tcPr>
            <w:tcW w:type="dxa" w:w="4703"/>
            <w:shd w:val="clear" w:color="auto" w:fill="DDEBF7"/>
          </w:tcPr>
          <w:p>
            <w:r>
              <w:rPr>
                <w:rFonts w:ascii="Meiryo UI" w:hAnsi="Meiryo UI"/>
                <w:sz w:val="18"/>
              </w:rPr>
              <w:t>本格買い</w:t>
            </w:r>
          </w:p>
        </w:tc>
        <w:tc>
          <w:tcPr>
            <w:tcW w:type="dxa" w:w="4703"/>
            <w:shd w:val="clear" w:color="auto" w:fill="DDEBF7"/>
          </w:tcPr>
          <w:p>
            <w:r>
              <w:rPr>
                <w:rFonts w:ascii="Meiryo UI" w:hAnsi="Meiryo UI"/>
                <w:sz w:val="18"/>
              </w:rPr>
              <w:t>5月決算でFY2027 EPS≥¥280 + FC-BGA寄与額明示された場合</w:t>
            </w:r>
          </w:p>
        </w:tc>
      </w:tr>
      <w:tr>
        <w:tc>
          <w:tcPr>
            <w:tcW w:type="dxa" w:w="4703"/>
          </w:tcPr>
          <w:p>
            <w:r>
              <w:rPr>
                <w:rFonts w:ascii="Meiryo UI" w:hAnsi="Meiryo UI"/>
                <w:sz w:val="18"/>
              </w:rPr>
              <w:t>売り・回避</w:t>
            </w:r>
          </w:p>
        </w:tc>
        <w:tc>
          <w:tcPr>
            <w:tcW w:type="dxa" w:w="4703"/>
          </w:tcPr>
          <w:p>
            <w:r>
              <w:rPr>
                <w:rFonts w:ascii="Meiryo UI" w:hAnsi="Meiryo UI"/>
                <w:sz w:val="18"/>
              </w:rPr>
              <w:t>5月決算でFY2027 OP¥700億以下のガイダンス継続なら撤退</w:t>
            </w:r>
          </w:p>
        </w:tc>
      </w:tr>
      <w:tr>
        <w:tc>
          <w:tcPr>
            <w:tcW w:type="dxa" w:w="4703"/>
            <w:shd w:val="clear" w:color="auto" w:fill="DDEBF7"/>
          </w:tcPr>
          <w:p>
            <w:r>
              <w:rPr>
                <w:rFonts w:ascii="Meiryo UI" w:hAnsi="Meiryo UI"/>
                <w:sz w:val="18"/>
              </w:rPr>
              <w:t>現時点</w:t>
            </w:r>
          </w:p>
        </w:tc>
        <w:tc>
          <w:tcPr>
            <w:tcW w:type="dxa" w:w="4703"/>
            <w:shd w:val="clear" w:color="auto" w:fill="DDEBF7"/>
          </w:tcPr>
          <w:p>
            <w:r>
              <w:rPr>
                <w:rFonts w:ascii="Meiryo UI" w:hAnsi="Meiryo UI"/>
                <w:sz w:val="18"/>
              </w:rPr>
              <w:t>監視継続。決算前の新規買いは見送り</w:t>
            </w:r>
          </w:p>
        </w:tc>
      </w:tr>
    </w:tbl>
    <w:p/>
    <w:p>
      <w:r>
        <w:t>──────────────────────────────────────────────────</w:t>
      </w:r>
    </w:p>
    <w:p/>
    <w:p>
      <w:pPr>
        <w:pStyle w:val="Heading2"/>
      </w:pPr>
      <w:r>
        <w:rPr>
          <w:rFonts w:ascii="Meiryo UI" w:hAnsi="Meiryo UI"/>
          <w:color w:val="2E74B5"/>
        </w:rPr>
        <w:t>Ⅺ．浅井スコア</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モメンタム</w:t>
            </w:r>
          </w:p>
        </w:tc>
        <w:tc>
          <w:tcPr>
            <w:tcW w:type="dxa" w:w="3135"/>
          </w:tcPr>
          <w:p>
            <w:r>
              <w:rPr>
                <w:rFonts w:ascii="Meiryo UI" w:hAnsi="Meiryo UI"/>
                <w:sz w:val="18"/>
              </w:rPr>
              <w:t>▲15</w:t>
            </w:r>
          </w:p>
        </w:tc>
        <w:tc>
          <w:tcPr>
            <w:tcW w:type="dxa" w:w="3135"/>
          </w:tcPr>
          <w:p>
            <w:r>
              <w:rPr>
                <w:rFonts w:ascii="Meiryo UI" w:hAnsi="Meiryo UI"/>
                <w:sz w:val="18"/>
              </w:rPr>
              <w:t>ピーク比▲22.5%、6M負けトレンド継続</w:t>
            </w:r>
          </w:p>
        </w:tc>
      </w:tr>
      <w:tr>
        <w:tc>
          <w:tcPr>
            <w:tcW w:type="dxa" w:w="3135"/>
            <w:shd w:val="clear" w:color="auto" w:fill="DDEBF7"/>
          </w:tcPr>
          <w:p>
            <w:r>
              <w:rPr>
                <w:rFonts w:ascii="Meiryo UI" w:hAnsi="Meiryo UI"/>
                <w:sz w:val="18"/>
              </w:rPr>
              <w:t>バリュー</w:t>
            </w:r>
          </w:p>
        </w:tc>
        <w:tc>
          <w:tcPr>
            <w:tcW w:type="dxa" w:w="3135"/>
            <w:shd w:val="clear" w:color="auto" w:fill="DDEBF7"/>
          </w:tcPr>
          <w:p>
            <w:r>
              <w:rPr>
                <w:rFonts w:ascii="Meiryo UI" w:hAnsi="Meiryo UI"/>
                <w:sz w:val="18"/>
              </w:rPr>
              <w:t>+22</w:t>
            </w:r>
          </w:p>
        </w:tc>
        <w:tc>
          <w:tcPr>
            <w:tcW w:type="dxa" w:w="3135"/>
            <w:shd w:val="clear" w:color="auto" w:fill="DDEBF7"/>
          </w:tcPr>
          <w:p>
            <w:r>
              <w:rPr>
                <w:rFonts w:ascii="Meiryo UI" w:hAnsi="Meiryo UI"/>
                <w:sz w:val="18"/>
              </w:rPr>
              <w:t>PBR0.96x（簿価近傍）、アナリストTP乖離+34%</w:t>
            </w:r>
          </w:p>
        </w:tc>
      </w:tr>
      <w:tr>
        <w:tc>
          <w:tcPr>
            <w:tcW w:type="dxa" w:w="3135"/>
          </w:tcPr>
          <w:p>
            <w:r>
              <w:rPr>
                <w:rFonts w:ascii="Meiryo UI" w:hAnsi="Meiryo UI"/>
                <w:sz w:val="18"/>
              </w:rPr>
              <w:t>カタリスト</w:t>
            </w:r>
          </w:p>
        </w:tc>
        <w:tc>
          <w:tcPr>
            <w:tcW w:type="dxa" w:w="3135"/>
          </w:tcPr>
          <w:p>
            <w:r>
              <w:rPr>
                <w:rFonts w:ascii="Meiryo UI" w:hAnsi="Meiryo UI"/>
                <w:sz w:val="18"/>
              </w:rPr>
              <w:t>+12</w:t>
            </w:r>
          </w:p>
        </w:tc>
        <w:tc>
          <w:tcPr>
            <w:tcW w:type="dxa" w:w="3135"/>
          </w:tcPr>
          <w:p>
            <w:r>
              <w:rPr>
                <w:rFonts w:ascii="Meiryo UI" w:hAnsi="Meiryo UI"/>
                <w:sz w:val="18"/>
              </w:rPr>
              <w:t>5月決算発表・FY2027ガイダンス・自社株買い進捗</w:t>
            </w:r>
          </w:p>
        </w:tc>
      </w:tr>
      <w:tr>
        <w:tc>
          <w:tcPr>
            <w:tcW w:type="dxa" w:w="3135"/>
            <w:shd w:val="clear" w:color="auto" w:fill="DDEBF7"/>
          </w:tcPr>
          <w:p>
            <w:r>
              <w:rPr>
                <w:rFonts w:ascii="Meiryo UI" w:hAnsi="Meiryo UI"/>
                <w:sz w:val="18"/>
              </w:rPr>
              <w:t>テクニカル</w:t>
            </w:r>
          </w:p>
        </w:tc>
        <w:tc>
          <w:tcPr>
            <w:tcW w:type="dxa" w:w="3135"/>
            <w:shd w:val="clear" w:color="auto" w:fill="DDEBF7"/>
          </w:tcPr>
          <w:p>
            <w:r>
              <w:rPr>
                <w:rFonts w:ascii="Meiryo UI" w:hAnsi="Meiryo UI"/>
                <w:sz w:val="18"/>
              </w:rPr>
              <w:t>▲3</w:t>
            </w:r>
          </w:p>
        </w:tc>
        <w:tc>
          <w:tcPr>
            <w:tcW w:type="dxa" w:w="3135"/>
            <w:shd w:val="clear" w:color="auto" w:fill="DDEBF7"/>
          </w:tcPr>
          <w:p>
            <w:r>
              <w:rPr>
                <w:rFonts w:ascii="Meiryo UI" w:hAnsi="Meiryo UI"/>
                <w:sz w:val="18"/>
              </w:rPr>
              <w:t>MA25下抜け、MA75に5%の壁</w:t>
            </w:r>
          </w:p>
        </w:tc>
      </w:tr>
      <w:tr>
        <w:tc>
          <w:tcPr>
            <w:tcW w:type="dxa" w:w="3135"/>
          </w:tcPr>
          <w:p>
            <w:r>
              <w:rPr>
                <w:rFonts w:ascii="Meiryo UI" w:hAnsi="Meiryo UI"/>
                <w:sz w:val="18"/>
              </w:rPr>
              <w:t>地政学感応度</w:t>
            </w:r>
          </w:p>
        </w:tc>
        <w:tc>
          <w:tcPr>
            <w:tcW w:type="dxa" w:w="3135"/>
          </w:tcPr>
          <w:p>
            <w:r>
              <w:rPr>
                <w:rFonts w:ascii="Meiryo UI" w:hAnsi="Meiryo UI"/>
                <w:sz w:val="18"/>
              </w:rPr>
              <w:t>+5</w:t>
            </w:r>
          </w:p>
        </w:tc>
        <w:tc>
          <w:tcPr>
            <w:tcW w:type="dxa" w:w="3135"/>
          </w:tcPr>
          <w:p>
            <w:r>
              <w:rPr>
                <w:rFonts w:ascii="Meiryo UI" w:hAnsi="Meiryo UI"/>
                <w:sz w:val="18"/>
              </w:rPr>
              <w:t>内需主体構造でホルムズ・円高リスク軽微</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+21</w:t>
            </w:r>
          </w:p>
        </w:tc>
        <w:tc>
          <w:tcPr>
            <w:tcW w:type="dxa" w:w="3135"/>
            <w:shd w:val="clear" w:color="auto" w:fill="DDEBF7"/>
          </w:tcPr>
          <w:p>
            <w:r>
              <w:rPr>
                <w:rFonts w:ascii="Meiryo UI" w:hAnsi="Meiryo UI"/>
                <w:sz w:val="18"/>
              </w:rPr>
              <w:t>HOLD / Watch（弱い買い検討域）</w:t>
            </w:r>
          </w:p>
        </w:tc>
      </w:tr>
    </w:tbl>
    <w:p/>
    <w:p>
      <w:r>
        <w:t>──────────────────────────────────────────────────</w:t>
      </w:r>
    </w:p>
    <w:p/>
    <w:p>
      <w:pPr>
        <w:pStyle w:val="Heading2"/>
      </w:pPr>
      <w:r>
        <w:rPr>
          <w:rFonts w:ascii="Meiryo UI" w:hAnsi="Meiryo UI"/>
          <w:color w:val="2E74B5"/>
        </w:rPr>
        <w:t>Ⅻ．IR 質問状（竹村トレードカンパニー名義）</w:t>
      </w:r>
    </w:p>
    <w:p/>
    <w:p>
      <w:r>
        <w:rPr>
          <w:rFonts w:ascii="Meiryo UI" w:hAnsi="Meiryo UI"/>
          <w:sz w:val="20"/>
        </w:rPr>
        <w:t xml:space="preserve">宛先：ir_info@holdings.toppan.com  </w:t>
      </w:r>
    </w:p>
    <w:p>
      <w:r>
        <w:rPr>
          <w:rFonts w:ascii="Meiryo UI" w:hAnsi="Meiryo UI"/>
          <w:sz w:val="20"/>
        </w:rPr>
        <w:t>件名：TOPPANホールディングス（7911）IR質問状</w:t>
      </w:r>
    </w:p>
    <w:p/>
    <w:p>
      <w:pPr>
        <w:shd w:val="clear" w:color="auto" w:fill="F2F2F2"/>
      </w:pPr>
      <w:r>
        <w:rPr>
          <w:rFonts w:ascii="Courier New" w:hAnsi="Courier New"/>
          <w:sz w:val="16"/>
        </w:rPr>
        <w:t>株式会社TOPPANホールディングス</w:t>
        <w:br/>
        <w:t>IR・広報室 御中</w:t>
        <w:br/>
        <w:br/>
        <w:t>竹村トレードカンパニーの深井と申します。</w:t>
        <w:br/>
        <w:t>いつも適切なIR情報開示に感謝申し上げます。</w:t>
        <w:br/>
        <w:t>以下5点についてお教えください。</w:t>
        <w:br/>
        <w:br/>
        <w:t>1. FC-BGA基板の生産能力増強スケジュール（FY2027・FY2028）と、</w:t>
        <w:br/>
        <w:t xml:space="preserve">   具体的な売上・OP寄与額の見通し（¥50億・¥100億・¥200億単位でのレンジ）</w:t>
        <w:br/>
        <w:br/>
        <w:t>2. Tekscend Photomaskの持分法利益として、FY2026/3期・FY2027/3期に</w:t>
        <w:br/>
        <w:t xml:space="preserve">   認識する見込み金額と今後の持分比率変更の予定</w:t>
        <w:br/>
        <w:br/>
        <w:t>3. 情報コミュニケーション部門の構造改革（コスト削減・人員最適化・</w:t>
        <w:br/>
        <w:t xml:space="preserve">   アセットライト化）の定量目標と実施スケジュール</w:t>
        <w:br/>
        <w:br/>
        <w:t>4. FY2026/3期の自社株買い総実施額と、FY2027/3期における</w:t>
        <w:br/>
        <w:t xml:space="preserve">   新たな株主還元方針（TSR目標・配当性向・追加自社株買い規模）</w:t>
        <w:br/>
        <w:br/>
        <w:t>5. 5月本決算で提示予定のFY2027/3期 OP利益・EPS ガイダンスレンジ</w:t>
        <w:br/>
        <w:t xml:space="preserve">   および前提条件（為替・原油・半導体需要指数）</w:t>
        <w:br/>
        <w:br/>
        <w:t>何卒よろしくお願いいたします。</w:t>
        <w:br/>
        <w:t>竹村トレードカンパニー</w:t>
        <w:br/>
        <w:t>深井</w:t>
      </w:r>
    </w:p>
    <w:p/>
    <w:p>
      <w:r>
        <w:t>──────────────────────────────────────────────────</w:t>
      </w:r>
    </w:p>
    <w:p/>
    <w:p>
      <w:r>
        <w:rPr>
          <w:rFonts w:ascii="Meiryo UI" w:hAnsi="Meiryo UI"/>
          <w:sz w:val="20"/>
        </w:rPr>
        <w:t>本レポートはDeep Research目的で作成。株価・財務データはyfinanceによりリアルタイム取得（2026-04-22）。投資判断は最終的に読者の責任で行うこと。</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