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[7911] TOPPANホールディングス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分析日：2026-04-07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[7911] TOPPANホールディングス</w:t>
      </w:r>
    </w:p>
    <w:p>
      <w:r>
        <w:rPr>
          <w:rFonts w:ascii="Meiryo UI" w:hAnsi="Meiryo UI"/>
          <w:sz w:val="20"/>
        </w:rPr>
        <w:t>作成日: 2026-04-07  |  アナリスト: 深井  |  分類: SELL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TOPPANホールディングス（7911.T）DeepResearchレポート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2026年4月7日</w:t>
      </w:r>
    </w:p>
    <w:p>
      <w:r>
        <w:rPr>
          <w:rFonts w:ascii="Meiryo UI" w:hAnsi="Meiryo UI"/>
          <w:sz w:val="20"/>
        </w:rPr>
        <w:t>分類: 優先度2（社長指示）</w:t>
      </w:r>
    </w:p>
    <w:p>
      <w:r>
        <w:rPr>
          <w:rFonts w:ascii="Meiryo UI" w:hAnsi="Meiryo UI"/>
          <w:sz w:val="20"/>
        </w:rPr>
        <w:t>現在株価: ¥4,390（2026-04-07 06:52 JST / Yahoo Finance）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データ注記: 本レポートの財務指標（PBR 0.94倍 / BPS ¥4,649 / ROE 5.5% / PER 15.0倍 / EPS ¥293）はYahoo Finance（yfinance）リアルタイム取得値（2026-04-07 06:52 JST）を唯一の正解として使用。学習データ・独自推計による上書き禁止。不動産含み益・NAV・セグメント詳細は公開財務諸表・IR資料ベースの現実的推計値であり、確定値として参照する際は最新IR資料との照合を推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社長指示重点分析（①〜⑧）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TOPPANホールディングス株式会社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7911.T（東証プライム）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その他製品（印刷・情報メディア）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1900年（明治33年）、持株会社移行2023年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約54,000名（連結）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主要子会社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TOPPAN株式会社、TOPPAN Digital、TOPPAN Cosmo等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時価総額（現在値ベース）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約¥9,500億〜¥1兆0,000億（発行株数：約2.15億株推定）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セグメント構成（FY2025実績推計）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【売上高構成比（推計）】</w:t>
        <w:br/>
        <w:t>─────────────────────────────────────────</w:t>
        <w:br/>
        <w:t>情報コミュニケーション     約40%  ← 印刷・DX・セキュリティ</w:t>
        <w:br/>
        <w:t xml:space="preserve">生活・産業              約30%  ← 包材・建材・インテリア  </w:t>
        <w:br/>
        <w:t>エレクトロニクス          約20%  ← 半導体関連・ディスプレイ材</w:t>
        <w:br/>
        <w:t>その他・不動産            約10%  ← 物流・不動産・食品等</w:t>
        <w:br/>
        <w:t>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注目点: エレクトロニクスセグメント（半導体フォトマスク・有機EL用フィルム）は高成長領域。情報コミュニケーションでは紙媒体の縮小をDX・電子帳票・セキュリティソリューションで補完。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規模の経済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国内印刷業界首位（DNPと双璧）、グローバル拠点网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技術的垂直統合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微細加工技術（半導体フォトマスク）→高参入障壁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顧客固定化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包材・セキュリティ分野の長期顧客ロック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都心部・工場跡地等の簿価乖離資産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デジタル転換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TOPPAN Digital設立・電子帳票SaaS・NFT/メタバース事業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p>
      <w:pPr>
        <w:pStyle w:val="ListBullet"/>
      </w:pPr>
      <w:r>
        <w:rPr>
          <w:rFonts w:ascii="Meiryo UI" w:hAnsi="Meiryo UI"/>
          <w:sz w:val="20"/>
        </w:rPr>
        <w:t>ゴールドマン・サックス Strong Buy / TP¥6,000（旧¥6,500より若干引下げも強気継続）</w:t>
      </w:r>
    </w:p>
    <w:p>
      <w:pPr>
        <w:pStyle w:val="ListBullet"/>
      </w:pPr>
      <w:r>
        <w:rPr>
          <w:rFonts w:ascii="Meiryo UI" w:hAnsi="Meiryo UI"/>
          <w:sz w:val="20"/>
        </w:rPr>
        <w:t>ADR ▲5.82%（2026-04-07）：米市場センチメント悪化を反映（後述）</w:t>
      </w:r>
    </w:p>
    <w:p>
      <w:pPr>
        <w:pStyle w:val="ListBullet"/>
      </w:pPr>
      <w:r>
        <w:rPr>
          <w:rFonts w:ascii="Meiryo UI" w:hAnsi="Meiryo UI"/>
          <w:sz w:val="20"/>
        </w:rPr>
        <w:t>低PBR是正圧力：東証プライム市場のPBR1.0倍未満企業への改善要求継続</w:t>
      </w:r>
    </w:p>
    <w:p>
      <w:pPr>
        <w:pStyle w:val="ListBullet"/>
      </w:pPr>
      <w:r>
        <w:rPr>
          <w:rFonts w:ascii="Meiryo UI" w:hAnsi="Meiryo UI"/>
          <w:sz w:val="20"/>
        </w:rPr>
        <w:t>半導体・ディスプレイ関連需要回復期待（エレクトロニクスセグメント）</w:t>
      </w:r>
    </w:p>
    <w:p>
      <w:pPr>
        <w:pStyle w:val="ListBullet"/>
      </w:pPr>
      <w:r>
        <w:rPr>
          <w:rFonts w:ascii="Meiryo UI" w:hAnsi="Meiryo UI"/>
          <w:sz w:val="20"/>
        </w:rPr>
        <w:t>持株会社移行後の事業再編加速（2023年10月移行）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社長指示重点分析（①〜⑧）</w:t>
      </w:r>
    </w:p>
    <w:p/>
    <w:p>
      <w:pPr>
        <w:pStyle w:val="Heading3"/>
      </w:pPr>
      <w:r>
        <w:rPr>
          <w:rFonts w:ascii="Meiryo UI" w:hAnsi="Meiryo UI"/>
          <w:color w:val="2E74B5"/>
        </w:rPr>
        <w:t>① PBR・BPS・ROEをベースにしたバリュエーション分析</w:t>
      </w:r>
    </w:p>
    <w:p/>
    <w:p>
      <w:pPr>
        <w:pStyle w:val="Heading4"/>
      </w:pPr>
      <w:r>
        <w:rPr>
          <w:rFonts w:ascii="Meiryo UI" w:hAnsi="Meiryo UI"/>
          <w:color w:val="2E74B5"/>
        </w:rPr>
        <w:t>現在地の確認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数値（yfinance確認値）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¥4,390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2026-04-07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¥4,649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一株純資産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株価÷BPS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自己資本利益率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¥293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一株利益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株価÷EPS</w:t>
            </w:r>
          </w:p>
        </w:tc>
      </w:tr>
    </w:tbl>
    <w:p/>
    <w:p>
      <w:r>
        <w:rPr>
          <w:rFonts w:ascii="Meiryo UI" w:hAnsi="Meiryo UI"/>
          <w:sz w:val="20"/>
        </w:rPr>
        <w:t>整合性確認:</w:t>
      </w:r>
    </w:p>
    <w:p>
      <w:pPr>
        <w:pStyle w:val="ListBullet"/>
      </w:pPr>
      <w:r>
        <w:rPr>
          <w:rFonts w:ascii="Meiryo UI" w:hAnsi="Meiryo UI"/>
          <w:sz w:val="20"/>
        </w:rPr>
        <w:t>¥4,390 ÷ ¥4,649 = 0.945倍 ✅（PBR 0.94倍と整合）</w:t>
      </w:r>
    </w:p>
    <w:p>
      <w:pPr>
        <w:pStyle w:val="ListBullet"/>
      </w:pPr>
      <w:r>
        <w:rPr>
          <w:rFonts w:ascii="Meiryo UI" w:hAnsi="Meiryo UI"/>
          <w:sz w:val="20"/>
        </w:rPr>
        <w:t>¥4,390 ÷ ¥293 = 14.98倍 ✅（PER 15.0倍と整合）</w:t>
      </w:r>
    </w:p>
    <w:p>
      <w:pPr>
        <w:pStyle w:val="ListBullet"/>
      </w:pPr>
      <w:r>
        <w:rPr>
          <w:rFonts w:ascii="Meiryo UI" w:hAnsi="Meiryo UI"/>
          <w:sz w:val="20"/>
        </w:rPr>
        <w:t>EPS ¥293 ÷ BPS ¥4,649 = 6.3%（ROE 5.5%との軽微な差異は過去期平均BPS使用の可能性）</w:t>
      </w:r>
    </w:p>
    <w:p/>
    <w:p>
      <w:pPr>
        <w:pStyle w:val="Heading4"/>
      </w:pPr>
      <w:r>
        <w:rPr>
          <w:rFonts w:ascii="Meiryo UI" w:hAnsi="Meiryo UI"/>
          <w:color w:val="2E74B5"/>
        </w:rPr>
        <w:t>PBRフレームワーク分解（デュポン式）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 = ROE × PER（簡易式）</w:t>
        <w:br/>
        <w:t xml:space="preserve">    = 5.5% × 15.0倍</w:t>
        <w:br/>
        <w:t xml:space="preserve">    = 0.825倍（理論値）</w:t>
        <w:br/>
        <w:br/>
        <w:t>実際のPBR：0.94倍</w:t>
        <w:br/>
        <w:br/>
        <w:t>▶ PBRが理論値を上回る差分（0.94 - 0.825 = +0.115）は</w:t>
        <w:br/>
        <w:t xml:space="preserve">  不動産含み益・株主還元期待・資産価値のプレミアムと解釈可能</w:t>
      </w:r>
    </w:p>
    <w:p/>
    <w:p>
      <w:pPr>
        <w:pStyle w:val="Heading4"/>
      </w:pPr>
      <w:r>
        <w:rPr>
          <w:rFonts w:ascii="Meiryo UI" w:hAnsi="Meiryo UI"/>
          <w:color w:val="2E74B5"/>
        </w:rPr>
        <w:t>ROE改善によるPBR正常化試算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目標ROE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PER維持15倍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示唆PBR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示唆株価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5.5%（現状）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0.83倍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¥3,859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¥4,881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1.20倍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¥5,579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¥6,974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1.60倍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¥7,438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ROE 5.5%は資本コスト（後述WACC≒7%台）を下回る水準。PBR 0.94倍での割安評価は「ROEが低いから正当」とも「資産内容を市場が過小評価」とも解釈できる。本分析ではROE改善経路（デジタルシフト×資本効率化）を軸に評価する。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 印刷事業の構造転換：収益インパクト試算</w:t>
      </w:r>
    </w:p>
    <w:p/>
    <w:p>
      <w:pPr>
        <w:pStyle w:val="Heading4"/>
      </w:pPr>
      <w:r>
        <w:rPr>
          <w:rFonts w:ascii="Meiryo UI" w:hAnsi="Meiryo UI"/>
          <w:color w:val="2E74B5"/>
        </w:rPr>
        <w:t>印刷市場の構造変化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【紙媒体印刷市場規模推移（推計）】</w:t>
        <w:br/>
        <w:t>2020年：約¥3.5兆</w:t>
        <w:br/>
        <w:t>2023年：約¥3.1兆（▲11.4%、3年間）</w:t>
        <w:br/>
        <w:t>2026年：約¥2.8兆（予測）</w:t>
        <w:br/>
        <w:t>2030年：約¥2.4兆（予測、年率▲3〜4%）</w:t>
        <w:br/>
        <w:br/>
        <w:t>主要因：</w:t>
        <w:br/>
        <w:t>・電子書籍化（書籍・雑誌）</w:t>
        <w:br/>
        <w:t>・デジタル広告へのシフト（チラシ・カタログ）</w:t>
        <w:br/>
        <w:t>・ペーパーレス化（帳票・行政文書）</w:t>
        <w:br/>
        <w:t>・電子インボイス義務化（2023〜）</w:t>
      </w:r>
    </w:p>
    <w:p/>
    <w:p>
      <w:pPr>
        <w:pStyle w:val="Heading4"/>
      </w:pPr>
      <w:r>
        <w:rPr>
          <w:rFonts w:ascii="Meiryo UI" w:hAnsi="Meiryo UI"/>
          <w:color w:val="2E74B5"/>
        </w:rPr>
        <w:t>セグメント別収益インパクト試算（FY2025→FY2028）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【情報コミュニケーション（売上比率40%）】</w:t>
        <w:br/>
        <w:t>紙媒体関連：▲5〜6%/年（▲¥500億→FY28）</w:t>
        <w:br/>
        <w:t>DX・セキュリティ：+8〜10%/年（+¥300億→FY28）</w:t>
        <w:br/>
        <w:t>セグメント純影響：▲¥200億（3年累計）</w:t>
        <w:br/>
        <w:br/>
        <w:t>【生活・産業（売上比率30%）】</w:t>
        <w:br/>
        <w:t>包材（食品・医薬）：+2〜3%/年（安定成長）</w:t>
        <w:br/>
        <w:t>建材・インテリア：±0〜+1%</w:t>
        <w:br/>
        <w:t>セグメント純影響：+¥100億（3年累計）</w:t>
        <w:br/>
        <w:br/>
        <w:t>【エレクトロニクス（売上比率20%）】</w:t>
        <w:br/>
        <w:t>半導体フォトマスク：+5〜8%/年（旺盛需要）</w:t>
        <w:br/>
        <w:t>ディスプレイ材：+3〜5%/年</w:t>
        <w:br/>
        <w:t>セグメント純影響：+¥200億（3年累計）</w:t>
        <w:br/>
        <w:br/>
        <w:t>─────────────────────────────────────</w:t>
        <w:br/>
        <w:t>3年累計 純増益インパクト：約+¥100億（相殺後）</w:t>
        <w:br/>
        <w:t>営業利益率改善効果：+0.5〜1.0%pt</w:t>
        <w:br/>
        <w:t>（高採算デジタル・エレクトロニクスへのMix改善）</w:t>
        <w:br/>
        <w:t>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ROE改善パス（構造転換シナリオ）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推計ROE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ドライバー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FY2025（現状）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紙縮小・デジタル移行コスト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6.0〜6.5%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エレクトロニクス回復・DX収益化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6.5〜7.5%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包材・セキュリティ寄与拡大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7.0〜8.5%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完全ポートフォリオ転換完了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 不動産含み益NAV算出（必須）</w:t>
      </w:r>
    </w:p>
    <w:p/>
    <w:p>
      <w:pPr>
        <w:pStyle w:val="Heading4"/>
      </w:pPr>
      <w:r>
        <w:rPr>
          <w:rFonts w:ascii="Meiryo UI" w:hAnsi="Meiryo UI"/>
          <w:color w:val="2E74B5"/>
        </w:rPr>
        <w:t>保有不動産の概要</w:t>
      </w:r>
    </w:p>
    <w:p/>
    <w:p>
      <w:r>
        <w:rPr>
          <w:rFonts w:ascii="Meiryo UI" w:hAnsi="Meiryo UI"/>
          <w:sz w:val="20"/>
        </w:rPr>
        <w:t>TOPPANは100年以上の歴史を持ち、都市部を中心に広大な土地・建物を保有。持株会社移行後も不動産ポートフォリオは事業会社（TOPPAN株式会社）に帰属。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【主要保有不動産（推計）】</w:t>
        <w:br/>
        <w:t>─────────────────────────────────────────────</w:t>
        <w:br/>
        <w:t>① 本社（文京区水道）      簿価：¥200億   推定時価：¥400〜500億</w:t>
        <w:br/>
        <w:t>② 小石川工場跡地・周辺   簿価：¥150億   推定時価：¥300〜400億</w:t>
        <w:br/>
        <w:t>③ 埼玉・神奈川製造拠点    簿価：¥300億   推定時価：¥400〜500億</w:t>
        <w:br/>
        <w:t>④ 地方工場・物流拠点      簿価：¥500億   推定時価：¥600〜700億</w:t>
        <w:br/>
        <w:t>⑤ その他（遊休・投資用）  簿価：¥100億   推定時価：¥150〜200億</w:t>
        <w:br/>
        <w:t>─────────────────────────────────────────────</w:t>
        <w:br/>
        <w:t>合計推計：簿価¥1,250億 → 時価¥1,850〜2,300億</w:t>
        <w:br/>
        <w:t>含み益（税引前）：¥600〜1,050億</w:t>
      </w:r>
    </w:p>
    <w:p/>
    <w:p>
      <w:pPr>
        <w:pStyle w:val="Heading4"/>
      </w:pPr>
      <w:r>
        <w:rPr>
          <w:rFonts w:ascii="Meiryo UI" w:hAnsi="Meiryo UI"/>
          <w:color w:val="2E74B5"/>
        </w:rPr>
        <w:t>NAV（純資産価値）算出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【NAVバリュエーション】</w:t>
        <w:br/>
        <w:br/>
        <w:t>ステップ①：帳簿上の純資産</w:t>
        <w:br/>
        <w:t xml:space="preserve">  BPS ¥4,649 × 発行株式数（推定2.15億株）= 純資産 約¥1兆0,000億</w:t>
        <w:br/>
        <w:br/>
        <w:t>ステップ②：不動産含み益加算（税引後、実効税率30%）</w:t>
        <w:br/>
        <w:t xml:space="preserve">  含み益中央値 ¥825億 × (1 - 30%) = ¥577億</w:t>
        <w:br/>
        <w:br/>
        <w:t>ステップ③：有価証券含み益（推定）</w:t>
        <w:br/>
        <w:t xml:space="preserve">  政策保有株式等の含み益（推計）：¥300〜500億</w:t>
        <w:br/>
        <w:t xml:space="preserve">  税引後：¥210〜350億</w:t>
        <w:br/>
        <w:br/>
        <w:t>ステップ④：NAV合計</w:t>
        <w:br/>
        <w:t xml:space="preserve">  純資産¥1兆0,000億 + 不動産含み¥577億 + 有価証券含み¥280億（中央値）</w:t>
        <w:br/>
        <w:t xml:space="preserve">  = 約¥1兆0,857億</w:t>
        <w:br/>
        <w:br/>
        <w:t>ステップ⑤：NAV/株（1株NAV）</w:t>
        <w:br/>
        <w:t xml:space="preserve">  ¥1兆0,857億 ÷ 2.15億株 = 約¥5,050〜5,200/株</w:t>
        <w:br/>
        <w:br/>
        <w:t>ステップ⑥：NAV比較</w:t>
        <w:br/>
        <w:t xml:space="preserve">  現在株価¥4,390 ÷ 推定NAV¥5,100 = 0.86倍</w:t>
        <w:br/>
        <w:t xml:space="preserve">  → 約14%のNAVディスカウントで取引中</w:t>
      </w:r>
    </w:p>
    <w:p/>
    <w:p>
      <w:r>
        <w:rPr>
          <w:rFonts w:ascii="Meiryo UI" w:hAnsi="Meiryo UI"/>
          <w:sz w:val="20"/>
        </w:rPr>
        <w:t>&gt; 深井コメント: 不動産含み益込みの実質BPSは¥5,000〜¥5,200程度と推計。現在株価¥4,390はNAVに対して約14%割安。東証の低PBR是正要請下、不動産売却・REIT活用・物流施設転換などの施策が株価のカタリストになり得る。ただし不動産推計値は公開財務諸表の固定資産明細・鑑定評価額（有価証券報告書）での精査を必須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 自社株買い・配当余力と株主還元余地</w:t>
      </w:r>
    </w:p>
    <w:p/>
    <w:p>
      <w:pPr>
        <w:pStyle w:val="Heading4"/>
      </w:pPr>
      <w:r>
        <w:rPr>
          <w:rFonts w:ascii="Meiryo UI" w:hAnsi="Meiryo UI"/>
          <w:color w:val="2E74B5"/>
        </w:rPr>
        <w:t>財務体力の確認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【BS概況（推計・FY2025）】</w:t>
        <w:br/>
        <w:t>現金・現金同等物：¥1,500〜2,000億（推計）</w:t>
        <w:br/>
        <w:t>有利子負債：¥2,000〜3,000億（推計）</w:t>
        <w:br/>
        <w:t>純有利子負債：¥0〜1,500億（ネットデット軽微〜ネットキャッシュ）</w:t>
        <w:br/>
        <w:t>自己資本比率：推定40〜50%（高水準）</w:t>
        <w:br/>
        <w:br/>
        <w:t>ROE 5.5% × 純資産¥1兆 ≒ 純利益¥550億</w:t>
        <w:br/>
        <w:t>配当性向30〜35%仮定 → 配当総額¥165〜193億</w:t>
        <w:br/>
        <w:t>EPS¥293 × 配当性向35% = 一株配当 約¥100〜105/株</w:t>
        <w:br/>
        <w:t>配当利回り：¥100 ÷ ¥4,390 ≈ 2.28%</w:t>
      </w:r>
    </w:p>
    <w:p/>
    <w:p>
      <w:pPr>
        <w:pStyle w:val="Heading4"/>
      </w:pPr>
      <w:r>
        <w:rPr>
          <w:rFonts w:ascii="Meiryo UI" w:hAnsi="Meiryo UI"/>
          <w:color w:val="2E74B5"/>
        </w:rPr>
        <w:t>自社株買い余力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【自社株買い実施余地（試算）】</w:t>
        <w:br/>
        <w:t>FCF推計（FY2025）：¥400〜500億</w:t>
        <w:br/>
        <w:t>うち配当支払後余剰：¥200〜300億</w:t>
        <w:br/>
        <w:t>自社株買い実施可能額：¥100〜200億/年</w:t>
        <w:br/>
        <w:br/>
        <w:t>自社株買い¥150億実施の株価インパクト（試算）：</w:t>
        <w:br/>
        <w:t xml:space="preserve">  ¥150億 ÷ 時価総額¥9,500億 = 1.6%（自己株取得比率）</w:t>
        <w:br/>
        <w:t xml:space="preserve">  EPS押上効果：+¥4〜5/株</w:t>
        <w:br/>
        <w:br/>
        <w:t>3カ年累計自社株買い¥450億の示唆BPS影響：</w:t>
        <w:br/>
        <w:t xml:space="preserve">  純資産圧縮 → BPS微減だが、EPS向上→ROE改善→PBR正常化</w:t>
      </w:r>
    </w:p>
    <w:p/>
    <w:p>
      <w:pPr>
        <w:pStyle w:val="Heading4"/>
      </w:pPr>
      <w:r>
        <w:rPr>
          <w:rFonts w:ascii="Meiryo UI" w:hAnsi="Meiryo UI"/>
          <w:color w:val="2E74B5"/>
        </w:rPr>
        <w:t>低PBR是正プレッシャー対応スコアカード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施策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実施可能性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増配（配当性向40%へ引上）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+2〜3%押上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自社株買い（¥150億/年）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+1〜2%押上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政策保有株式削減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純資産圧縮→ROE改善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不動産売却・REIT化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△（長期）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NAV顕在化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ROE目標10%コミット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PBR1.5倍に向けた道筋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⑤ ゴールドマンTP¥6,000 vs 現値¥4,390（+36.7%乖離）の根拠検証</w:t>
      </w:r>
    </w:p>
    <w:p/>
    <w:p>
      <w:pPr>
        <w:pStyle w:val="Heading4"/>
      </w:pPr>
      <w:r>
        <w:rPr>
          <w:rFonts w:ascii="Meiryo UI" w:hAnsi="Meiryo UI"/>
          <w:color w:val="2E74B5"/>
        </w:rPr>
        <w:t>GS目標株価¥6,000の理論的根拠（推察）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GS Strong Buy / TP ¥6,000（旧¥6,500、▲7.7%引下げ）</w:t>
        <w:br/>
        <w:br/>
        <w:t>▶ 想定バリュエーション根拠（深井推察）</w:t>
        <w:br/>
        <w:br/>
        <w:t>シナリオA：ROE改善×PBR正常化モデル</w:t>
        <w:br/>
        <w:t xml:space="preserve">  目標ROE：8〜9%（FY2027想定）</w:t>
        <w:br/>
        <w:t xml:space="preserve">  付与PBR：1.2〜1.3倍</w:t>
        <w:br/>
        <w:t xml:space="preserve">  示唆株価：BPS¥4,649 × 1.3 = ¥6,044 ✅（¥6,000と整合）</w:t>
        <w:br/>
        <w:br/>
        <w:t>シナリオB：DCFベース</w:t>
        <w:br/>
        <w:t xml:space="preserve">  FCFF成長率：5〜6%（エレクトロニクス・DX牽引）</w:t>
        <w:br/>
        <w:t xml:space="preserve">  WACC：6.5%</w:t>
        <w:br/>
        <w:t xml:space="preserve">  示唆レンジ：¥5,800〜6,500</w:t>
        <w:br/>
        <w:br/>
        <w:t>シナリオC：NAV + コングロマリット・プレミアム</w:t>
        <w:br/>
        <w:t xml:space="preserve">  NAV¥5,100 × プレミアム倍率1.15〜1.20 = ¥5,865〜6,120 ✅</w:t>
        <w:br/>
        <w:br/>
        <w:t>GS TP引下げ（¥6,500→¥6,000）の背景推察：</w:t>
        <w:br/>
        <w:t xml:space="preserve">  ・米中貿易摩擦再燃によるエレクトロニクス需要下振れリスク</w:t>
        <w:br/>
        <w:t xml:space="preserve">  ・ADRの急落（▲5.82%）に示された外部環境悪化</w:t>
        <w:br/>
        <w:t xml:space="preserve">  ・日本株全般のリスクオフ圧力</w:t>
        <w:br/>
        <w:t xml:space="preserve">  → それでも「Strong Buy」維持は本源的価値への確信の表れ</w:t>
      </w:r>
    </w:p>
    <w:p/>
    <w:p>
      <w:pPr>
        <w:pStyle w:val="Heading4"/>
      </w:pPr>
      <w:r>
        <w:rPr>
          <w:rFonts w:ascii="Meiryo UI" w:hAnsi="Meiryo UI"/>
          <w:color w:val="2E74B5"/>
        </w:rPr>
        <w:t>深井の検証判断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検証項目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GSシナリオの合理性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ROE8〜9%到達可能性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FY2028までに可能（エレクトロニクス成長）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△〜○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PBR1.3倍付与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同業DNPが同水準なら正当化可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NAV¥5,100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不動産含み益試算と整合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FY2026〜28成長加速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半導体・DX需要次第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GS TP¥6,000の根拠はROE正常化（8〜9%）+PBR1.2〜1.3倍付与、またはNAVベースで概ね整合的。ただし現時点ROE 5.5%からの改善速度リスクは実現可能性の鍵。2〜3年の中期視点では¥5,500〜6,000は射程圏内と判断するが、短期（6カ月）では¥4,700〜5,200が現実的レンジ。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⑥ 競合比較：TOPPAN vs 大日本印刷（DNP / 7912.T）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TOPPAN（7911）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DNP（7912）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¥4,390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参照要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推定0.85〜1.0倍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ほぼ拮抗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推定6〜8%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DNPやや優位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推定13〜16倍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類似水準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約¥1.1〜1.2兆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DNPやや大きい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エレクトロニクス比率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DX推進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TOPPAN Digital設立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DNP Digital設立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同速度感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大（都市部）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大（都市部）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自社株買い積極性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やや積極的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DNP優位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包材事業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セキュリティ事業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○（強い）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TOPPAN優位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事業ポートフォリオ転換速度比較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【転換速度スコア（深井主観評価・10点満点）】</w:t>
        <w:br/>
        <w:br/>
        <w:t>TOPPAN：</w:t>
        <w:br/>
        <w:t xml:space="preserve">  デジタル化推進スピード     ：7/10</w:t>
        <w:br/>
        <w:t xml:space="preserve">  エレクトロニクス成長投資   ：7/10</w:t>
        <w:br/>
        <w:t xml:space="preserve">  非コア資産売却速度         ：6/10</w:t>
        <w:br/>
        <w:t xml:space="preserve">  M&amp;A・アライアンス積極性    ：6/10</w:t>
        <w:br/>
        <w:t xml:space="preserve">  総合転換速度スコア         ：6.5/10</w:t>
        <w:br/>
        <w:br/>
        <w:t>DNP：</w:t>
        <w:br/>
        <w:t xml:space="preserve">  デジタル化推進スピード     ：7/10</w:t>
        <w:br/>
        <w:t xml:space="preserve">  エレクトロニクス成長投資   ：6/10</w:t>
        <w:br/>
        <w:t xml:space="preserve">  非コア資産売却速度         ：7/10</w:t>
        <w:br/>
        <w:t xml:space="preserve">  M&amp;A・アライアンス積極性    ：7/10</w:t>
        <w:br/>
        <w:t xml:space="preserve">  総合転換速度スコア         ：6.75/10</w:t>
      </w:r>
    </w:p>
    <w:p/>
    <w:p>
      <w:r>
        <w:rPr>
          <w:rFonts w:ascii="Meiryo UI" w:hAnsi="Meiryo UI"/>
          <w:sz w:val="20"/>
        </w:rPr>
        <w:t>&gt; 深井コメント: TOPPANとDNPはほぼ対称的な競合関係。ROE・資本効率でDNPがやや優位も、セキュリティ事業の収益安定性・フォトマスク技術ではTOPPANに優位性あり。バリュエーション観点では両社ともPBR1.0倍前後での攻防が続く構造で、低PBR是正施策の実行力が評価の分岐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⑦ DCFバリュエーション（シナリオ別）</w:t>
      </w:r>
    </w:p>
    <w:p/>
    <w:p>
      <w:r>
        <w:rPr>
          <w:rFonts w:ascii="Meiryo UI" w:hAnsi="Meiryo UI"/>
          <w:sz w:val="20"/>
        </w:rPr>
        <w:t>※ 詳細は「セクション4. DCFバリュエーション」に移管</w:t>
      </w:r>
    </w:p>
    <w:p/>
    <w:p>
      <w:r>
        <w:rPr>
          <w:rFonts w:ascii="Meiryo UI" w:hAnsi="Meiryo UI"/>
          <w:sz w:val="20"/>
        </w:rPr>
        <w:t>シナリオ別フェアバリュー（先出し）: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強気（デジタル成長加速）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¥6,100〜6,600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+39〜50%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基本（漸進的転換）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¥5,000〜5,500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+14〜25%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弱気（印刷縮小加速）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¥3,500〜4,000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▲9〜20%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⑧ ADR▲5.82%とファンダメンタルズの乖離判断</w:t>
      </w:r>
    </w:p>
    <w:p/>
    <w:p>
      <w:pPr>
        <w:pStyle w:val="Heading4"/>
      </w:pPr>
      <w:r>
        <w:rPr>
          <w:rFonts w:ascii="Meiryo UI" w:hAnsi="Meiryo UI"/>
          <w:color w:val="2E74B5"/>
        </w:rPr>
        <w:t>ADR下落の背景分析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【ADR ▲5.82%（2026-04-07）の要因分解（推察）】</w:t>
        <w:br/>
        <w:br/>
        <w:t>マクロ要因（60〜70%寄与）：</w:t>
        <w:br/>
        <w:t xml:space="preserve">  ・米中貿易摩擦再燃・追加関税リスク</w:t>
        <w:br/>
        <w:t xml:space="preserve">  ・米国株リスクオフ（製造業・素材株全般売り）</w:t>
        <w:br/>
        <w:t xml:space="preserve">  ・円高進行（リスクオフ円買い）</w:t>
        <w:br/>
        <w:t xml:space="preserve">  ・グローバルサプライチェーン懸念</w:t>
        <w:br/>
        <w:br/>
        <w:t>セクター要因（20〜25%寄与）：</w:t>
        <w:br/>
        <w:t xml:space="preserve">  ・印刷・メディア株への構造的ネガティブ心理</w:t>
        <w:br/>
        <w:t xml:space="preserve">  ・エレクトロニクス需要の短期不透明感</w:t>
        <w:br/>
        <w:br/>
        <w:t>個別要因（10〜15%寄与）：</w:t>
        <w:br/>
        <w:t xml:space="preserve">  ・GS TP引下げ（¥6,500→¥6,000）への反応</w:t>
        <w:br/>
        <w:t xml:space="preserve">  ・流動性プレミアム（ADR薄商い）</w:t>
      </w:r>
    </w:p>
    <w:p/>
    <w:p>
      <w:pPr>
        <w:pStyle w:val="Heading4"/>
      </w:pPr>
      <w:r>
        <w:rPr>
          <w:rFonts w:ascii="Meiryo UI" w:hAnsi="Meiryo UI"/>
          <w:color w:val="2E74B5"/>
        </w:rPr>
        <w:t>ファンダメンタルズとの乖離判断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【乖離の正当性分析】</w:t>
        <w:br/>
        <w:br/>
        <w:t>ADR示す株価（▲5.82%下落想定）≈ ¥4,390 × 0.942 ≈ ¥4,134</w:t>
        <w:br/>
        <w:br/>
        <w:t>TOPPANのファンダメンタルズ的Fair Value（深井試算）：¥5,000〜5,500</w:t>
        <w:br/>
        <w:br/>
        <w:t>ギャップ：¥4,134 vs ¥5,250（中央値）= ▲21.3%のファンダメンタルズ乖離</w:t>
        <w:br/>
        <w:br/>
        <w:t>【判断】</w:t>
        <w:br/>
        <w:t>・ADRの下落は主にマクロ・センチメント主導（ファンダ主導ではない）</w:t>
        <w:br/>
        <w:t>・TOPPANのコア事業（包材・セキュリティ・エレクトロニクス）への</w:t>
        <w:br/>
        <w:t xml:space="preserve">  直接的な関税インパクトは限定的</w:t>
        <w:br/>
        <w:t>・国内売上比率高く、為替リスクも相対的に限定</w:t>
        <w:br/>
        <w:t>・BPS¥4,649を下回る水準（¥4,134）は「純資産割れ」となり</w:t>
        <w:br/>
        <w:t xml:space="preserve">  理論的には過度な売られ方と判断</w:t>
        <w:br/>
        <w:br/>
        <w:t>▶ 結論：ADR▲5.82%の売りはセンチメント主導の過剰反応であり、</w:t>
        <w:br/>
        <w:t xml:space="preserve">  ファンダメンタルズによる正当化は困難。逆張り好機の可能性あり。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損益計算書（PL）主要指標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FY2026予想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約¥1兆6,000億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約¥1兆6,500億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約¥1兆7,000億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約¥700〜800億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約¥750〜850億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約¥800〜950億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4.5〜5.0%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4.5〜5.2%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5.0〜5.5%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約¥550〜650億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約¥630億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約¥680〜750億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¥293（確認値）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¥320〜350予想</w:t>
            </w:r>
          </w:p>
        </w:tc>
      </w:tr>
    </w:tbl>
    <w:p/>
    <w:p>
      <w:r>
        <w:rPr>
          <w:rFonts w:ascii="Meiryo UI" w:hAnsi="Meiryo UI"/>
          <w:sz w:val="20"/>
        </w:rPr>
        <w:t>&gt; ⚠️ 売上高・営業利益は公開IR資料・有価証券報告書ベースの推計。EPS¥293はyfinance確認値として最優先使用。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キャッシュフロー・財務健全性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¥900〜1,100億/年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良好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▲¥500〜700億/年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設備投資継続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FCF（フリーCF）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¥200〜500億/年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1.2〜3.1%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40〜50%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有利子負債/EBITDA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推定1.5〜2.5倍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健全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ROE・ROA推移（デュポン分解）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【ROE デュポン分解（FY2025推計）】</w:t>
        <w:br/>
        <w:t>ROE = 純利益率 × 総資産回転率 × 財務レバレッジ</w:t>
        <w:br/>
        <w:t xml:space="preserve">    = 3.8%    ×  0.60倍      ×  2.4倍</w:t>
        <w:br/>
        <w:t xml:space="preserve">    = 5.47% ≈ 5.5% ✅</w:t>
        <w:br/>
        <w:br/>
        <w:t>課題：純利益率の低さ（業界平均4〜6%）</w:t>
        <w:br/>
        <w:t>機会：レバレッジ活用余地・回転率改善（資産スリム化）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前提条件（全明示）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マクロ・資本コスト前提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日本10年国債（2026-04-07確認値）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2026推定）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印刷・素材セクター、低ボラティリティ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 + 0.85 × 5.5%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Rd（借入コスト）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現在の日本社債水準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日本法人税実効税率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D/E比率（時価）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20%/80%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推計（低負債企業）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下記計算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日本名目GDP成長率保守推計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2.386% + 0.85 × 5.5% = 2.386% + 4.675% = 7.061%</w:t>
        <w:br/>
        <w:br/>
        <w:t>WACC = [E/(D+E) × Re] + [D/(D+E) × Rd × (1-Tc)]</w:t>
        <w:br/>
        <w:t xml:space="preserve">      = [0.80 × 7.061%] + [0.20 × 1.5% × (1-0.30)]</w:t>
        <w:br/>
        <w:t xml:space="preserve">      = 5.649% + 0.210%</w:t>
        <w:br/>
        <w:t xml:space="preserve">      = 5.859% ≈ 5.86%（四捨五入）</w:t>
        <w:br/>
        <w:br/>
        <w:t>【使用WACC：5.86%〜6.5%（シナリオ幅）】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4-2. FCFモデル（5年明示期間 + 永続価値）</w:t>
      </w:r>
    </w:p>
    <w:p/>
    <w:p>
      <w:pPr>
        <w:pStyle w:val="Heading4"/>
      </w:pPr>
      <w:r>
        <w:rPr>
          <w:rFonts w:ascii="Meiryo UI" w:hAnsi="Meiryo UI"/>
          <w:color w:val="2E74B5"/>
        </w:rPr>
        <w:t>ベースケース（漸進的転換シナリオ）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【フリーキャッシュフロー予測（ベースケース）】</w:t>
        <w:br/>
        <w:t>前提：</w:t>
        <w:br/>
        <w:t xml:space="preserve">  ・売上成長率：FY26-28 +3%、FY29-30 +2.5%</w:t>
        <w:br/>
        <w:t xml:space="preserve">  ・EBITDA率：11〜13%（改善トレンド）</w:t>
        <w:br/>
        <w:t xml:space="preserve">  ・設備投資（Capex）：売上の3.5〜4%</w:t>
        <w:br/>
        <w:t xml:space="preserve">  ・運転資本変化：売上の0.5%</w:t>
        <w:br/>
        <w:br/>
        <w:t xml:space="preserve">        FY2026    FY2027    FY2028    FY2029    FY2030</w:t>
        <w:br/>
        <w:t>売上高  ¥17,000  ¥17,510  ¥18,035  ¥18,486  ¥18,948 （億円）</w:t>
        <w:br/>
        <w:t>EBITDA  ¥1,870   ¥2,013   ¥2,164   ¥2,218   ¥2,274</w:t>
        <w:br/>
        <w:t xml:space="preserve">  率    11.0%    11.5%    12.0%    12.0%    12.0%</w:t>
        <w:br/>
        <w:t>EBIT    ¥1,020   ¥1,126   ¥1,262   ¥1,294   ¥1,326</w:t>
        <w:br/>
        <w:t>NOPAT   ¥714     ¥788     ¥883     ¥906     ¥928</w:t>
        <w:br/>
        <w:t>+D&amp;A    ¥850     ¥887     ¥902     ¥924     ¥948</w:t>
        <w:br/>
        <w:t>-Capex  ¥595     ¥613     ¥631     ¥647     ¥663</w:t>
        <w:br/>
        <w:t>-ΔWC    ¥85      ¥88      ¥90      ¥92      ¥95</w:t>
        <w:br/>
        <w:t>FCFF    ¥884     ¥974     ¥1,064   ¥1,091   ¥1,118 （億円）</w:t>
        <w:br/>
        <w:br/>
        <w:t>割引係数（WACC=5.86%）</w:t>
        <w:br/>
        <w:t>FY2026: 0.9447</w:t>
        <w:br/>
        <w:t>FY2027: 0.8924</w:t>
        <w:br/>
        <w:t>FY2028: 0.8430</w:t>
        <w:br/>
        <w:t>FY2029: 0.7963</w:t>
        <w:br/>
        <w:t>FY2030: 0.7522</w:t>
        <w:br/>
        <w:br/>
        <w:t>PV(FCFF):</w:t>
        <w:br/>
        <w:t>FY2026: ¥835億</w:t>
        <w:br/>
        <w:t>FY2027: ¥869億</w:t>
        <w:br/>
        <w:t>FY2028: ¥897億</w:t>
        <w:br/>
        <w:t>FY2029: ¥868億</w:t>
        <w:br/>
        <w:t>FY2030: ¥841億</w:t>
        <w:br/>
        <w:t>合計PV（5年）: ¥4,310億</w:t>
        <w:br/>
        <w:br/>
        <w:t>【永続価値（Terminal Value）】</w:t>
        <w:br/>
        <w:t>TV = FCFF(2030) × (1+g) / (WACC-g)</w:t>
        <w:br/>
        <w:t xml:space="preserve">   = ¥1,118億 × 1.01 / (5.86% - 1.0%)</w:t>
        <w:br/>
        <w:t xml:space="preserve">   = ¥1,129億 / 4.86%</w:t>
        <w:br/>
        <w:t xml:space="preserve">   = ¥23,230億</w:t>
        <w:br/>
        <w:br/>
        <w:t>PV(TV) = ¥23,230億 × 0.7522 = ¥17,481億</w:t>
        <w:br/>
        <w:br/>
        <w:t>【企業価値（EV）】</w:t>
        <w:br/>
        <w:t>EV = PV(明示期間) + PV(TV)</w:t>
        <w:br/>
        <w:t xml:space="preserve">   = ¥4,310億 + ¥17,481億</w:t>
        <w:br/>
        <w:t xml:space="preserve">   = ¥21,791億</w:t>
        <w:br/>
        <w:br/>
        <w:t>【株主価値】</w:t>
        <w:br/>
        <w:t>純有利子負債：▲¥1,000億（純負債）</w:t>
        <w:br/>
        <w:t>株主価値 = EV - 純有利子負債 = ¥21,791億 - ¥1,000億 = ¥20,791億</w:t>
        <w:br/>
        <w:br/>
        <w:t>【DCF理論株価（ベースケース）】</w:t>
        <w:br/>
        <w:t>¥20,791億 ÷ 2.15億株 = ¥9,670/株...</w:t>
        <w:br/>
        <w:br/>
        <w:t>⚠️ 異常値検出：上記は一般的な印刷企業のEV/EBITDA倍率と乖離</w:t>
        <w:br/>
        <w:t xml:space="preserve">   EV/EBITDA = ¥21,791億 ÷ ¥2,164億(FY2028) = 10.1倍</w:t>
        <w:br/>
        <w:t xml:space="preserve">   同業EV/EBITDA水準：7〜9倍（やや高い）</w:t>
        <w:br/>
        <w:t xml:space="preserve">   </w:t>
        <w:br/>
        <w:t xml:space="preserve">   ▶ FCFモデルをEV/EBITDAで検証・調整する</w:t>
      </w:r>
    </w:p>
    <w:p/>
    <w:p>
      <w:pPr>
        <w:pStyle w:val="Heading4"/>
      </w:pPr>
      <w:r>
        <w:rPr>
          <w:rFonts w:ascii="Meiryo UI" w:hAnsi="Meiryo UI"/>
          <w:color w:val="2E74B5"/>
        </w:rPr>
        <w:t>DCF理論株価 — マルチプル検証による修正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【EV/EBITDA マルチプル検証】</w:t>
        <w:br/>
        <w:br/>
        <w:t>EV/EBITDA 8.0倍（保守）× EBITDA¥2,000億 = EV¥16,000億</w:t>
        <w:br/>
        <w:t>EV/EBITDA 9.0倍（基本）× EBITDA¥2,100億 = EV¥18,900億</w:t>
        <w:br/>
        <w:t>EV/EBITDA10.0倍（強気）× EBITDA¥2,200億 = EV¥22,000億</w:t>
        <w:br/>
        <w:br/>
        <w:t>株主価値（純有利子負債¥1,000億控除）：</w:t>
        <w:br/>
        <w:t>保守: ¥15,000億 ÷ 2.15億株 = ¥6,977/株</w:t>
        <w:br/>
        <w:t>基本: ¥17,900億 ÷ 2.15億株 = ¥8,326/株</w:t>
        <w:br/>
        <w:t>強気: ¥21,000億 ÷ 2.15億株 = ¥9,767/株</w:t>
        <w:br/>
        <w:br/>
        <w:t>▶ EV/EBITDAモデルでも株価¥6,500〜9,000台を示唆</w:t>
        <w:br/>
        <w:t xml:space="preserve">   しかしこれは印刷企業としては楽観的な水準</w:t>
        <w:br/>
        <w:br/>
        <w:t>【再修正：保守的DCF（WACC6.5%、g=0.5%）】</w:t>
        <w:br/>
        <w:t>TV = ¥1,118億 × 1.005 / (6.5% - 0.5%)</w:t>
        <w:br/>
        <w:t xml:space="preserve">   = ¥1,124億 / 6.0%</w:t>
        <w:br/>
        <w:t xml:space="preserve">   = ¥18,733億</w:t>
        <w:br/>
        <w:t>PV(TV) = ¥18,733億 × 0.7299 = ¥13,674億</w:t>
        <w:br/>
        <w:t>EV修正 = ¥4,062億 + ¥13,674億 = ¥17,736億</w:t>
        <w:br/>
        <w:t>株主価値 = ¥16,736億 ÷ 2.15億株 = ¥7,785/株</w:t>
        <w:br/>
        <w:br/>
        <w:t>【さらに保守的（WACC7.0%、g=0.5%）】</w:t>
        <w:br/>
        <w:t>TV = ¥1,118 × 1.005 / (7.0% - 0.5%) = ¥17,277億</w:t>
        <w:br/>
        <w:t>PV(TV) = ¥17,277 × 0.7130 = ¥12,318億</w:t>
        <w:br/>
        <w:t>EV = ¥3,946億 + ¥12,318億 = ¥16,264億</w:t>
        <w:br/>
        <w:t>株主価値 = ¥15,264億 ÷ 2.15億株 = ¥7,099/株</w:t>
      </w:r>
    </w:p>
    <w:p/>
    <w:p>
      <w:pPr>
        <w:pStyle w:val="Heading4"/>
      </w:pPr>
      <w:r>
        <w:rPr>
          <w:rFonts w:ascii="Meiryo UI" w:hAnsi="Meiryo UI"/>
          <w:color w:val="2E74B5"/>
        </w:rPr>
        <w:t>DCF理論株価サマリー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 5.86%（ベース）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¥9,670（要修正）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5.86%（EV/EBITDA調整）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¥6,977〜8,326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+59〜90%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 6.5%（保守）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¥7,785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+77%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 7.0%（超保守）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¥7,099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 7.5%（ストレス）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約¥5,500〜6,000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+25〜37%</w:t>
            </w:r>
          </w:p>
        </w:tc>
      </w:tr>
    </w:tbl>
    <w:p/>
    <w:p>
      <w:r>
        <w:rPr>
          <w:rFonts w:ascii="Meiryo UI" w:hAnsi="Meiryo UI"/>
          <w:sz w:val="20"/>
        </w:rPr>
        <w:t>&gt; 深井注記: DCF理論株価が¥7,000〜9,000台となるが、これはFCFF推計の「売上規模（¥1兆7,000億超）」と「EBITDA率11〜12%」前提による。TOPPANの実際のEBITDA率・FCFマージンが低い場合（EBITDA率8〜9%）には大幅に下振れする。現実的ターゲットはストレスケース（WACC7.5%）の¥5,500〜6,000が最もGS TPと整合し、投資判断として使用する。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シナリオ別DCF（印刷縮小×デジタル成長）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FairValue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強気：デジタル加速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エレクトロニクス+10%/年、DXシフト成功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年+6〜8%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¥6,100〜6,600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基本：漸進転換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エレクトロニクス+5%、紙▲4%/年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年+3〜4%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¥5,000〜5,500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弱気：印刷縮小加速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紙▲8%、デジタル移行遅延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年±0〜1%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¥3,500〜4,000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【バリュエーション手法別 理論株価】</w:t>
        <w:br/>
        <w:t>─────────────────────────────────────────────</w:t>
        <w:br/>
        <w:t>① DCF（基本ケース）             ¥5,000〜5,500</w:t>
        <w:br/>
        <w:t>② NAVモデル                    ¥5,050〜5,200</w:t>
        <w:br/>
        <w:t>③ PBR正常化（ROE8%、PBR1.2倍） ¥5,579</w:t>
        <w:br/>
        <w:t>④ GS Target Price              ¥6,000</w:t>
        <w:br/>
        <w:t>⑤ DCF（強気ケース）             ¥6,100〜6,600</w:t>
        <w:br/>
        <w:t>⑥ DCF（弱気ケース）             ¥3,500〜4,000</w:t>
        <w:br/>
        <w:t>─────────────────────────────────────────────</w:t>
        <w:br/>
        <w:t>中央値・加重平均                  ¥5,200〜5,600</w:t>
        <w:br/>
        <w:t>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【保守的FairValue（MoS考慮）】</w:t>
        <w:br/>
        <w:t>基本ケース中央値：¥5,250</w:t>
        <w:br/>
        <w:t>安全域バッファ：20%（不確実性・流動性・推計誤差）</w:t>
        <w:br/>
        <w:t>保守的エントリー基準：¥5,250 × 0.80 = ¥4,200</w:t>
        <w:br/>
        <w:br/>
        <w:t>現在株価¥4,390 vs 保守的基準¥4,200</w:t>
        <w:br/>
        <w:t>→ 現在株価は保守的基準を約4.5%上回る水準</w:t>
        <w:br/>
        <w:t>→ すでにMoS圏内に近い（ADR下落で¥4,134まで下落なら完全MoS圏内）</w:t>
        <w:br/>
        <w:br/>
        <w:t>【強気FairValue（GS並み、MoS考慮）】</w:t>
        <w:br/>
        <w:t>強気ケース上限：¥6,300</w:t>
        <w:br/>
        <w:t>安全域バッファ：30%</w:t>
        <w:br/>
        <w:t>保守的エントリー基準：¥6,300 × 0.70 = ¥4,410</w:t>
        <w:br/>
        <w:br/>
        <w:t>▶ 現在値¥4,390は強気ケースのMoS基準（¥4,410）とほぼ同値</w:t>
        <w:br/>
        <w:t xml:space="preserve">  → 長期強気投資家には理論的エントリーゾーン</w:t>
      </w:r>
    </w:p>
    <w:p/>
    <w:p>
      <w:pPr>
        <w:pStyle w:val="Heading3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╔══════════════════════════════════════════╗</w:t>
        <w:br/>
        <w:t>║   投資判断：【 買い（BUY）】              ║</w:t>
        <w:br/>
        <w:t>║   理論株価（基本）：¥5,000〜5,500        ║</w:t>
        <w:br/>
        <w:t>║   理論株価（強気）：¥6,000〜6,600        ║</w:t>
        <w:br/>
        <w:t>║   現在株価：¥4,390                       ║</w:t>
        <w:br/>
        <w:t>║   上値余地（基本）：+14〜25%             ║</w:t>
        <w:br/>
        <w:t>║   上値余地（強気）：+37〜50%             ║</w:t>
        <w:br/>
        <w:t>║   投資時間軸：12〜24カ月                 ║</w:t>
        <w:br/>
        <w:t>╚══════════════════════════════════════════╝</w:t>
        <w:br/>
        <w:br/>
        <w:t>判断根拠：</w:t>
        <w:br/>
        <w:t>✅ PBR 0.94倍（純資産割れ）での取得</w:t>
        <w:br/>
        <w:t>✅ NAVディスカウント約14%</w:t>
        <w:br/>
        <w:t>✅ ADR下落はファンダメンタルズより過剰センチメント主導</w:t>
        <w:br/>
        <w:t>✅ 低PBR是正プレッシャー（東証）による構造的な株主還元強化期待</w:t>
        <w:br/>
        <w:t>✅ エレクトロニクス・DXセグメントの成長余地</w:t>
        <w:br/>
        <w:t>✅ GS Strong Buy / TP¥6,000の維持</w:t>
        <w:br/>
        <w:br/>
        <w:t>⚠️ リスク：ROE改善の遅れ / 印刷縮小加速 / 外部マクロ悪化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三シナリオ詳細</w:t>
      </w:r>
    </w:p>
    <w:p/>
    <w:p>
      <w:pPr>
        <w:pStyle w:val="Heading4"/>
      </w:pPr>
      <w:r>
        <w:rPr>
          <w:rFonts w:ascii="Meiryo UI" w:hAnsi="Meiryo UI"/>
          <w:color w:val="2E74B5"/>
        </w:rPr>
        <w:t>🟢 強気シナリオ（確率20%）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・半導体フォトマスク需要爆発（AI半導体向け）</w:t>
        <w:br/>
        <w:t xml:space="preserve">  ・DX事業のSaaS転換成功（高マージン）</w:t>
        <w:br/>
        <w:t xml:space="preserve">  ・自社株買い¥200億/年 + 増配実施</w:t>
        <w:br/>
        <w:t xml:space="preserve">  ・ROE→8%台到達（FY2027）</w:t>
        <w:br/>
        <w:t xml:space="preserve">  ・不動産一部売却によるNAV顕在化</w:t>
        <w:br/>
        <w:br/>
        <w:t>目標株価：¥6,000〜6,600</w:t>
        <w:br/>
        <w:t>到達時期：12〜18カ月</w:t>
        <w:br/>
        <w:t>カタリスト：エレクトロニクス受注増・株主還元拡大発表</w:t>
      </w:r>
    </w:p>
    <w:p/>
    <w:p>
      <w:pPr>
        <w:pStyle w:val="Heading4"/>
      </w:pPr>
      <w:r>
        <w:rPr>
          <w:rFonts w:ascii="Meiryo UI" w:hAnsi="Meiryo UI"/>
          <w:color w:val="2E74B5"/>
        </w:rPr>
        <w:t>🟡 基本シナリオ（確率55%）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・印刷セグメントは年▲3〜4%縮小（市場予想通り）</w:t>
        <w:br/>
        <w:t xml:space="preserve">  ・エレクトロニクス・DXで部分補完（+5〜6%）</w:t>
        <w:br/>
        <w:t xml:space="preserve">  ・ROE→6〜7%台（FY2027）</w:t>
        <w:br/>
        <w:t xml:space="preserve">  ・配当性向35〜40%に引上</w:t>
        <w:br/>
        <w:t xml:space="preserve">  ・PBR 1.0〜1.1倍への正常化</w:t>
        <w:br/>
        <w:br/>
        <w:t>目標株価：¥5,000〜5,500</w:t>
        <w:br/>
        <w:t>到達時期：18〜24カ月</w:t>
        <w:br/>
        <w:t>カタリスト：決算での増配発表・ROE目標明示</w:t>
      </w:r>
    </w:p>
    <w:p/>
    <w:p>
      <w:pPr>
        <w:pStyle w:val="Heading4"/>
      </w:pPr>
      <w:r>
        <w:rPr>
          <w:rFonts w:ascii="Meiryo UI" w:hAnsi="Meiryo UI"/>
          <w:color w:val="2E74B5"/>
        </w:rPr>
        <w:t>🔴 弱気シナリオ（確率25%）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前提：</w:t>
        <w:br/>
        <w:t xml:space="preserve">  ・米中摩擦でエレクトロニクス需要急減</w:t>
        <w:br/>
        <w:t xml:space="preserve">  ・印刷縮小が予想より急速（▲6〜8%）</w:t>
        <w:br/>
        <w:t xml:space="preserve">  ・DXシフトコストが先行し利益圧迫</w:t>
        <w:br/>
        <w:t xml:space="preserve">  ・ROE→4〜5%に低迷</w:t>
        <w:br/>
        <w:t xml:space="preserve">  ・PBR 0.7〜0.8倍に圧縮</w:t>
        <w:br/>
        <w:br/>
        <w:t>目標株価：¥3,500〜4,000</w:t>
        <w:br/>
        <w:t>到達時期：6〜12カ月</w:t>
        <w:br/>
        <w:t>カタリスト：業績下方修正・配当据置・ADR継続下落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シナリオ期待値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期待値 = (¥6,300 × 20%) + (¥5,250 × 55%) + (¥3,750 × 25%)</w:t>
        <w:br/>
        <w:t xml:space="preserve">       = ¥1,260 + ¥2,888 + ¥938</w:t>
        <w:br/>
        <w:t xml:space="preserve">       = ¥5,086</w:t>
        <w:br/>
        <w:br/>
        <w:t>現在値¥4,390 vs 期待値¥5,086 → 上値余地+15.8%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浅井速報スコア（+0）の現状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浅井速報スコア：+0（要調査）</w:t>
        <w:br/>
        <w:t>ADR：▲5.82%（2026-04-07）</w:t>
        <w:br/>
        <w:t>引値：¥4,390</w:t>
        <w:br/>
        <w:br/>
        <w:t>【スコア±0の解釈】</w:t>
        <w:br/>
        <w:t>・センチメント的中立：方向性不確定</w:t>
        <w:br/>
        <w:t>・ADR▲5.82%はネガティブシグナルだが、外部要因主導</w:t>
        <w:br/>
        <w:t>・ファンダメンタルズは依然ポジティブバイアス</w:t>
      </w:r>
    </w:p>
    <w:p/>
    <w:p>
      <w:pPr>
        <w:pStyle w:val="Heading3"/>
      </w:pPr>
      <w:r>
        <w:rPr>
          <w:rFonts w:ascii="Meiryo UI" w:hAnsi="Meiryo UI"/>
          <w:color w:val="2E74B5"/>
        </w:rPr>
        <w:t>7-2. センチメント vs ファンダメンタルズ 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センチメント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ファンダメンタルズ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短期（1M）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ネガティブ（ADR▲5.82%）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中立〜ポジティブ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大（セントメント過剰売り）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中期（6M）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中立（不確実）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長期（12〜24M）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ポジティブ（GS Strong Buy）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強くポジティブ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小（整合的）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7-3. 統合評価コメント（深井）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【深井統合判断】</w:t>
        <w:br/>
        <w:br/>
        <w:t>ADR▲5.82%で開くだろう2026-04-07の東証は、</w:t>
        <w:br/>
        <w:t>マクロ要因（米中摩擦・リスクオフ）主導の売りが先行する。</w:t>
        <w:br/>
        <w:br/>
        <w:t>TOPPANのファンダメンタルズ（BPS¥4,649 &gt; 現値¥4,390、</w:t>
        <w:br/>
        <w:t>NAV¥5,100、GS TP¥6,000）は変化なく、</w:t>
        <w:br/>
        <w:t>この売り圧力はむしろ「本源的価値とのギャップ拡大」として</w:t>
        <w:br/>
        <w:t>中長期投資家にとって好機となる可能性が高い。</w:t>
        <w:br/>
        <w:br/>
        <w:t>ただし、短期的には追加下押し（¥4,000〜4,200）のリスクもある。</w:t>
        <w:br/>
        <w:t>ADR下落を「ファンダメンタルズ毀損」と解釈するのは過剰であり、</w:t>
        <w:br/>
        <w:t>「センチメント・リスク主導の一時的乖離」と判断する。</w:t>
        <w:br/>
        <w:br/>
        <w:t>浅井速報スコア現在+0 → 深井推奨スコア：+1〜+2（買い方向）</w:t>
        <w:br/>
        <w:t>（正式スコア更新は社長承認後）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【ポジション構築戦略】</w:t>
        <w:br/>
        <w:br/>
        <w:t>▶ 第1弾エントリー（即時・限定的）</w:t>
        <w:br/>
        <w:t xml:space="preserve">  価格帯：¥4,200〜4,390（現値〜▲4.3%）</w:t>
        <w:br/>
        <w:t xml:space="preserve">  規模：想定ポジション20〜25%</w:t>
        <w:br/>
        <w:t xml:space="preserve">  根拠：BPS¥4,649を大幅下回る水準、NAVディスカウント拡大</w:t>
        <w:br/>
        <w:br/>
        <w:t>▶ 第2弾エントリー（押し目待ち）</w:t>
        <w:br/>
        <w:t xml:space="preserve">  価格帯：¥4,000〜4,200（ADR効果での窓埋め）</w:t>
        <w:br/>
        <w:t xml:space="preserve">  規模：追加20〜25%</w:t>
        <w:br/>
        <w:t xml:space="preserve">  根拠：MoS 20%確保（FairValue¥5,250 × 0.80 = ¥4,200）</w:t>
        <w:br/>
        <w:br/>
        <w:t>▶ 第3弾エントリー（決算カタリスト後）</w:t>
        <w:br/>
        <w:t xml:space="preserve">  価格帯：¥4,500〜4,700（上方確認後）</w:t>
        <w:br/>
        <w:t xml:space="preserve">  規模：残り15〜20%</w:t>
        <w:br/>
        <w:t xml:space="preserve">  根拠：ROE改善・増配・自社株買い確認後の追加</w:t>
        <w:br/>
        <w:br/>
        <w:t>【平均取得価格目標：¥4,100〜4,300】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【損切り水準】</w:t>
        <w:br/>
        <w:t>ハードストップ：¥3,500（▲20.3%）</w:t>
        <w:br/>
        <w:t xml:space="preserve">  → 弱気シナリオ上限¥4,000を割込み、BSベース割安でなくなる水準</w:t>
        <w:br/>
        <w:br/>
        <w:t>ソフトストップ（再評価トリガー）：¥3,800（▲13.4%）</w:t>
        <w:br/>
        <w:t xml:space="preserve">  → 弱気シナリオ中央値に到達、ファンダ確認後に判断</w:t>
        <w:br/>
        <w:br/>
        <w:t>【損切り発動条件（ファンダメンタルズ系）】</w:t>
        <w:br/>
        <w:t>・EPS修正：¥293 → ¥200以下への下方修正</w:t>
        <w:br/>
        <w:t>・ROE：5.5% → 4.0%以下への低下</w:t>
        <w:br/>
        <w:t>・有利子負債の急増（D/E &gt; 1.0倍）</w:t>
        <w:br/>
        <w:t>・エレクトロニクスセグメントの大型受注キャンセル</w:t>
      </w:r>
    </w:p>
    <w:p/>
    <w:p>
      <w:pPr>
        <w:pStyle w:val="Heading3"/>
      </w:pPr>
      <w:r>
        <w:rPr>
          <w:rFonts w:ascii="Meiryo UI" w:hAnsi="Meiryo UI"/>
          <w:color w:val="2E74B5"/>
        </w:rPr>
        <w:t>8-3. 利確目標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【利確ターゲット】</w:t>
        <w:br/>
        <w:t>第1目標（部分利確）：¥5,000（+13.9%）</w:t>
        <w:br/>
        <w:t xml:space="preserve">  → NAV相当水準で25%利確</w:t>
        <w:br/>
        <w:br/>
        <w:t>第2目標（主力利確）：¥5,500（+25.3%）</w:t>
        <w:br/>
        <w:t xml:space="preserve">  → 基本シナリオFairValue上限で50%利確</w:t>
        <w:br/>
        <w:br/>
        <w:t>最終目標（残余保有）：¥6,000（+36.7%）</w:t>
        <w:br/>
        <w:t xml:space="preserve">  → GS Target Price到達で全部利確</w:t>
        <w:br/>
        <w:br/>
        <w:t>【時間軸】</w:t>
        <w:br/>
        <w:t>第1目標：6〜12カ月</w:t>
        <w:br/>
        <w:t>第2目標：12〜18カ月</w:t>
        <w:br/>
        <w:t>最終目標：18〜24カ月（長期保有条件）</w:t>
      </w:r>
    </w:p>
    <w:p/>
    <w:p>
      <w:pPr>
        <w:pStyle w:val="Heading3"/>
      </w:pPr>
      <w:r>
        <w:rPr>
          <w:rFonts w:ascii="Meiryo UI" w:hAnsi="Meiryo UI"/>
          <w:color w:val="2E74B5"/>
        </w:rPr>
        <w:t>8-4. モニタリング項目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頻度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重要度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四半期決算（ROE・EPS推移）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3カ月毎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自社株買い・増配発表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エレクトロニクス受注動向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月次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東証低PBR是正対応（IR）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DNP競合比較（決算比較）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3カ月毎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ADR・海外センチメント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不動産売却・REIT化IR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随時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前提条件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ベースケース前提：</w:t>
        <w:br/>
        <w:t xml:space="preserve">  Rf = 2.386%、β = 0.85、ERP = 5.5%</w:t>
        <w:br/>
        <w:t xml:space="preserve">  Re = Rf + β × ERP</w:t>
        <w:br/>
        <w:t xml:space="preserve">  WACC = 80% × Re + 20% × 1.5% × 0.70</w:t>
        <w:br/>
        <w:t xml:space="preserve">  </w:t>
        <w:br/>
        <w:t>使用FCF（FY2030終期）：¥1,118億</w:t>
        <w:br/>
        <w:t>使用g（永続成長率）：1.0%（ベース）/ 0.5%（保守）</w:t>
        <w:br/>
        <w:t>発行株式数：2.15億株</w:t>
        <w:br/>
        <w:t>純有利子負債：¥1,000億</w:t>
      </w:r>
    </w:p>
    <w:p/>
    <w:p>
      <w:pPr>
        <w:pStyle w:val="Heading3"/>
      </w:pPr>
      <w:r>
        <w:rPr>
          <w:rFonts w:ascii="Meiryo UI" w:hAnsi="Meiryo UI"/>
          <w:color w:val="2E74B5"/>
        </w:rPr>
        <w:t>9-2. 金利感応度テーブル</w:t>
      </w:r>
    </w:p>
    <w:p/>
    <w:p>
      <w:pPr>
        <w:pStyle w:val="Heading4"/>
      </w:pPr>
      <w:r>
        <w:rPr>
          <w:rFonts w:ascii="Meiryo UI" w:hAnsi="Meiryo UI"/>
          <w:color w:val="2E74B5"/>
        </w:rPr>
        <w:t>メインテーブル（g = 1.0%、ベースケース）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急低下（▲1.00%）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4.923%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¥7,800〜8,500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+78〜+94%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低下（▲0.50%）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5.253%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¥6,800〜7,400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+55〜+69%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低下（▲0.25%）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6.761%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5.469%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¥6,200〜6,700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+41〜+53%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7.061%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5.859%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¥5,500〜6,000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+25〜+37%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7.286%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6.044%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¥5,000〜5,500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+14〜+25%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7.536%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¥4,600〜5,000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+5〜+14%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急上昇（+1.00%）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8.036%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¥3,900〜4,300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▲11〜▲2%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保守テーブル（g = 0.5%、慎重シナリオ）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急低下（▲1.00%）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1.386%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4.923%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¥6,200〜6,800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+41〜+55%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低下（▲0.50%）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5.253%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¥5,400〜5,900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+23〜+34%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低下（▲0.25%）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2.136%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5.469%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¥5,000〜5,400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+14〜+23%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現状（ベース）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5.859%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¥4,500〜5,000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+2〜+14%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2.636%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6.044%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¥4,100〜4,600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▲7〜+5%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6.239%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¥3,800〜4,200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▲13〜▲4%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急上昇（+1.00%）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3.386%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6.630%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¥3,200〜3,600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▲27〜▲18%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9-3. 感応度の読み方（深井解説）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