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Yu Gothic"/>
          <w:rFonts w:ascii="Yu Gothic" w:hAnsi="Yu Gothic"/>
          <w:b w:val="0"/>
          <w:color w:val="2E74B5"/>
          <w:sz w:val="22"/>
        </w:rPr>
        <w:t>竹村トレードカンパニー アナリストチーム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00467F"/>
          <w:sz w:val="44"/>
        </w:rPr>
        <w:t>8031 三井物産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2E74B5"/>
          <w:sz w:val="28"/>
        </w:rPr>
        <w:t>Deep Research — BUY +82</w:t>
      </w:r>
    </w:p>
    <w:p/>
    <w:p/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担当アナリスト：深井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分析日：2026-04-26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TP：¥6,800（現値+17.6%）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安全域：+17.6%（現値¥5,784）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優先度：1（最高）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次回決算：2026年5月1日（木）15:30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推奨アクション：決算前30%エントリー・5/1本玉判断</w:t>
      </w:r>
    </w:p>
    <w:p>
      <w:r>
        <w:br w:type="page"/>
      </w:r>
    </w:p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8031 三井物産 — Deep Research</w:t>
      </w:r>
    </w:p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IRページ・コンタクト先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IR公式URL</w:t>
      </w:r>
      <w:r>
        <w:rPr>
          <w:rFonts w:eastAsia="Yu Gothic"/>
          <w:rFonts w:ascii="Yu Gothic" w:hAnsi="Yu Gothic"/>
          <w:b w:val="0"/>
          <w:sz w:val="20"/>
        </w:rPr>
        <w:t>: https://www.mitsui.com/jp/ja/ir/index.html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IR問い合わせ</w:t>
      </w:r>
      <w:r>
        <w:rPr>
          <w:rFonts w:eastAsia="Yu Gothic"/>
          <w:rFonts w:ascii="Yu Gothic" w:hAnsi="Yu Gothic"/>
          <w:b w:val="0"/>
          <w:sz w:val="20"/>
        </w:rPr>
        <w:t>: 公式フォーム経由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次回決算発表</w:t>
      </w:r>
      <w:r>
        <w:rPr>
          <w:rFonts w:eastAsia="Yu Gothic"/>
          <w:rFonts w:ascii="Yu Gothic" w:hAnsi="Yu Gothic"/>
          <w:b w:val="0"/>
          <w:sz w:val="20"/>
        </w:rPr>
        <w:t>: 2026年5月1日（木）15:30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IR担当連絡先</w:t>
      </w:r>
      <w:r>
        <w:rPr>
          <w:rFonts w:eastAsia="Yu Gothic"/>
          <w:rFonts w:ascii="Yu Gothic" w:hAnsi="Yu Gothic"/>
          <w:b w:val="0"/>
          <w:sz w:val="20"/>
        </w:rPr>
        <w:t>: 竹村トレードカンパニー名義でフォーム送信を推奨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1. 10秒サマリー（結論ファースト）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安全域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現値（4/24終値）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BUY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+82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¥6,800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+17.6%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¥5,784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3弾丸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SMBC森本AN「商社で最もポジティブ」</w:t>
      </w:r>
      <w:r>
        <w:rPr>
          <w:rFonts w:eastAsia="Yu Gothic"/>
          <w:rFonts w:ascii="Yu Gothic" w:hAnsi="Yu Gothic"/>
          <w:b w:val="0"/>
          <w:sz w:val="20"/>
        </w:rPr>
        <w:t>。エネルギーアセット感応度最大＋間接影響（商船三井欧州タンカー市況倍増・Novusメチオニン市況倍増）が他4商社との決定的差別化要因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FY2026着地上振れ確度高い</w:t>
      </w:r>
      <w:r>
        <w:rPr>
          <w:rFonts w:eastAsia="Yu Gothic"/>
          <w:rFonts w:ascii="Yu Gothic" w:hAnsi="Yu Gothic"/>
          <w:b w:val="0"/>
          <w:sz w:val="20"/>
        </w:rPr>
        <w:t>。3Q純利益¥6,119億（進捗74.6%）、4QにWTI$94・LNG高・タンカー市況寄与で¥8,300-8,500億着地見込み。増配¥120（前期比+¥15）・自社株買い継続がサポート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銅$6.027/lb・鉄鉱石$107/t・原料炭$230/t（+24%YoY）が金属資源セグメントを押し上げ</w:t>
      </w:r>
      <w:r>
        <w:rPr>
          <w:rFonts w:eastAsia="Yu Gothic"/>
          <w:rFonts w:ascii="Yu Gothic" w:hAnsi="Yu Gothic"/>
          <w:b w:val="0"/>
          <w:sz w:val="20"/>
        </w:rPr>
        <w:t>。FY2027も高水準維持が見込まれる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最重要リスク（定量化）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WTI フォワードカーブがバックワーデーション（M1=$94.40→M12=$77.48、</w:t>
      </w:r>
      <w:r>
        <w:rPr>
          <w:rFonts w:eastAsia="Yu Gothic"/>
          <w:rFonts w:ascii="Yu Gothic" w:hAnsi="Yu Gothic"/>
          <w:b/>
          <w:sz w:val="20"/>
        </w:rPr>
        <w:t>▲17.9%</w:t>
      </w:r>
      <w:r>
        <w:rPr>
          <w:rFonts w:eastAsia="Yu Gothic"/>
          <w:rFonts w:ascii="Yu Gothic" w:hAnsi="Yu Gothic"/>
          <w:b w:val="0"/>
          <w:sz w:val="20"/>
        </w:rPr>
        <w:t>）。FY2027ガイダンスは原油$75-80前提となり純利益</w:t>
      </w:r>
      <w:r>
        <w:rPr>
          <w:rFonts w:eastAsia="Yu Gothic"/>
          <w:rFonts w:ascii="Yu Gothic" w:hAnsi="Yu Gothic"/>
          <w:b/>
          <w:sz w:val="20"/>
        </w:rPr>
        <w:t>¥7,000-7,500億への減益ガイダンス</w:t>
      </w:r>
      <w:r>
        <w:rPr>
          <w:rFonts w:eastAsia="Yu Gothic"/>
          <w:rFonts w:ascii="Yu Gothic" w:hAnsi="Yu Gothic"/>
          <w:b w:val="0"/>
          <w:sz w:val="20"/>
        </w:rPr>
        <w:t>が濃厚。Bloomberg速報（4/25）の米イラン交渉進展がさらに原油下落方向を示唆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推奨アクション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決算前に小玉（30%）エントリー可</w:t>
      </w:r>
      <w:r>
        <w:rPr>
          <w:rFonts w:eastAsia="Yu Gothic"/>
          <w:rFonts w:ascii="Yu Gothic" w:hAnsi="Yu Gothic"/>
          <w:b w:val="0"/>
          <w:sz w:val="20"/>
        </w:rPr>
        <w:t>。5/1決算後のFY2027ガイダンス確認で本玉（70%）判断。ガイダンス純利益¥7,000億以上→全玉追加。¥6,500億以下→損切り検討（SL¥5,000）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2. 株価・財務指標（リアルタイム 4/24）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取得元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現在株価（4/24終値）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¥5,784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前日比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+¥65（+1.14%）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52週高値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¥6,675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52週安値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¥2,703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現値の高値比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▲13.3%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計算値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¥16.39兆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EV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¥21.72兆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1.96倍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¥2,949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10.78%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EPS（Trailing）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¥315.23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EPS（Forward）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¥293.85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Forward PER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19.7倍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2.07%（¥120/株）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前期配当実績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¥105/株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現金・預金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¥8,580億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有利子負債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¥5兆8,073億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D/E比率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67.0%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Beta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0.48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発行済株式数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28.34億株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アナリスト平均TP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¥6,437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yfinance（13名）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アナリスト最高TP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¥7,800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3. コモディティ スポット・フォワードカーブ分析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3-1. WTI原油（最重要：エネルギーセグメントの軸）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限月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価格（$/bbl）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現値比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取得日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M1 スポット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$94.40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4/24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M6（Sep 2026）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$82.71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▲12.4%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4/24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M12（Dec 2026）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$77.48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▲17.9%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4/24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カーブ構造: </w:t>
      </w:r>
      <w:r>
        <w:rPr>
          <w:rFonts w:eastAsia="Yu Gothic"/>
          <w:rFonts w:ascii="Yu Gothic" w:hAnsi="Yu Gothic"/>
          <w:b/>
          <w:sz w:val="20"/>
        </w:rPr>
        <w:t>バックワーデーション（期先安）</w:t>
      </w:r>
      <w:r>
        <w:rPr>
          <w:rFonts w:eastAsia="Yu Gothic"/>
          <w:rFonts w:ascii="Yu Gothic" w:hAnsi="Yu Gothic"/>
          <w:b w:val="0"/>
          <w:sz w:val="20"/>
        </w:rPr>
        <w:t>。FY2027ガイダンスは原油$75-80前提が現実的。WTI$1/bbl変動→三井物産純利益±50-60億円の感応度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3-2. 天然ガス・LNG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取得日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Henry Hub（NG=F）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$2.683/MMBtu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4/24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JKM LNG スポット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$15.235/MMBtu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4/26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JKM 4/13（ホルムズピーク）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$18台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4/13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Cameron LNG（三井持分16.6%・年産取込400万t）はHenry Hub連動割安調達→JKMスプレッド拡大が継続。エネルギーセグメントの最大プラス要因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3-3. 鉄鉱石（CFR China 62%Fe）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取得日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スポット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$105.14〜107.11/t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4週間変化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+5.08%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位置感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2026年1月来最高値圏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中国インフラ投資継続が下支え。三井物産は豪州・ブラジル鉄鉱石権益保有。FY2026 Q4・FY2027初頭の収益にポジティブ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3-4. 銅（HG=F）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価格（$/lb）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$/t換算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4/24 スポット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$6.027/lb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$13,287/t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過去最高水準圏。三井物産は銅権益を保有（鉄鉱石・石炭より規模小）。金属資源セグメントへの追加寄与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3-5. 原料炭（コークス炭）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FOB豪州 スポット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$230/t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前月比+2.91%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前年比（YoY）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+23.66%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豪州大雨影響で高止まり。三井物産は豪州原料炭権益を保有（BMA合弁等）。前年比+24%は金属資源セグメントへの継続的追い風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3-6. メチオニン（Novus International）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DL-メチオニン スポット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$2,700〜3,400/t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アジアFOBベース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三井物産持分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100%子会社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2016年完全取得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世界シェア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約30%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米国最大手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SMBCセミナーで「メチオニン市況倍増」が三井物産の間接プラス要因として指摘。化学品セグメントへの貢献。単体財務は非公開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3-7. コモディティ総合サマリー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品目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スポット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フォワード方向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三井への影響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WTI原油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$94.40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▲17.9%（Dec）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短期↑FY2027ガイダンス↓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JKM LNG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$15.24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ホルムズ次第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Cameron LNGスプレッド↑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鉄鉱石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$107/t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安定〜緩落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銅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$6.027/lb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高水準継続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原料炭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$230/t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+24% YoY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メチオニン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$2,700-3,400/t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高止まり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4. 業績分析・ガイダンス予測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4-1. FY2026（3月期）着地予測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3Q累計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進捗率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通期会社予想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浅井着地予測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¥6,119億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74.6%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¥8,200億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¥8,300-8,500億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基礎営業CF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¥7,488億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78.8%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¥9,500億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¥9,500-10,000億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セグメント別3Q累計と4Q見通し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3Q累計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4Q見通し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エネルギー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¥1,385億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+146億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大幅上振れ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化学品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¥555億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+152億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上振れ継続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金属資源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¥1,997億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▲295億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鉄鉱石・銅・炭高で回復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機械・インフラ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¥1,621億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▲239億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横ばい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次世代・機能推進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¥42億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▲629億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投資先評価損注意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4-2. FY2027（新年度）ガイダンス予測（コモディティフォワードカーブベース）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品目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FY2026想定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FY2027フォワード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セグメント影響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WTI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$85-95/bbl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$77-82/bbl（▲10%）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エネルギー▲200-300億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JKM LNG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$15-18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$14-16（ホルムズ次第）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中立〜軽微マイナス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鉄鉱石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$100-107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$95-105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軽微マイナス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銅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$5.5-6.0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$5.5-6.0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中立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原料炭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$220-230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$200-220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軽微マイナス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FY2027 純利益ガイダンス予測: </w:t>
      </w:r>
      <w:r>
        <w:rPr>
          <w:rFonts w:eastAsia="Yu Gothic"/>
          <w:rFonts w:ascii="Yu Gothic" w:hAnsi="Yu Gothic"/>
          <w:b/>
          <w:sz w:val="20"/>
        </w:rPr>
        <w:t>¥7,000-7,500億</w:t>
      </w:r>
      <w:r>
        <w:rPr>
          <w:rFonts w:eastAsia="Yu Gothic"/>
          <w:rFonts w:ascii="Yu Gothic" w:hAnsi="Yu Gothic"/>
          <w:b w:val="0"/>
          <w:sz w:val="20"/>
        </w:rPr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Bull（ホルムズ長期化・原油$85維持）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¥8,500億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¥300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¥7,500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Base（フォワードカーブ通り）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¥7,500億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¥265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¥6,800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Bear（イラン合意・原油$65）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¥6,000億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¥212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¥5,500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4-3. Q-1（前四半期）からの定性変化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3Q（10-12月）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4Q（1-3月）変化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WTI価格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$70-75/bbl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$85-100/bbl（+30%）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LNGスポット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$13-15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$15-18（ホルムズ）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商船三井タンカー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通常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市況倍増（欧州石油）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メチオニン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通常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倍増水準（SMBC指摘）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原料炭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$210-220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$225-235（+5%）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5. FV算定（Rf=2.380%固定）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5-1. パラメータ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恒久設定（10年JGB）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0.48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yfinance実測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ERP（Japan）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標準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5.02%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2.380% + 0.48×5.5%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ターミナル成長率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5-2. PBR法（商社の標準評価軸）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BPS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目標PBR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¥2,949→¥3,150（BPS+5%）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2.40x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¥7,560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¥2,949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2.30x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¥6,784≈¥6,800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¥2,949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1.80x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¥5,308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目標PBR 2.30xの根拠: ROE10.78%÷WACC5.02%=2.15倍（理論値）＋ホルムズカオスプレミアム0.15倍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5-3. PER法（クロスチェック）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FY2027 EPS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PER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¥300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22x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¥6,600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¥265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22x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¥5,830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PBR法¥6,800を採用（商社の標準評価軸・PER法との乖離は資産価値の成長を反映）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5-4. 1%感応度（Delta）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変数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1単位変化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純利益感応度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EPS変化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株価Delta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原油$1/bbl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±50-60億円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±¥1.8-2.1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±¥40-46/株（±0.7%）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為替1円（対USD）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1円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±20-30億円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±¥0.7-1.1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±¥15-24/株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LNG $1/MMBtu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±30-40億円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±¥1.1-1.4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±¥24-31/株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鉄鉱石$1/t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±15-20億円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±¥0.5-0.7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±¥11-15/株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6. 競合比較（大手商社5社）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Forward PER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配当利回り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AN平均TP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8031 三井物産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¥5,784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1.96x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10.8%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19.7x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2.07%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¥6,437</w:t>
            </w:r>
          </w:p>
        </w:tc>
      </w:tr>
      <w:tr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8058 三菱商事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¥4,950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2.02x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8.5%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23.3x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2.22%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¥5,062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8053 住友商事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¥5,781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1.52x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12.6%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13.0x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2.42%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¥7,101</w:t>
            </w:r>
          </w:p>
        </w:tc>
      </w:tr>
      <w:tr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8001 伊藤忠商事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¥1,940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2.15x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14.2%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2.27%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¥2,452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8002 丸紅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¥5,936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2.36x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12.9%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19.1x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1.81%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¥6,255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三井物産はPBR1.96xで5社中2番目に低い。ROE10.8%は最低水準。住友商事がROE12.6%・PBR1.52xで最も割安感。SMBCセミナー森本AN「三井＞三菱」評価の根拠はエネルギーアセット感応度の差異および間接影響の広がり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7. 不動産含み益考察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三井物産の不動産関連: 三井不動産持分法適用・都市開発事業・物流施設（三井物産アーバンデベロップメント）。有形固定資産¥7,088億（FY2025）が主体。化学・商社として工場用地は少なく、含み益の規模は限定的。</w:t>
      </w:r>
      <w:r>
        <w:rPr>
          <w:rFonts w:eastAsia="Yu Gothic"/>
          <w:rFonts w:ascii="Yu Gothic" w:hAnsi="Yu Gothic"/>
          <w:b/>
          <w:sz w:val="20"/>
        </w:rPr>
        <w:t>純現金はネット有利子負債のため、隠れ資産は不動産よりLNG・鉄鉱石等の資源権益の実勢価値に集中</w:t>
      </w:r>
      <w:r>
        <w:rPr>
          <w:rFonts w:eastAsia="Yu Gothic"/>
          <w:rFonts w:ascii="Yu Gothic" w:hAnsi="Yu Gothic"/>
          <w:b w:val="0"/>
          <w:sz w:val="20"/>
        </w:rPr>
        <w:t>。権益の時価は帳簿価格を大幅に上回るが定量化は困難。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8. リスクシナリオ定量分析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シナリオ1: 米イラン交渉合意・原油$65急落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トリガー: ホルムズ完全開放→WTI$94→$65（▲31%）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エネルギーセグメント: ▲700-900億円/年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純利益: FY2027 ¥7,500億→¥6,000-6,500億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株価インパクト: PBR1.7-1.8x→</w:t>
      </w:r>
      <w:r>
        <w:rPr>
          <w:rFonts w:eastAsia="Yu Gothic"/>
          <w:rFonts w:ascii="Yu Gothic" w:hAnsi="Yu Gothic"/>
          <w:b/>
          <w:sz w:val="20"/>
        </w:rPr>
        <w:t>¥5,008-5,308（▲8-13%）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対応: 銅・鉄鉱石・メチオニンの高水準がクッション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シナリオ2: ホルムズ長期化・原油$100維持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FY2027エネルギーセグメント大幅上振れ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純利益: ¥8,500-9,000億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株価インパクト: PBR2.3-2.5x→</w:t>
      </w:r>
      <w:r>
        <w:rPr>
          <w:rFonts w:eastAsia="Yu Gothic"/>
          <w:rFonts w:ascii="Yu Gothic" w:hAnsi="Yu Gothic"/>
          <w:b/>
          <w:sz w:val="20"/>
        </w:rPr>
        <w:t>¥6,783-7,373（+17-27%）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シナリオ3: 中国景気悪化・鉄鉱石$80/t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金属資源セグメント▲400-600億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純利益: ▲200-300億（WTI高でオフセット可能）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株価インパクト: ▲¥200-400（▲3-7%）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9. 決算前購入の判断（直接回答）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FY2026着地サプライズ余地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4Qエネルギー・タンカー・メチオニン上振れ確度高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FY2027ガイダンスの強さ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★★☆☆☆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WTI Fwd▲18%→¥7,000-7,500億の保守的ガイダンス必至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増配・自社株買い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¥120増配確定（+¥15）・自社株買い継続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Bloomberg速報影響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★★☆☆☆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米イラン交渉進展→原油下落センチメント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商社相対比較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5社中最ポジティブ（SMBC森本AN評価）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結論: 決算前「小玉30%」エントリー可・5/1本玉判断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決算前エントリーの根拠: ¥120増配確定・FY2026着地上振れ・SMBC最ポジ評価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5/1まで待つ理由: WTIフォワードカーブ→ガイダンスは必ず保守的・イラン交渉進展で原油下落リスク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SL¥5,000（PBR1.70x水準）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10. 5/1決算チェックリスト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強気閾値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弱気閾値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FY2026純利益着地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¥8,500億以上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¥8,000億未満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FY2027ガイダンス純利益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¥7,500億以上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¥6,500億未満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FY2027配当方針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¥130以上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¥120据え置き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自社株買い発表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新規¥1,000億以上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なし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原油前提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$75以上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$70以下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次期中計方針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ROE12%以上目標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据え置き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11. IR質問状（竹村トレードカンパニー名義）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To: 三井物産株式会社 IR担当御中</w:t>
        <w:br/>
        <w:t>From: 竹村トレードカンパニー</w:t>
        <w:br/>
        <w:t>件名: FY2026決算・FY2027見通しに関する質問</w:t>
        <w:br/>
        <w:br/>
        <w:t>1. FY2026 Q4（1-3月）における欧州航路石油タンカービジネス</w:t>
        <w:br/>
        <w:t xml:space="preserve">   （商船三井JV）の傭船料水準と純利益への具体的寄与額は？</w:t>
        <w:br/>
        <w:br/>
        <w:t>2. Novus International（メチオニン）のFY2026通期売上・</w:t>
        <w:br/>
        <w:t xml:space="preserve">   営業利益（概算）とFY2027の市況見通しは？</w:t>
        <w:br/>
        <w:br/>
        <w:t>3. WTIフォワードカーブ（$77/bbl Dec2026）を前提とした</w:t>
        <w:br/>
        <w:t xml:space="preserve">   FY2027エネルギーセグメントの感応度計算をご提示ください。</w:t>
        <w:br/>
        <w:br/>
        <w:t>4. Cameron LNG（JKM-HHスプレッド拡大）の</w:t>
        <w:br/>
        <w:t xml:space="preserve">   通年利益貢献額の試算と次期中計での位置づけは？</w:t>
        <w:br/>
        <w:br/>
        <w:t>5. FY2027の累進配当方針（¥120→¥130以上の継続可否）と</w:t>
        <w:br/>
        <w:t xml:space="preserve">   自社株買い規模（次期中計での追加枠）をお教えください。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*分析日: 2026-04-26 | 担当: 深井 | 竹村トレードカンパニー アナリストチーム*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