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eastAsia="Yu Gothic"/>
          <w:rFonts w:ascii="Yu Gothic" w:hAnsi="Yu Gothic"/>
          <w:b w:val="0"/>
          <w:color w:val="2E74B5"/>
          <w:sz w:val="22"/>
        </w:rPr>
        <w:t>竹村トレードカンパニー アナリストチーム</w:t>
      </w:r>
    </w:p>
    <w:p/>
    <w:p>
      <w:pPr>
        <w:jc w:val="center"/>
      </w:pPr>
      <w:r>
        <w:rPr>
          <w:rFonts w:eastAsia="Yu Gothic"/>
          <w:rFonts w:ascii="Yu Gothic" w:hAnsi="Yu Gothic"/>
          <w:b/>
          <w:color w:val="00467F"/>
          <w:sz w:val="44"/>
        </w:rPr>
        <w:t>8053 住友商事</w:t>
      </w:r>
    </w:p>
    <w:p/>
    <w:p>
      <w:pPr>
        <w:jc w:val="center"/>
      </w:pPr>
      <w:r>
        <w:rPr>
          <w:rFonts w:eastAsia="Yu Gothic"/>
          <w:rFonts w:ascii="Yu Gothic" w:hAnsi="Yu Gothic"/>
          <w:b/>
          <w:color w:val="2E74B5"/>
          <w:sz w:val="28"/>
        </w:rPr>
        <w:t>Deep Research — BUY +80</w:t>
      </w:r>
    </w:p>
    <w:p/>
    <w:p/>
    <w:p>
      <w:pPr>
        <w:jc w:val="center"/>
      </w:pPr>
      <w:r>
        <w:rPr>
          <w:rFonts w:eastAsia="Yu Gothic"/>
          <w:rFonts w:ascii="Yu Gothic" w:hAnsi="Yu Gothic"/>
          <w:b w:val="0"/>
          <w:sz w:val="22"/>
        </w:rPr>
        <w:t>担当アナリスト：深井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2"/>
        </w:rPr>
        <w:t>分析日：2026-04-26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2"/>
        </w:rPr>
        <w:t>BaseTP：¥7,400（現値+28.0%）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2"/>
        </w:rPr>
        <w:t>BullTP：¥8,000（現値+38.4%）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2"/>
        </w:rPr>
        <w:t>安全域（Base）：+28.0%（現値¥5,781）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2"/>
        </w:rPr>
        <w:t>優先度：1（最高）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2"/>
        </w:rPr>
        <w:t>次回決算：2026年5月上旬（FY2026通期）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2"/>
        </w:rPr>
        <w:t>推奨アクション：決算前30%エントリー・5月上旬本玉判断</w:t>
      </w:r>
    </w:p>
    <w:p>
      <w:r>
        <w:br w:type="page"/>
      </w:r>
    </w:p>
    <w:p>
      <w:pPr>
        <w:spacing w:before="20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00467F"/>
          <w:sz w:val="32"/>
        </w:rPr>
        <w:t>8053 住友商事 — Deep Research（BUY）</w:t>
      </w:r>
    </w:p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IRページ・コンタクト先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IR公式URL</w:t>
      </w:r>
      <w:r>
        <w:rPr>
          <w:rFonts w:eastAsia="Yu Gothic"/>
          <w:rFonts w:ascii="Yu Gothic" w:hAnsi="Yu Gothic"/>
          <w:b w:val="0"/>
          <w:sz w:val="20"/>
        </w:rPr>
        <w:t>: https://www.sumitomocorp.com/ja/jp/ir/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IR問い合わせ</w:t>
      </w:r>
      <w:r>
        <w:rPr>
          <w:rFonts w:eastAsia="Yu Gothic"/>
          <w:rFonts w:ascii="Yu Gothic" w:hAnsi="Yu Gothic"/>
          <w:b w:val="0"/>
          <w:sz w:val="20"/>
        </w:rPr>
        <w:t>: https://www.sumitomocorp.com/ja/jp/ir/contacts/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次回決算発表</w:t>
      </w:r>
      <w:r>
        <w:rPr>
          <w:rFonts w:eastAsia="Yu Gothic"/>
          <w:rFonts w:ascii="Yu Gothic" w:hAnsi="Yu Gothic"/>
          <w:b w:val="0"/>
          <w:sz w:val="20"/>
        </w:rPr>
        <w:t>: 2026年5月上旬（正式日未公表。例年5/8前後）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IR担当連絡先</w:t>
      </w:r>
      <w:r>
        <w:rPr>
          <w:rFonts w:eastAsia="Yu Gothic"/>
          <w:rFonts w:ascii="Yu Gothic" w:hAnsi="Yu Gothic"/>
          <w:b w:val="0"/>
          <w:sz w:val="20"/>
        </w:rPr>
        <w:t>: 竹村トレードカンパニー名義でウェブフォーム送信を推奨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1. 10秒サマリー（結論ファースト）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BaseTP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BullTP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安全域（Base）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現値（4/26）</w:t>
            </w:r>
          </w:p>
        </w:tc>
      </w:tr>
      <w:tr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BUY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+80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¥7,400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¥8,000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+28.0%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¥5,781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3弾丸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商社5社で最低PBR（1.52×）× 第2位ROE（12.63%）= ROE/PBR比率が圧倒的最優位</w:t>
      </w:r>
      <w:r>
        <w:rPr>
          <w:rFonts w:eastAsia="Yu Gothic"/>
          <w:rFonts w:ascii="Yu Gothic" w:hAnsi="Yu Gothic"/>
          <w:b w:val="0"/>
          <w:sz w:val="20"/>
        </w:rPr>
        <w:t>。伊藤忠2.15×・丸紅2.36×・三菱2.02×が軒並み2倍超で推移する中、同等ROE帯で1.52×に放置されている構造的割安が核心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銅フォワードカーブが12Mで▲3.8%（WTIの▲17.9%と対照的にほぼフラット）</w:t>
      </w:r>
      <w:r>
        <w:rPr>
          <w:rFonts w:eastAsia="Yu Gothic"/>
          <w:rFonts w:ascii="Yu Gothic" w:hAnsi="Yu Gothic"/>
          <w:b w:val="0"/>
          <w:sz w:val="20"/>
        </w:rPr>
        <w:t>。三井物産はWTI急バックワーデーションでFY2027ガイダンスに下方圧力を受けるが、住友商事は銅主導で収益持続性が高い。銅スポット$6.027/lb（52W高値の92%水準）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Q1 FY2026 NI ¥170.8B（EPS ¥141.08）</w:t>
      </w:r>
      <w:r>
        <w:rPr>
          <w:rFonts w:eastAsia="Yu Gothic"/>
          <w:rFonts w:ascii="Yu Gothic" w:hAnsi="Yu Gothic"/>
          <w:b w:val="0"/>
          <w:sz w:val="20"/>
        </w:rPr>
        <w:t>。年換算¥683Bペースは保守的に割り引いても通期¥560-580Bを示唆。FY2025実績¥561.9Bとほぼ同水準でのフラット着地が濃厚。メディア・デジタルセグメントが安定キャッシュフロー（年間¥100-120B）で下支え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最重要リスク（定量化）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銅価格急落（$4/lb水準へ） + 米イラン交渉完全停止解除（WTI $65急落）の同時発現シナリオ。NI影響▲¥50-70B。ただし両イベントは構造的に逆相関（ホルムズ解消 = 原油安 = 中国工業回復 = 銅価格支持）のため同時発現確率は低い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推奨アクション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決算前30%エントリー</w:t>
      </w:r>
      <w:r>
        <w:rPr>
          <w:rFonts w:eastAsia="Yu Gothic"/>
          <w:rFonts w:ascii="Yu Gothic" w:hAnsi="Yu Gothic"/>
          <w:b w:val="0"/>
          <w:sz w:val="20"/>
        </w:rPr>
        <w:t>。FY2026 NI ¥560B超 + FY2027ガイダンス ¥480B以上確認で本玉投入。銅フォワードが持つため三井物産より安定的なロングとして機能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2. 株価・財務指標（リアルタイム 4/26）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取得元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現在株価（4/26）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¥5,781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前日終値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¥5,754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当日高値 / 安値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¥5,887 / ¥5,781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52週高値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¥6,755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52週安値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¥3,438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時価総額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¥6.897兆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EV（企業価値）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¥11.168兆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PBR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1.52倍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¥3,802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ROE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12.63%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EPS（Trailing 12M）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¥502.95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EPS（Forward FY2027E）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¥443.29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PER（Trailing）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11.49倍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PER（Forward FY2027）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13.04倍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配当利回り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2.42%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Beta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0.58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現金・現預金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¥630.7B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有利子負債合計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¥4,736B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ネット有利子負債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¥4,105B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アナリスト平均TP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¥7,101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 (12名)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アナリスト高値TP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¥8,100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推奨スコア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1.75（BUY）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3. 年次業績推移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FY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売上収益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営業利益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当期純利益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EPS（概算）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NI前年比</w:t>
            </w:r>
          </w:p>
        </w:tc>
      </w:tr>
      <w:tr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FY2022（Mar）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¥5,495B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¥295.7B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¥463.7B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¥388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FY2023（Mar）</w:t>
            </w:r>
          </w:p>
        </w:tc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¥6,818B</w:t>
            </w:r>
          </w:p>
        </w:tc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¥423.0B</w:t>
            </w:r>
          </w:p>
        </w:tc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¥565.3B</w:t>
            </w:r>
          </w:p>
        </w:tc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¥473</w:t>
            </w:r>
          </w:p>
        </w:tc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+22.0%</w:t>
            </w:r>
          </w:p>
        </w:tc>
      </w:tr>
      <w:tr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FY2024（Mar）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¥6,910B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¥414.9B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¥386.4B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¥324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▲31.7%</w:t>
            </w:r>
          </w:p>
        </w:tc>
      </w:tr>
      <w:tr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FY2025（Mar）</w:t>
            </w:r>
          </w:p>
        </w:tc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¥7,292B</w:t>
            </w:r>
          </w:p>
        </w:tc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¥405.0B</w:t>
            </w:r>
          </w:p>
        </w:tc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¥561.9B</w:t>
            </w:r>
          </w:p>
        </w:tc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¥471</w:t>
            </w:r>
          </w:p>
        </w:tc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+45.4%</w:t>
            </w:r>
          </w:p>
        </w:tc>
      </w:tr>
      <w:tr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FY2026E（Mar）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¥7,500-7,800B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¥440-460B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¥560-590B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¥469-494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▲0〜+5%</w:t>
            </w:r>
          </w:p>
        </w:tc>
      </w:tr>
    </w:tbl>
    <w:p/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  <w:t>FY2024の急落（¥565→¥386B）は資源価格調整期。FY2025で完全V字回復。FY2026はほぼフラット〜微増と見る。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4. コモディティ市況：スポット＋フォワードカーブ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4-1. 銅（CME HG・最重要）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限月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価格（$/lb）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価格（$/MT）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対スポット比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意味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スポット（4/26）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$6.027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$13,287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52W高値$6.508の92%水準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M3（7月限）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~$6.05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~$13,340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+0.4%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緩やかなコンタンゴ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M6（10月限）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~$5.98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~$13,185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▲0.8%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ほぼフラット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M12（26年4月限）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~$5.80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~$12,790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▲3.8%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わずかなバックワーデーション</w:t>
            </w:r>
          </w:p>
        </w:tc>
      </w:tr>
    </w:tbl>
    <w:p/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WTIの12M▲17.9%と比べて圧倒的にフラット</w:t>
      </w:r>
      <w:r>
        <w:rPr>
          <w:rFonts w:eastAsia="Yu Gothic"/>
          <w:rFonts w:ascii="Yu Gothic" w:hAnsi="Yu Gothic"/>
          <w:b w:val="0"/>
          <w:sz w:val="20"/>
        </w:rPr>
        <w:t>。住友商事の最大の商品競争優位。FY2027銅収益は現水準の約96%が維持される計算。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&gt;</w:t>
      </w:r>
    </w:p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  <w:t>52W推移：6M前$5.14→3M前$6.18→現在$6.027。高値$6.508から▲7.4%だが依然歴史的高水準。2024年銅スーパーサイクル論（エネルギー転換需要）が価格を支持。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4-2. WTI原油（エネルギー・資源セグメント）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限月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価格（$/bbl）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対スポット比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M1（5月限 CL=F）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$94.40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M6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~$82.71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▲12.4%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M12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~$77.48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▲17.9%</w:t>
            </w:r>
          </w:p>
        </w:tc>
      </w:tr>
    </w:tbl>
    <w:p/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  <w:t>ホルムズ封鎖継続を反映した有事プレミアムが内包。FY2027ガイダンスへの下方圧力（WTI $80仮定で試算）。住友商事のWTI感応度は三井物産より低い（LNG権益規模差）。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4-3. ブレント原油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価格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現値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Brent BZ=F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$99.13/bbl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WTI対比スプレッド+$4.73</w:t>
            </w:r>
          </w:p>
        </w:tc>
      </w:tr>
    </w:tbl>
    <w:p/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4-4. 鉄鉱石（SGX TIO=F）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鉄鉱石スポット（62%Fe CFR China）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~$109/MT（推定）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SGX TIO=F参照価格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$161.91（限月・ベーシス差あり）</w:t>
            </w:r>
          </w:p>
        </w:tc>
      </w:tr>
    </w:tbl>
    <w:p/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  <w:t>住友商事の鉄鉱石直接権益は限定的。主に金属製品セグメントの鋼材マージンに影響。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4-5. 石炭（ニューカッスル・一般炭）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一般炭スポット（Newcastle FOB）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~$105/MT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原料炭（Queensland FOB）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~$215-225/MT（推定）</w:t>
            </w:r>
          </w:p>
        </w:tc>
      </w:tr>
    </w:tbl>
    <w:p/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  <w:t>住友商事はオーストラリア原料炭鉱山権益を保有。高原料炭価格はプラス。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4-6. ニッケル（LME 3M参考）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LME ニッケル推定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~$16,000/MT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2022年高値比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▲67%（ピーク$48,000）</w:t>
            </w:r>
          </w:p>
        </w:tc>
      </w:tr>
    </w:tbl>
    <w:p/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  <w:t>中国のインドネシア産ニッケル増産で供給過剰。Ambatovy（マダガスカル）等の収益は苦戦が続く。ただし住友商事はすでに減損処理済み案件が多く、下方サプライズは限定的。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4-7. LNG・天然ガス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Henry Hub NG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$2.683/MMBtu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JKM LNG スポット推定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~$13-15/MMBtu（ホルムズ封鎖プレミアム）</w:t>
            </w:r>
          </w:p>
        </w:tc>
      </w:tr>
    </w:tbl>
    <w:p/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  <w:t>住友商事のLNG権益はBrowse（豪州・未最終投資決定）等に留まり、三井物産（Cameron LNG）ほど大型ではない。エネルギーセグメントへの直接影響はWTI経由が主体。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5. セグメント別業績分析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5-1. 鉱物資源・エネルギー・化学品（最大利益源）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主要資産</w:t>
      </w:r>
      <w:r>
        <w:rPr>
          <w:rFonts w:eastAsia="Yu Gothic"/>
          <w:rFonts w:ascii="Yu Gothic" w:hAnsi="Yu Gothic"/>
          <w:b w:val="0"/>
          <w:sz w:val="20"/>
        </w:rPr>
        <w:t>: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銅: Cerro Verde（ペルー・Freeport傘下、住友商事21.3%）、Sierra Gorda（チリ・Sumitomo Metal Mining経由）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石油・ガス: アビエント他複数プロジェクト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原料炭: オーストラリア複数鉱山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FY2026E セグメント利益</w:t>
      </w:r>
      <w:r>
        <w:rPr>
          <w:rFonts w:eastAsia="Yu Gothic"/>
          <w:rFonts w:ascii="Yu Gothic" w:hAnsi="Yu Gothic"/>
          <w:b w:val="0"/>
          <w:sz w:val="20"/>
        </w:rPr>
        <w:t>: ¥200-220B（銅高価格で前年比+10%）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5-2. メディア・デジタル（安定キャッシュ）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Jupiter Shop Channel（テレビ通販）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各種デジタルサービス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安定収益: 年間¥100-120B</w:t>
      </w:r>
      <w:r>
        <w:rPr>
          <w:rFonts w:eastAsia="Yu Gothic"/>
          <w:rFonts w:ascii="Yu Gothic" w:hAnsi="Yu Gothic"/>
          <w:b w:val="0"/>
          <w:sz w:val="20"/>
        </w:rPr>
        <w:t xml:space="preserve"> コモディティ価格と無相関で下支え機能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5-3. インフラ（インフレ受益）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IPP（独立発電事業）: 電力価格上昇で受益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水・廃棄物処理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通信インフラ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年間寄与: ~¥60-80B</w:t>
      </w:r>
      <w:r>
        <w:rPr>
          <w:rFonts w:eastAsia="Yu Gothic"/>
          <w:rFonts w:ascii="Yu Gothic" w:hAnsi="Yu Gothic"/>
          <w:b w:val="0"/>
          <w:sz w:val="20"/>
        </w:rPr>
        <w:t>（インフレ環境で単価改善）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5-4. 生活・不動産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Summit（スーパー）: 食材インフレ・値上げ転嫁中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住宅・商業不動産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年間寄与: ~¥50-70B</w:t>
      </w:r>
      <w:r>
        <w:rPr>
          <w:rFonts w:eastAsia="Yu Gothic"/>
          <w:rFonts w:ascii="Yu Gothic" w:hAnsi="Yu Gothic"/>
          <w:b w:val="0"/>
          <w:sz w:val="20"/>
        </w:rPr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5-5. 輸送機・建機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自動車関連（米市場）: EV移行リスクが中期ヘッドウィンド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建設機械: 資源国インフラ投資で堅調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年間寄与: ~¥40-60B</w:t>
      </w:r>
      <w:r>
        <w:rPr>
          <w:rFonts w:eastAsia="Yu Gothic"/>
          <w:rFonts w:ascii="Yu Gothic" w:hAnsi="Yu Gothic"/>
          <w:b w:val="0"/>
          <w:sz w:val="20"/>
        </w:rPr>
        <w:t>（自動車は慎重）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6. FY2026業績見通し＋FY2027ガイダンス予想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FY2026E（2026年3月期確定値・5月上旬発表）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FY2025実績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FY2026E（深井）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コンセンサス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乖離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売上収益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¥7,292B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¥7,600B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~¥7,500B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+¥100B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¥405B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¥445B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~¥430B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+¥15B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当期純利益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¥561.9B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¥570B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~¥537B（fwdEPS¥443→FY2026適用）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+¥33B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EPS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¥471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¥478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~¥450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+¥28</w:t>
            </w:r>
          </w:p>
        </w:tc>
      </w:tr>
    </w:tbl>
    <w:p/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  <w:t>Q1 FY2026実績 NI ¥170.8Bが高水準。銅高+原油高+円安環境がFY2026通期を押し上げ。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FY2027ガイダンス予想（会社発表ベース）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深井予想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前提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当期純利益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¥480-520B（保守的）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WTI $80/bbl、銅$5.80/lb、USD/JPY ¥150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EPS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¥402-436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DPS（配当）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¥145-155（現行DPS ¥140維持or小幅増）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配当性向28-30%</w:t>
            </w:r>
          </w:p>
        </w:tc>
      </w:tr>
    </w:tbl>
    <w:p/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  <w:t>FY2027 NI ¥480Bでも現値¥5,781でのPER=12.1×。PBR=1.52×が変化なければ十分買える水準。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7. 決算前に買うべきか？（直接回答）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→ YES、30%前エントリー推奨。本玉は5月上旬決算・ガイダンス確認後。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BUY根拠</w:t>
      </w:r>
      <w:r>
        <w:rPr>
          <w:rFonts w:eastAsia="Yu Gothic"/>
          <w:rFonts w:ascii="Yu Gothic" w:hAnsi="Yu Gothic"/>
          <w:b w:val="0"/>
          <w:sz w:val="20"/>
        </w:rPr>
        <w:t>: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1. FY2026 NI ¥570B達成確度高い（Q1 ¥170.8B × 3.3倍ペース）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2. 銅フォワードがフラット → FY2027ガイダンスも¥480-520B射程圏。WTI主体の三井物産より安定的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3. PBR 1.52× → アナリスト平均TP ¥7,101まで+22.8%。極めて低いバリュエーション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リスク</w:t>
      </w:r>
      <w:r>
        <w:rPr>
          <w:rFonts w:eastAsia="Yu Gothic"/>
          <w:rFonts w:ascii="Yu Gothic" w:hAnsi="Yu Gothic"/>
          <w:b w:val="0"/>
          <w:sz w:val="20"/>
        </w:rPr>
        <w:t>: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1. FY2027 NI ガイダンス ¥450B以下（想定外の保守姿勢） → 短期調整▲10-15%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2. WTI $80割れ（イラン交渉急展開） → エネルギーセグメント▲¥15-20B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三井物産（8031）との比較</w:t>
      </w:r>
      <w:r>
        <w:rPr>
          <w:rFonts w:eastAsia="Yu Gothic"/>
          <w:rFonts w:ascii="Yu Gothic" w:hAnsi="Yu Gothic"/>
          <w:b w:val="0"/>
          <w:sz w:val="20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8031 三井物産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8053 住友商事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主要コモディティ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WTI（バックワーデーション▲17.9%）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銅（フラット▲3.8%）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FY2027ガイダンスリスク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高（WTI急落で▲¥100B超も）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低（銅フラットで▲¥40-50B）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1.96×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1.52×（大幅割安）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決算前買い推奨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30%前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30%前（より安定的）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8. FV算出（WACC + PBR法）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WACC計算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出所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リスクフリーレート（Rf）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2.380%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財務省CSV（固定）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Beta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0.58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ERP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5.5%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標準値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WACC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5.570%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2.380% + 0.58×5.5%</w:t>
            </w:r>
          </w:p>
        </w:tc>
      </w:tr>
    </w:tbl>
    <w:p/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FV: Gordon Growth PBR法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サステナブルROE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11.0%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trailing 12.63%を保守的に調整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長期成長率（g）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2.0%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名目GDP成長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Gordon PBR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2.52×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(11%-2%) / (5.57%-2%)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コングロマリット・ディスカウント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▲20%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総合商社構造割引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ターゲットPBR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2.02×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2.52× × 0.80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BPS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¥3,802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BaseTP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¥7,680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2.02× × ¥3,802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丸め後（保守的）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¥7,400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安全マージン確保</w:t>
            </w:r>
          </w:p>
        </w:tc>
      </w:tr>
    </w:tbl>
    <w:p/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PER法クロスチェック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FY2027E NI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¥500B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EPS FY2027E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¥419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適正PER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16.5×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PER法TP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¥6,914</w:t>
            </w:r>
          </w:p>
        </w:tc>
      </w:tr>
    </w:tbl>
    <w:p/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  <w:t xml:space="preserve">PBR法¥7,400 vs PER法¥6,914。平均 </w:t>
      </w:r>
      <w:r>
        <w:rPr>
          <w:rFonts w:eastAsia="Yu Gothic"/>
          <w:rFonts w:ascii="Yu Gothic" w:hAnsi="Yu Gothic"/>
          <w:b/>
          <w:sz w:val="20"/>
        </w:rPr>
        <w:t>~¥7,150</w:t>
      </w:r>
      <w:r>
        <w:rPr>
          <w:rFonts w:eastAsia="Yu Gothic"/>
          <w:rFonts w:ascii="Yu Gothic" w:hAnsi="Yu Gothic"/>
          <w:b w:val="0"/>
          <w:sz w:val="20"/>
        </w:rPr>
        <w:t>。BaseTPは¥7,400（PBR法メイン）。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BullTP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ROE12.63%持続・FY2027 NI ¥540B以上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 xml:space="preserve">BullTP = 2.1× × ¥3,802 = </w:t>
      </w:r>
      <w:r>
        <w:rPr>
          <w:rFonts w:eastAsia="Yu Gothic"/>
          <w:rFonts w:ascii="Yu Gothic" w:hAnsi="Yu Gothic"/>
          <w:b/>
          <w:sz w:val="20"/>
        </w:rPr>
        <w:t>¥7,984 → ¥8,000</w:t>
      </w:r>
      <w:r>
        <w:rPr>
          <w:rFonts w:eastAsia="Yu Gothic"/>
          <w:rFonts w:ascii="Yu Gothic" w:hAnsi="Yu Gothic"/>
          <w:b w:val="0"/>
          <w:sz w:val="20"/>
        </w:rPr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9. 1%感応度デルタ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コモディティ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現値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1%変動額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NI感応度（年間）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株価Delta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銅（最重要）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$6.027/lb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$0.060/lb ($133/MT)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±¥2.5-3B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±¥2.1-2.5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WTI原油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$94.40/bbl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$0.944/bbl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±¥1.5-2B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±¥1.3-1.7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USD/JPY（最重要）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~¥155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¥1.55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±¥12-15B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±¥10-12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鉄鉱石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~$109/MT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$1.09/MT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±¥0.5-1B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±¥0.4-0.8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ニッケル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~$16,000/MT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$160/MT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±¥0.3-0.5B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±¥0.3</w:t>
            </w:r>
          </w:p>
        </w:tc>
      </w:tr>
    </w:tbl>
    <w:p/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USD/JPYが最大の感応度</w:t>
      </w:r>
      <w:r>
        <w:rPr>
          <w:rFonts w:eastAsia="Yu Gothic"/>
          <w:rFonts w:ascii="Yu Gothic" w:hAnsi="Yu Gothic"/>
          <w:b w:val="0"/>
          <w:sz w:val="20"/>
        </w:rPr>
        <w:t>。円高¥1で▲¥12-15B。現在¥155水準での円安維持が重要前提。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10. 競合比較（商社5社）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銘柄</w:t>
            </w:r>
          </w:p>
        </w:tc>
        <w:tc>
          <w:tcPr>
            <w:tcW w:type="dxa" w:w="1176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株価</w:t>
            </w:r>
          </w:p>
        </w:tc>
        <w:tc>
          <w:tcPr>
            <w:tcW w:type="dxa" w:w="1176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PBR</w:t>
            </w:r>
          </w:p>
        </w:tc>
        <w:tc>
          <w:tcPr>
            <w:tcW w:type="dxa" w:w="1176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ROE</w:t>
            </w:r>
          </w:p>
        </w:tc>
        <w:tc>
          <w:tcPr>
            <w:tcW w:type="dxa" w:w="1176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Beta</w:t>
            </w:r>
          </w:p>
        </w:tc>
        <w:tc>
          <w:tcPr>
            <w:tcW w:type="dxa" w:w="1176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アナリストTP</w:t>
            </w:r>
          </w:p>
        </w:tc>
        <w:tc>
          <w:tcPr>
            <w:tcW w:type="dxa" w:w="1176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FwdPE</w:t>
            </w:r>
          </w:p>
        </w:tc>
        <w:tc>
          <w:tcPr>
            <w:tcW w:type="dxa" w:w="1176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ROE/PBR比</w:t>
            </w:r>
          </w:p>
        </w:tc>
      </w:tr>
      <w:tr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8053 住友商事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¥5,781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1.52×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12.63%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0.58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¥7,101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13.04×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8.31（最高）</w:t>
            </w:r>
          </w:p>
        </w:tc>
      </w:tr>
      <w:tr>
        <w:tc>
          <w:tcPr>
            <w:tcW w:type="dxa" w:w="1176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8001 伊藤忠商事</w:t>
            </w:r>
          </w:p>
        </w:tc>
        <w:tc>
          <w:tcPr>
            <w:tcW w:type="dxa" w:w="1176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¥1,940</w:t>
            </w:r>
          </w:p>
        </w:tc>
        <w:tc>
          <w:tcPr>
            <w:tcW w:type="dxa" w:w="1176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2.15×</w:t>
            </w:r>
          </w:p>
        </w:tc>
        <w:tc>
          <w:tcPr>
            <w:tcW w:type="dxa" w:w="1176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14.24%</w:t>
            </w:r>
          </w:p>
        </w:tc>
        <w:tc>
          <w:tcPr>
            <w:tcW w:type="dxa" w:w="1176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0.564</w:t>
            </w:r>
          </w:p>
        </w:tc>
        <w:tc>
          <w:tcPr>
            <w:tcW w:type="dxa" w:w="1176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¥2,452</w:t>
            </w:r>
          </w:p>
        </w:tc>
        <w:tc>
          <w:tcPr>
            <w:tcW w:type="dxa" w:w="1176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3.00×</w:t>
            </w:r>
          </w:p>
        </w:tc>
        <w:tc>
          <w:tcPr>
            <w:tcW w:type="dxa" w:w="1176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6.62</w:t>
            </w:r>
          </w:p>
        </w:tc>
      </w:tr>
      <w:tr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8031 三井物産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¥5,784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1.96×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10.78%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0.48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¥6,437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19.68×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5.50</w:t>
            </w:r>
          </w:p>
        </w:tc>
      </w:tr>
      <w:tr>
        <w:tc>
          <w:tcPr>
            <w:tcW w:type="dxa" w:w="1176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8058 三菱商事</w:t>
            </w:r>
          </w:p>
        </w:tc>
        <w:tc>
          <w:tcPr>
            <w:tcW w:type="dxa" w:w="1176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¥4,950</w:t>
            </w:r>
          </w:p>
        </w:tc>
        <w:tc>
          <w:tcPr>
            <w:tcW w:type="dxa" w:w="1176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2.02×</w:t>
            </w:r>
          </w:p>
        </w:tc>
        <w:tc>
          <w:tcPr>
            <w:tcW w:type="dxa" w:w="1176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8.53%</w:t>
            </w:r>
          </w:p>
        </w:tc>
        <w:tc>
          <w:tcPr>
            <w:tcW w:type="dxa" w:w="1176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0.553</w:t>
            </w:r>
          </w:p>
        </w:tc>
        <w:tc>
          <w:tcPr>
            <w:tcW w:type="dxa" w:w="1176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¥5,062</w:t>
            </w:r>
          </w:p>
        </w:tc>
        <w:tc>
          <w:tcPr>
            <w:tcW w:type="dxa" w:w="1176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23.34×</w:t>
            </w:r>
          </w:p>
        </w:tc>
        <w:tc>
          <w:tcPr>
            <w:tcW w:type="dxa" w:w="1176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4.22</w:t>
            </w:r>
          </w:p>
        </w:tc>
      </w:tr>
      <w:tr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8002 丸紅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¥5,936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2.36×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12.85%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0.688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¥6,255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19.10×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5.44</w:t>
            </w:r>
          </w:p>
        </w:tc>
      </w:tr>
    </w:tbl>
    <w:p/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8053はROE/PBR比8.31と断トツ首位</w:t>
      </w:r>
      <w:r>
        <w:rPr>
          <w:rFonts w:eastAsia="Yu Gothic"/>
          <w:rFonts w:ascii="Yu Gothic" w:hAnsi="Yu Gothic"/>
          <w:b w:val="0"/>
          <w:sz w:val="20"/>
        </w:rPr>
        <w:t>。同等ROEを持つ丸紅（12.85%/2.36×）・伊藤忠（14.24%/2.15×）に比べ、1.52×という低PBRが長年の課題だった。WTI基本シナリオ（有事プレミアム継続）では銅主導で再評価余地大。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11. 不動産含み益考察（NAV）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資産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帳簿価格（推定）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時価（推定）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含み益（推定）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東京・大阪オフィスビル・倉庫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~¥200B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~¥250B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~¥50B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Summit（スーパー）店舗地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~¥100B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~¥120B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~¥20B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IPP（発電資産）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~¥150B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~¥180B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~¥30B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合計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~¥450B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~¥550B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~¥100B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含み益/株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~¥84</w:t>
            </w:r>
          </w:p>
        </w:tc>
      </w:tr>
    </w:tbl>
    <w:p/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  <w:t xml:space="preserve">含み益¥100B ÷ 発行済株数11.93億株 = </w:t>
      </w:r>
      <w:r>
        <w:rPr>
          <w:rFonts w:eastAsia="Yu Gothic"/>
          <w:rFonts w:ascii="Yu Gothic" w:hAnsi="Yu Gothic"/>
          <w:b/>
          <w:sz w:val="20"/>
        </w:rPr>
        <w:t>¥84/株（現値比+1.5%）</w:t>
      </w:r>
      <w:r>
        <w:rPr>
          <w:rFonts w:eastAsia="Yu Gothic"/>
          <w:rFonts w:ascii="Yu Gothic" w:hAnsi="Yu Gothic"/>
          <w:b w:val="0"/>
          <w:sz w:val="20"/>
        </w:rPr>
        <w:t>。信越化・三井物産ほど大きくないが、1%超の下支え要因として機能。CGコード改訂での不動産含み益開示義務化が触媒になりうる。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12. リスクシナリオ定量化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シナリオ①：米イラン完全停止解除・WTI急落（確率20%）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トリガー</w:t>
      </w:r>
      <w:r>
        <w:rPr>
          <w:rFonts w:eastAsia="Yu Gothic"/>
          <w:rFonts w:ascii="Yu Gothic" w:hAnsi="Yu Gothic"/>
          <w:b w:val="0"/>
          <w:sz w:val="20"/>
        </w:rPr>
        <w:t>: イラン核合意再締結・ホルムズ完全開放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WTI: $94→$65/bbl（▲$29）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 xml:space="preserve">住友商事NI影響: WTI感応度¥1.5-2B/1% × 30.7% = </w:t>
      </w:r>
      <w:r>
        <w:rPr>
          <w:rFonts w:eastAsia="Yu Gothic"/>
          <w:rFonts w:ascii="Yu Gothic" w:hAnsi="Yu Gothic"/>
          <w:b/>
          <w:sz w:val="20"/>
        </w:rPr>
        <w:t>▲¥45-60B</w:t>
      </w:r>
      <w:r>
        <w:rPr>
          <w:rFonts w:eastAsia="Yu Gothic"/>
          <w:rFonts w:ascii="Yu Gothic" w:hAnsi="Yu Gothic"/>
          <w:b w:val="0"/>
          <w:sz w:val="20"/>
        </w:rPr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FY2027E NI: ¥480B→</w:t>
      </w:r>
      <w:r>
        <w:rPr>
          <w:rFonts w:eastAsia="Yu Gothic"/>
          <w:rFonts w:ascii="Yu Gothic" w:hAnsi="Yu Gothic"/>
          <w:b/>
          <w:sz w:val="20"/>
        </w:rPr>
        <w:t>¥420-435B</w:t>
      </w:r>
      <w:r>
        <w:rPr>
          <w:rFonts w:eastAsia="Yu Gothic"/>
          <w:rFonts w:ascii="Yu Gothic" w:hAnsi="Yu Gothic"/>
          <w:b w:val="0"/>
          <w:sz w:val="20"/>
        </w:rPr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株価インプリケーション: ¥5,781→</w:t>
      </w:r>
      <w:r>
        <w:rPr>
          <w:rFonts w:eastAsia="Yu Gothic"/>
          <w:rFonts w:ascii="Yu Gothic" w:hAnsi="Yu Gothic"/>
          <w:b/>
          <w:sz w:val="20"/>
        </w:rPr>
        <w:t>¥4,800前後</w:t>
      </w:r>
      <w:r>
        <w:rPr>
          <w:rFonts w:eastAsia="Yu Gothic"/>
          <w:rFonts w:ascii="Yu Gothic" w:hAnsi="Yu Gothic"/>
          <w:b w:val="0"/>
          <w:sz w:val="20"/>
        </w:rPr>
        <w:t>（▲17%）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シナリオ②：銅価格急落（確率15%）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トリガー</w:t>
      </w:r>
      <w:r>
        <w:rPr>
          <w:rFonts w:eastAsia="Yu Gothic"/>
          <w:rFonts w:ascii="Yu Gothic" w:hAnsi="Yu Gothic"/>
          <w:b w:val="0"/>
          <w:sz w:val="20"/>
        </w:rPr>
        <w:t>: 中国景気悪化（PMI&lt;49）× インドネシア増産加速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銅: $6.027→$4.50/lb（▲25%）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 xml:space="preserve">住友商事NI影響: 銅感応度¥2.5-3B/1% × 25% = </w:t>
      </w:r>
      <w:r>
        <w:rPr>
          <w:rFonts w:eastAsia="Yu Gothic"/>
          <w:rFonts w:ascii="Yu Gothic" w:hAnsi="Yu Gothic"/>
          <w:b/>
          <w:sz w:val="20"/>
        </w:rPr>
        <w:t>▲¥60-75B</w:t>
      </w:r>
      <w:r>
        <w:rPr>
          <w:rFonts w:eastAsia="Yu Gothic"/>
          <w:rFonts w:ascii="Yu Gothic" w:hAnsi="Yu Gothic"/>
          <w:b w:val="0"/>
          <w:sz w:val="20"/>
        </w:rPr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 xml:space="preserve">FY2027E NI: </w:t>
      </w:r>
      <w:r>
        <w:rPr>
          <w:rFonts w:eastAsia="Yu Gothic"/>
          <w:rFonts w:ascii="Yu Gothic" w:hAnsi="Yu Gothic"/>
          <w:b/>
          <w:sz w:val="20"/>
        </w:rPr>
        <w:t>¥410-430B</w:t>
      </w:r>
      <w:r>
        <w:rPr>
          <w:rFonts w:eastAsia="Yu Gothic"/>
          <w:rFonts w:ascii="Yu Gothic" w:hAnsi="Yu Gothic"/>
          <w:b w:val="0"/>
          <w:sz w:val="20"/>
        </w:rPr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株価インプリケーション: ¥5,781→</w:t>
      </w:r>
      <w:r>
        <w:rPr>
          <w:rFonts w:eastAsia="Yu Gothic"/>
          <w:rFonts w:ascii="Yu Gothic" w:hAnsi="Yu Gothic"/>
          <w:b/>
          <w:sz w:val="20"/>
        </w:rPr>
        <w:t>¥4,600-4,800</w:t>
      </w:r>
      <w:r>
        <w:rPr>
          <w:rFonts w:eastAsia="Yu Gothic"/>
          <w:rFonts w:ascii="Yu Gothic" w:hAnsi="Yu Gothic"/>
          <w:b w:val="0"/>
          <w:sz w:val="20"/>
        </w:rPr>
        <w:t>（▲17-20%）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シナリオ③：FY2027ガイダンス大幅保守（確率25%）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トリガー</w:t>
      </w:r>
      <w:r>
        <w:rPr>
          <w:rFonts w:eastAsia="Yu Gothic"/>
          <w:rFonts w:ascii="Yu Gothic" w:hAnsi="Yu Gothic"/>
          <w:b w:val="0"/>
          <w:sz w:val="20"/>
        </w:rPr>
        <w:t>: WTI仮定$75・銅仮定$5.50・USD/JPY ¥145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ガイダンス NI ¥400B（予想下限）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 xml:space="preserve">即時株価反応: </w:t>
      </w:r>
      <w:r>
        <w:rPr>
          <w:rFonts w:eastAsia="Yu Gothic"/>
          <w:rFonts w:ascii="Yu Gothic" w:hAnsi="Yu Gothic"/>
          <w:b/>
          <w:sz w:val="20"/>
        </w:rPr>
        <w:t>¥4,800-5,000</w:t>
      </w:r>
      <w:r>
        <w:rPr>
          <w:rFonts w:eastAsia="Yu Gothic"/>
          <w:rFonts w:ascii="Yu Gothic" w:hAnsi="Yu Gothic"/>
          <w:b w:val="0"/>
          <w:sz w:val="20"/>
        </w:rPr>
        <w:t>（▲14-17%）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その後: 3ヶ月で¥5,200-5,500に回復と想定（実態と乖離するため）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シナリオ④：BULLケース（確率40%）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WTI維持（$85超）× 銅$5.80以上 × FY2027 NI ¥490B以上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FY2027ガイダンス安心感 → BullTP ¥8,000方向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 xml:space="preserve">確認ポイント: </w:t>
      </w:r>
      <w:r>
        <w:rPr>
          <w:rFonts w:eastAsia="Yu Gothic"/>
          <w:rFonts w:ascii="Yu Gothic" w:hAnsi="Yu Gothic"/>
          <w:b/>
          <w:sz w:val="20"/>
        </w:rPr>
        <w:t>FY2026 NI ¥560B超 + FY2027ガイダンス ¥480B以上</w:t>
      </w:r>
      <w:r>
        <w:rPr>
          <w:rFonts w:eastAsia="Yu Gothic"/>
          <w:rFonts w:ascii="Yu Gothic" w:hAnsi="Yu Gothic"/>
          <w:b w:val="0"/>
          <w:sz w:val="20"/>
        </w:rPr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13. Q-1定性変化チェックリスト（FY2026 Q3→Q4 変化点）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チェック項目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状況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銅価格 Q3→Q4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$5.50前後→$6.0前後（+9%）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✅ 改善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WTI Q3→Q4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$80前後→$90前後（+13%）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✅ 改善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USD/JPY Q3→Q4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~¥150→~¥155（円安）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✅ 改善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メディア・デジタルセグメント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安定推移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✅ 変化なし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Ambatovy（ニッケル）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低迷継続（$16,000/MT）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⚠️ 引き続き圧迫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原料炭（豪）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$215-225/MT 横ばい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✅ 概ね安定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輸送機・自動車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EV移行で中期ヘッドウィンド継続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⚠️ 注視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FY2026 NI 通期進捗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Q1 ¥170.8B（3Q累計は推定¥430B超）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✅ 順調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14. Bloomberg統合メモ</w:t>
      </w:r>
    </w:p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住友商事 Bloomberg関連クエリ</w:t>
        <w:br/>
        <w:br/>
        <w:t>【銅感応度クロスチェック】</w:t>
        <w:br/>
        <w:t>8053 JP Equity DES  → 事業説明・セグメント情報</w:t>
        <w:br/>
        <w:t>8053 JP Equity RELS → 関連銘柄・商社セクター比較</w:t>
        <w:br/>
        <w:br/>
        <w:t>【コモディティリンク】</w:t>
        <w:br/>
        <w:t>HG1 Comdty GP → CME銅先物スポット価格チャート</w:t>
        <w:br/>
        <w:t>HGA Comdty  → CME銅月次限月一覧（フォワードカーブ）</w:t>
        <w:br/>
        <w:t>CLA Comdty  → WTI限月一覧</w:t>
        <w:br/>
        <w:br/>
        <w:t>【商社比較】</w:t>
        <w:br/>
        <w:t>{8053 JP, 8031 JP, 8001 JP, 8058 JP, 8002 JP} Equity RV</w:t>
        <w:br/>
        <w:t>→ PBR/ROE/EPS比較グリッド</w:t>
        <w:br/>
        <w:br/>
        <w:t>【USD/JPY感応度】</w:t>
        <w:br/>
        <w:t>USDJPY Curncy GP → 為替動向（¥150-160レンジ確認）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15. IR質問状（竹村トレードカンパニー 名義）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住友商事株式会社 IR部門 御中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いつもお世話になっております。竹村トレードカンパニーのアナリスト 深井と申します。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FY2026通期決算発表に先立ち、以下5点についてご確認させてください。</w:t>
      </w:r>
    </w:p>
    <w:p/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Q1. 銅スポット$6.027/lb水準でのFY2026 年間収益貢献額（Cerro Verde・Sierra Gorda合算）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現在の銅スポット$6.027/lb（52週高値比▲7%）における鉱山セグメントのFY2026通期税引後利益貢献を、$5.50/lb・$4.00/lbのストレスシナリオと合わせてご提示いただけますか。</w:t>
      </w:r>
    </w:p>
    <w:p/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Q2. ニッケル（Ambatovy）の今後の取り扱い方針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LMEニッケル$16,000/MT環境下、Ambatovyの損益分岐点価格と追加減損リスクの有無、および2026年以降の操業方針をお聞かせください。</w:t>
      </w:r>
    </w:p>
    <w:p/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Q3. FY2027ガイダンスのWTI・銅・USD/JPY前提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5月上旬の決算発表で公表予定のFY2027ガイダンスに使用するコモディティ価格前提（WTI・銅・USD/JPY）をあらかじめ教えていただけますか。メディア上で開示されない範囲内でも構いません。</w:t>
      </w:r>
    </w:p>
    <w:p/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Q4. メディア・デジタルセグメントの中期成長戦略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Jupiter Shop Channel等の主力事業における中期（FY2027-2029）の成長投資方針と期待収益について、具体的な数値目標をお示しください。</w:t>
      </w:r>
    </w:p>
    <w:p/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Q5. 自社株買い・配当政策の変更可能性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現在の自社株買い規模（年間計画）と、FY2027以降の配当性向引き上げ検討状況についてお教えください。現PBR1.52倍はROE水準（12.63%）に比して割安と考えており、積極的な株主還元が再評価の触媒になると判断しています。</w:t>
      </w:r>
    </w:p>
    <w:p/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以上につきまして、可能な範囲でご回答をいただければ幸いです。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竹村トレードカンパニー アナリストチーム 深井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Email: fukai@takemura-trading.co.jp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