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8060 キヤノンマーケティングジャパン DeepResearch</w:t>
      </w:r>
    </w:p>
    <w:p/>
    <w:p/>
    <w:p>
      <w:pPr>
        <w:jc w:val="center"/>
      </w:pPr>
      <w:r>
        <w:rPr>
          <w:rFonts w:ascii="Meiryo UI" w:hAnsi="Meiryo UI"/>
          <w:sz w:val="24"/>
        </w:rPr>
        <w:t>アナリスト：深井</w:t>
      </w:r>
    </w:p>
    <w:p>
      <w:pPr>
        <w:jc w:val="center"/>
      </w:pPr>
      <w:r>
        <w:rPr>
          <w:rFonts w:ascii="Meiryo UI" w:hAnsi="Meiryo UI"/>
          <w:sz w:val="24"/>
        </w:rPr>
        <w:t>分析日：2026年04月22日</w:t>
      </w:r>
    </w:p>
    <w:p>
      <w:r>
        <w:br w:type="page"/>
      </w:r>
    </w:p>
    <w:p>
      <w:pPr>
        <w:pStyle w:val="Heading1"/>
      </w:pPr>
      <w:r>
        <w:rPr>
          <w:rFonts w:ascii="Meiryo UI" w:hAnsi="Meiryo UI"/>
          <w:color w:val="1F3864"/>
        </w:rPr>
        <w:t>8060 キヤノンマーケティングジャパン DeepResearch</w:t>
      </w:r>
    </w:p>
    <w:p>
      <w:pPr>
        <w:pStyle w:val="Heading2"/>
      </w:pPr>
      <w:r>
        <w:rPr>
          <w:rFonts w:ascii="Meiryo UI" w:hAnsi="Meiryo UI"/>
          <w:color w:val="2E74B5"/>
        </w:rPr>
        <w:t>【1Q FY2026決算反映版・BUY格付】</w:t>
      </w:r>
    </w:p>
    <w:p/>
    <w:p>
      <w:r>
        <w:rPr>
          <w:rFonts w:ascii="Meiryo UI" w:hAnsi="Meiryo UI"/>
          <w:sz w:val="20"/>
        </w:rPr>
        <w:t>作成者: 深井（アナリスト）　作成日: 2026-04-22　対象: 8060 キヤノンマーケティングジャパン株式会社</w:t>
      </w:r>
    </w:p>
    <w:p/>
    <w:p>
      <w:r>
        <w:t>──────────────────────────────────────────────────</w:t>
      </w:r>
    </w:p>
    <w:p/>
    <w:p>
      <w:pPr>
        <w:pStyle w:val="Heading2"/>
      </w:pPr>
      <w:r>
        <w:rPr>
          <w:rFonts w:ascii="Meiryo UI" w:hAnsi="Meiryo UI"/>
          <w:color w:val="2E74B5"/>
        </w:rPr>
        <w:t>▼ 0. IRページ・コンタクト先（自律偵察）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w:t>
            </w:r>
          </w:p>
        </w:tc>
        <w:tc>
          <w:tcPr>
            <w:tcW w:type="dxa" w:w="4703"/>
          </w:tcPr>
          <w:p>
            <w:r>
              <w:rPr>
                <w:rFonts w:ascii="Meiryo UI" w:hAnsi="Meiryo UI"/>
                <w:sz w:val="18"/>
              </w:rPr>
              <w:t>https://www.canon-mj.co.jp/ir/</w:t>
            </w:r>
          </w:p>
        </w:tc>
      </w:tr>
      <w:tr>
        <w:tc>
          <w:tcPr>
            <w:tcW w:type="dxa" w:w="4703"/>
            <w:shd w:val="clear" w:color="auto" w:fill="DDEBF7"/>
          </w:tcPr>
          <w:p>
            <w:r>
              <w:rPr>
                <w:rFonts w:ascii="Meiryo UI" w:hAnsi="Meiryo UI"/>
                <w:sz w:val="18"/>
              </w:rPr>
              <w:t>決算資料</w:t>
            </w:r>
          </w:p>
        </w:tc>
        <w:tc>
          <w:tcPr>
            <w:tcW w:type="dxa" w:w="4703"/>
            <w:shd w:val="clear" w:color="auto" w:fill="DDEBF7"/>
          </w:tcPr>
          <w:p>
            <w:r>
              <w:rPr>
                <w:rFonts w:ascii="Meiryo UI" w:hAnsi="Meiryo UI"/>
                <w:sz w:val="18"/>
              </w:rPr>
              <w:t>https://www.canon-mj.co.jp/ir/news/</w:t>
            </w:r>
          </w:p>
        </w:tc>
      </w:tr>
      <w:tr>
        <w:tc>
          <w:tcPr>
            <w:tcW w:type="dxa" w:w="4703"/>
          </w:tcPr>
          <w:p>
            <w:r>
              <w:rPr>
                <w:rFonts w:ascii="Meiryo UI" w:hAnsi="Meiryo UI"/>
                <w:sz w:val="18"/>
              </w:rPr>
              <w:t>IR問合せ</w:t>
            </w:r>
          </w:p>
        </w:tc>
        <w:tc>
          <w:tcPr>
            <w:tcW w:type="dxa" w:w="4703"/>
          </w:tcPr>
          <w:p>
            <w:r>
              <w:rPr>
                <w:rFonts w:ascii="Meiryo UI" w:hAnsi="Meiryo UI"/>
                <w:sz w:val="18"/>
              </w:rPr>
              <w:t>ir@canon-mj.co.jp（投資家情報部門）</w:t>
            </w:r>
          </w:p>
        </w:tc>
      </w:tr>
      <w:tr>
        <w:tc>
          <w:tcPr>
            <w:tcW w:type="dxa" w:w="4703"/>
            <w:shd w:val="clear" w:color="auto" w:fill="DDEBF7"/>
          </w:tcPr>
          <w:p>
            <w:r>
              <w:rPr>
                <w:rFonts w:ascii="Meiryo UI" w:hAnsi="Meiryo UI"/>
                <w:sz w:val="18"/>
              </w:rPr>
              <w:t>株主総会</w:t>
            </w:r>
          </w:p>
        </w:tc>
        <w:tc>
          <w:tcPr>
            <w:tcW w:type="dxa" w:w="4703"/>
            <w:shd w:val="clear" w:color="auto" w:fill="DDEBF7"/>
          </w:tcPr>
          <w:p>
            <w:r>
              <w:rPr>
                <w:rFonts w:ascii="Meiryo UI" w:hAnsi="Meiryo UI"/>
                <w:sz w:val="18"/>
              </w:rPr>
              <w:t>例年3月開催（CY3月期ではなく12月期）</w:t>
            </w:r>
          </w:p>
        </w:tc>
      </w:tr>
      <w:tr>
        <w:tc>
          <w:tcPr>
            <w:tcW w:type="dxa" w:w="4703"/>
          </w:tcPr>
          <w:p>
            <w:r>
              <w:rPr>
                <w:rFonts w:ascii="Meiryo UI" w:hAnsi="Meiryo UI"/>
                <w:sz w:val="18"/>
              </w:rPr>
              <w:t>決算期</w:t>
            </w:r>
          </w:p>
        </w:tc>
        <w:tc>
          <w:tcPr>
            <w:tcW w:type="dxa" w:w="4703"/>
          </w:tcPr>
          <w:p>
            <w:r>
              <w:rPr>
                <w:rFonts w:ascii="Meiryo UI" w:hAnsi="Meiryo UI"/>
                <w:sz w:val="18"/>
              </w:rPr>
              <w:t>12月期（1Q: 1-3月、2Q: 4-6月）</w:t>
            </w:r>
          </w:p>
        </w:tc>
      </w:tr>
      <w:tr>
        <w:tc>
          <w:tcPr>
            <w:tcW w:type="dxa" w:w="4703"/>
            <w:shd w:val="clear" w:color="auto" w:fill="DDEBF7"/>
          </w:tcPr>
          <w:p>
            <w:r>
              <w:rPr>
                <w:rFonts w:ascii="Meiryo UI" w:hAnsi="Meiryo UI"/>
                <w:sz w:val="18"/>
              </w:rPr>
              <w:t>親会社</w:t>
            </w:r>
          </w:p>
        </w:tc>
        <w:tc>
          <w:tcPr>
            <w:tcW w:type="dxa" w:w="4703"/>
            <w:shd w:val="clear" w:color="auto" w:fill="DDEBF7"/>
          </w:tcPr>
          <w:p>
            <w:r>
              <w:rPr>
                <w:rFonts w:ascii="Meiryo UI" w:hAnsi="Meiryo UI"/>
                <w:sz w:val="18"/>
              </w:rPr>
              <w:t>キヤノン株式会社（7751）：約55%保有</w:t>
            </w:r>
          </w:p>
        </w:tc>
      </w:tr>
    </w:tbl>
    <w:p/>
    <w:p>
      <w:r>
        <w:t>──────────────────────────────────────────────────</w:t>
      </w:r>
    </w:p>
    <w:p/>
    <w:p>
      <w:pPr>
        <w:pStyle w:val="Heading2"/>
      </w:pPr>
      <w:r>
        <w:rPr>
          <w:rFonts w:ascii="Meiryo UI" w:hAnsi="Meiryo UI"/>
          <w:color w:val="2E74B5"/>
        </w:rPr>
        <w:t>▼ 1. 投資判断サマリー（10秒エグゼクティブ版）</w:t>
      </w:r>
    </w:p>
    <w:p/>
    <w:p>
      <w:pPr>
        <w:shd w:val="clear" w:color="auto" w:fill="F2F2F2"/>
      </w:pPr>
      <w:r>
        <w:rPr>
          <w:rFonts w:ascii="Courier New" w:hAnsi="Courier New"/>
          <w:sz w:val="16"/>
        </w:rPr>
        <w:t>╔══════════════════════════════════════════════════════════╗</w:t>
        <w:br/>
        <w:t>║  格付: BUY  TP: ¥4,150  FV: ¥3,914（加重FV）          ║</w:t>
        <w:br/>
        <w:t>║  安全域: 現値¥3,600比 +8.7%（加重FV）/ +15.3%（TP）   ║</w:t>
        <w:br/>
        <w:t>╠══════════════════════════════════════════════════════════╣</w:t>
        <w:br/>
        <w:t>║  【3つの買い根拠】                                        ║</w:t>
        <w:br/>
        <w:t>║  1. Q1 OP +40.7%の衝撃超過（consensus比+29.5pts）       ║</w:t>
        <w:br/>
        <w:t>║  2. FY2026通期ガイダンス¥600億 = 極めて保守的（上振れ   ║</w:t>
        <w:br/>
        <w:t>║     余地大。Q1 run rateだけで¥740億相当）               ║</w:t>
        <w:br/>
        <w:t>║  3. 純現金¥1,564億（株価の20.7%）＋低ベータ（β=0.17）  ║</w:t>
        <w:br/>
        <w:t>║     = 市場波乱下でのディフェンシブ属性                   ║</w:t>
        <w:br/>
        <w:t>╠══════════════════════════════════════════════════════════╣</w:t>
        <w:br/>
        <w:t>║  【主要リスク1つ】                                        ║</w:t>
        <w:br/>
        <w:t>║  Q1 OP急騰要因が一過性（前期コスト高の反動？）なら、     ║</w:t>
        <w:br/>
        <w:t>║  Q2-Q4への反動でガイダンス未達リスクが最大懸念点         ║</w:t>
        <w:br/>
        <w:t>╠══════════════════════════════════════════════════════════╣</w:t>
        <w:br/>
        <w:t>║  【推奨アクション】                                       ║</w:t>
        <w:br/>
        <w:t>║  ¥3,500-¥3,600でBUY（MA25+2.3%、52w高値-3.1%近辺）     ║</w:t>
        <w:br/>
        <w:t>║  SL: ¥3,200（-11.1%、MA200割れ水準）                    ║</w:t>
        <w:br/>
        <w:t>║  第1目標: ¥4,150（みずほ新規TP）/ 第2目標: ¥4,600（Bull）║</w:t>
        <w:br/>
        <w:t>╚══════════════════════════════════════════════════════════╝</w:t>
      </w:r>
    </w:p>
    <w:p/>
    <w:p>
      <w:r>
        <w:t>──────────────────────────────────────────────────</w:t>
      </w:r>
    </w:p>
    <w:p/>
    <w:p>
      <w:pPr>
        <w:pStyle w:val="Heading2"/>
      </w:pPr>
      <w:r>
        <w:rPr>
          <w:rFonts w:ascii="Meiryo UI" w:hAnsi="Meiryo UI"/>
          <w:color w:val="2E74B5"/>
        </w:rPr>
        <w:t>▼ 2. 企業概要</w:t>
      </w:r>
    </w:p>
    <w:p/>
    <w:p>
      <w:r>
        <w:rPr>
          <w:rFonts w:ascii="Meiryo UI" w:hAnsi="Meiryo UI"/>
          <w:sz w:val="20"/>
        </w:rPr>
        <w:t>8060 キヤノンマーケティングジャパン株式会社</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データ</w:t>
            </w:r>
          </w:p>
        </w:tc>
      </w:tr>
      <w:tr>
        <w:tc>
          <w:tcPr>
            <w:tcW w:type="dxa" w:w="4703"/>
          </w:tcPr>
          <w:p>
            <w:r>
              <w:rPr>
                <w:rFonts w:ascii="Meiryo UI" w:hAnsi="Meiryo UI"/>
                <w:sz w:val="18"/>
              </w:rPr>
              <w:t>業種</w:t>
            </w:r>
          </w:p>
        </w:tc>
        <w:tc>
          <w:tcPr>
            <w:tcW w:type="dxa" w:w="4703"/>
          </w:tcPr>
          <w:p>
            <w:r>
              <w:rPr>
                <w:rFonts w:ascii="Meiryo UI" w:hAnsi="Meiryo UI"/>
                <w:sz w:val="18"/>
              </w:rPr>
              <w:t>卸売業（精密機器・IT機器・ソリューション）</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1968年（旧キヤノン販売→現商号）</w:t>
            </w:r>
          </w:p>
        </w:tc>
      </w:tr>
      <w:tr>
        <w:tc>
          <w:tcPr>
            <w:tcW w:type="dxa" w:w="4703"/>
          </w:tcPr>
          <w:p>
            <w:r>
              <w:rPr>
                <w:rFonts w:ascii="Meiryo UI" w:hAnsi="Meiryo UI"/>
                <w:sz w:val="18"/>
              </w:rPr>
              <w:t>上場</w:t>
            </w:r>
          </w:p>
        </w:tc>
        <w:tc>
          <w:tcPr>
            <w:tcW w:type="dxa" w:w="4703"/>
          </w:tcPr>
          <w:p>
            <w:r>
              <w:rPr>
                <w:rFonts w:ascii="Meiryo UI" w:hAnsi="Meiryo UI"/>
                <w:sz w:val="18"/>
              </w:rPr>
              <w:t>東京証券取引所 プライム市場</w:t>
            </w:r>
          </w:p>
        </w:tc>
      </w:tr>
      <w:tr>
        <w:tc>
          <w:tcPr>
            <w:tcW w:type="dxa" w:w="4703"/>
            <w:shd w:val="clear" w:color="auto" w:fill="DDEBF7"/>
          </w:tcPr>
          <w:p>
            <w:r>
              <w:rPr>
                <w:rFonts w:ascii="Meiryo UI" w:hAnsi="Meiryo UI"/>
                <w:sz w:val="18"/>
              </w:rPr>
              <w:t>親会社</w:t>
            </w:r>
          </w:p>
        </w:tc>
        <w:tc>
          <w:tcPr>
            <w:tcW w:type="dxa" w:w="4703"/>
            <w:shd w:val="clear" w:color="auto" w:fill="DDEBF7"/>
          </w:tcPr>
          <w:p>
            <w:r>
              <w:rPr>
                <w:rFonts w:ascii="Meiryo UI" w:hAnsi="Meiryo UI"/>
                <w:sz w:val="18"/>
              </w:rPr>
              <w:t>キヤノン株式会社（7751）：持分約55%</w:t>
            </w:r>
          </w:p>
        </w:tc>
      </w:tr>
      <w:tr>
        <w:tc>
          <w:tcPr>
            <w:tcW w:type="dxa" w:w="4703"/>
          </w:tcPr>
          <w:p>
            <w:r>
              <w:rPr>
                <w:rFonts w:ascii="Meiryo UI" w:hAnsi="Meiryo UI"/>
                <w:sz w:val="18"/>
              </w:rPr>
              <w:t>従業員</w:t>
            </w:r>
          </w:p>
        </w:tc>
        <w:tc>
          <w:tcPr>
            <w:tcW w:type="dxa" w:w="4703"/>
          </w:tcPr>
          <w:p>
            <w:r>
              <w:rPr>
                <w:rFonts w:ascii="Meiryo UI" w:hAnsi="Meiryo UI"/>
                <w:sz w:val="18"/>
              </w:rPr>
              <w:t>連結15,000名超（グループ含む）</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12月期</w:t>
            </w:r>
          </w:p>
        </w:tc>
      </w:tr>
      <w:tr>
        <w:tc>
          <w:tcPr>
            <w:tcW w:type="dxa" w:w="4703"/>
          </w:tcPr>
          <w:p>
            <w:r>
              <w:rPr>
                <w:rFonts w:ascii="Meiryo UI" w:hAnsi="Meiryo UI"/>
                <w:sz w:val="18"/>
              </w:rPr>
              <w:t>主力事業</w:t>
            </w:r>
          </w:p>
        </w:tc>
        <w:tc>
          <w:tcPr>
            <w:tcW w:type="dxa" w:w="4703"/>
          </w:tcPr>
          <w:p>
            <w:r>
              <w:rPr>
                <w:rFonts w:ascii="Meiryo UI" w:hAnsi="Meiryo UI"/>
                <w:sz w:val="18"/>
              </w:rPr>
              <w:t>ITソリューション・カメラ・複合機・医療・産業機器の国内販売</w:t>
            </w:r>
          </w:p>
        </w:tc>
      </w:tr>
    </w:tbl>
    <w:p/>
    <w:p>
      <w:pPr>
        <w:pStyle w:val="Heading3"/>
      </w:pPr>
      <w:r>
        <w:rPr>
          <w:rFonts w:ascii="Meiryo UI" w:hAnsi="Meiryo UI"/>
          <w:color w:val="2E74B5"/>
        </w:rPr>
        <w:t>事業セグメント概要</w:t>
      </w:r>
    </w:p>
    <w:p/>
    <w:p>
      <w:pPr>
        <w:shd w:val="clear" w:color="auto" w:fill="F2F2F2"/>
      </w:pPr>
      <w:r>
        <w:rPr>
          <w:rFonts w:ascii="Courier New" w:hAnsi="Courier New"/>
          <w:sz w:val="16"/>
        </w:rPr>
        <w:t>【キヤノンMJグループ 事業構成（FY2025推定）】</w:t>
        <w:br/>
        <w:br/>
        <w:t>① ITソリューション事業（高成長・高利益率）</w:t>
        <w:br/>
        <w:t xml:space="preserve">   → AI関連ワークステーション・サーバー・クラウド</w:t>
        <w:br/>
        <w:t xml:space="preserve">   → データ管理・セキュリティ・DXコンサル</w:t>
        <w:br/>
        <w:t xml:space="preserve">   → 政府・医療・金融向けシステムインテグレーション</w:t>
        <w:br/>
        <w:br/>
        <w:t>② プリンティング・イメージング事業（安定収益）</w:t>
        <w:br/>
        <w:t xml:space="preserve">   → 複合機（MFP）・プリンター・消耗品</w:t>
        <w:br/>
        <w:t xml:space="preserve">   → 法人向けドキュメント管理</w:t>
        <w:br/>
        <w:br/>
        <w:t>③ カメラ・映像事業（回復軌道）</w:t>
        <w:br/>
        <w:t xml:space="preserve">   → ミラーレス（EOS R）・シネマカメラ</w:t>
        <w:br/>
        <w:t xml:space="preserve">   → 放送・映像制作</w:t>
        <w:br/>
        <w:br/>
        <w:t>④ 医療・産業機器事業（成長ドライバー）</w:t>
        <w:br/>
        <w:t xml:space="preserve">   → 医療用デジタルX線・内視鏡支援</w:t>
        <w:br/>
        <w:t xml:space="preserve">   → 半導体製造装置（露光機）国内代理</w:t>
      </w:r>
    </w:p>
    <w:p/>
    <w:p>
      <w:pPr>
        <w:pStyle w:val="Heading3"/>
      </w:pPr>
      <w:r>
        <w:rPr>
          <w:rFonts w:ascii="Meiryo UI" w:hAnsi="Meiryo UI"/>
          <w:color w:val="2E74B5"/>
        </w:rPr>
        <w:t>強みと構造的優位性</w:t>
      </w:r>
    </w:p>
    <w:p/>
    <w:p>
      <w:pPr>
        <w:pStyle w:val="ListNumber"/>
      </w:pPr>
      <w:r>
        <w:rPr>
          <w:rFonts w:ascii="Meiryo UI" w:hAnsi="Meiryo UI"/>
          <w:sz w:val="20"/>
        </w:rPr>
        <w:t>Canon親会社の独占販売権: 国内キヤノン製品の一次代理店として安定した売上基盤</w:t>
      </w:r>
    </w:p>
    <w:p>
      <w:pPr>
        <w:pStyle w:val="ListNumber"/>
      </w:pPr>
      <w:r>
        <w:rPr>
          <w:rFonts w:ascii="Meiryo UI" w:hAnsi="Meiryo UI"/>
          <w:sz w:val="20"/>
        </w:rPr>
        <w:t>ITソリューション比率上昇: ハード販売→ソフト・サービス比率増加により利益率が構造的に改善</w:t>
      </w:r>
    </w:p>
    <w:p>
      <w:pPr>
        <w:pStyle w:val="ListNumber"/>
      </w:pPr>
      <w:r>
        <w:rPr>
          <w:rFonts w:ascii="Meiryo UI" w:hAnsi="Meiryo UI"/>
          <w:sz w:val="20"/>
        </w:rPr>
        <w:t>超低ベータ（β=0.17）: 市場波乱時でも株価安定。機関投資家のディフェンシブ銘柄として評価</w:t>
      </w:r>
    </w:p>
    <w:p>
      <w:pPr>
        <w:pStyle w:val="ListNumber"/>
      </w:pPr>
      <w:r>
        <w:rPr>
          <w:rFonts w:ascii="Meiryo UI" w:hAnsi="Meiryo UI"/>
          <w:sz w:val="20"/>
        </w:rPr>
        <w:t>強固なバランスシート: 純現金¥1,564億（株価の20.7%）= 財務リスクほぼゼロ</w:t>
      </w:r>
    </w:p>
    <w:p>
      <w:pPr>
        <w:pStyle w:val="ListNumber"/>
      </w:pPr>
      <w:r>
        <w:rPr>
          <w:rFonts w:ascii="Meiryo UI" w:hAnsi="Meiryo UI"/>
          <w:sz w:val="20"/>
        </w:rPr>
        <w:t>安定的な配当: DY約2.35%、配当性向40-45%のサステナブルな配当方針</w:t>
      </w:r>
    </w:p>
    <w:p/>
    <w:p>
      <w:r>
        <w:t>──────────────────────────────────────────────────</w:t>
      </w:r>
    </w:p>
    <w:p/>
    <w:p>
      <w:pPr>
        <w:pStyle w:val="Heading2"/>
      </w:pPr>
      <w:r>
        <w:rPr>
          <w:rFonts w:ascii="Meiryo UI" w:hAnsi="Meiryo UI"/>
          <w:color w:val="2E74B5"/>
        </w:rPr>
        <w:t>▼ 3. 直近決算（Q1 FY2026 = 2026年1-3月）</w:t>
      </w:r>
    </w:p>
    <w:p/>
    <w:p>
      <w:pPr>
        <w:pStyle w:val="Heading3"/>
      </w:pPr>
      <w:r>
        <w:rPr>
          <w:rFonts w:ascii="Meiryo UI" w:hAnsi="Meiryo UI"/>
          <w:color w:val="2E74B5"/>
        </w:rPr>
        <w:t>3.1 Q1 FY2026 決算ハイライト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Q1 FY2025実績</w:t>
            </w:r>
          </w:p>
        </w:tc>
        <w:tc>
          <w:tcPr>
            <w:tcW w:type="dxa" w:w="1881"/>
            <w:shd w:val="clear" w:color="auto" w:fill="2E74B5"/>
          </w:tcPr>
          <w:p>
            <w:r>
              <w:rPr>
                <w:rFonts w:ascii="Meiryo UI" w:hAnsi="Meiryo UI"/>
                <w:b/>
                <w:color w:val="FFFFFF"/>
                <w:sz w:val="18"/>
              </w:rPr>
              <w:t>Q1 FY2026実績</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consensus比</w:t>
            </w:r>
          </w:p>
        </w:tc>
      </w:tr>
      <w:tr>
        <w:tc>
          <w:tcPr>
            <w:tcW w:type="dxa" w:w="1881"/>
          </w:tcPr>
          <w:p>
            <w:r>
              <w:rPr>
                <w:rFonts w:ascii="Meiryo UI" w:hAnsi="Meiryo UI"/>
                <w:sz w:val="18"/>
              </w:rPr>
              <w:t>売上高</w:t>
            </w:r>
          </w:p>
        </w:tc>
        <w:tc>
          <w:tcPr>
            <w:tcW w:type="dxa" w:w="1881"/>
          </w:tcPr>
          <w:p>
            <w:r>
              <w:rPr>
                <w:rFonts w:ascii="Meiryo UI" w:hAnsi="Meiryo UI"/>
                <w:sz w:val="18"/>
              </w:rPr>
              <w:t>¥1,673億（推定）</w:t>
            </w:r>
          </w:p>
        </w:tc>
        <w:tc>
          <w:tcPr>
            <w:tcW w:type="dxa" w:w="1881"/>
          </w:tcPr>
          <w:p>
            <w:r>
              <w:rPr>
                <w:rFonts w:ascii="Meiryo UI" w:hAnsi="Meiryo UI"/>
                <w:sz w:val="18"/>
              </w:rPr>
              <w:t>¥1,717億</w:t>
            </w:r>
          </w:p>
        </w:tc>
        <w:tc>
          <w:tcPr>
            <w:tcW w:type="dxa" w:w="1881"/>
          </w:tcPr>
          <w:p>
            <w:r>
              <w:rPr>
                <w:rFonts w:ascii="Meiryo UI" w:hAnsi="Meiryo UI"/>
                <w:sz w:val="18"/>
              </w:rPr>
              <w:t>+2.6%</w:t>
            </w:r>
          </w:p>
        </w:tc>
        <w:tc>
          <w:tcPr>
            <w:tcW w:type="dxa" w:w="1881"/>
          </w:tcPr>
          <w:p>
            <w:r>
              <w:rPr>
                <w:rFonts w:ascii="Meiryo UI" w:hAnsi="Meiryo UI"/>
                <w:sz w:val="18"/>
              </w:rPr>
              <w:t>+1.8%</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¥131.5億（推定）</w:t>
            </w:r>
          </w:p>
        </w:tc>
        <w:tc>
          <w:tcPr>
            <w:tcW w:type="dxa" w:w="1881"/>
            <w:shd w:val="clear" w:color="auto" w:fill="DDEBF7"/>
          </w:tcPr>
          <w:p>
            <w:r>
              <w:rPr>
                <w:rFonts w:ascii="Meiryo UI" w:hAnsi="Meiryo UI"/>
                <w:sz w:val="18"/>
              </w:rPr>
              <w:t>¥185億</w:t>
            </w:r>
          </w:p>
        </w:tc>
        <w:tc>
          <w:tcPr>
            <w:tcW w:type="dxa" w:w="1881"/>
            <w:shd w:val="clear" w:color="auto" w:fill="DDEBF7"/>
          </w:tcPr>
          <w:p>
            <w:r>
              <w:rPr>
                <w:rFonts w:ascii="Meiryo UI" w:hAnsi="Meiryo UI"/>
                <w:sz w:val="18"/>
              </w:rPr>
              <w:t>+40.7%</w:t>
            </w:r>
          </w:p>
        </w:tc>
        <w:tc>
          <w:tcPr>
            <w:tcW w:type="dxa" w:w="1881"/>
            <w:shd w:val="clear" w:color="auto" w:fill="DDEBF7"/>
          </w:tcPr>
          <w:p>
            <w:r>
              <w:rPr>
                <w:rFonts w:ascii="Meiryo UI" w:hAnsi="Meiryo UI"/>
                <w:sz w:val="18"/>
              </w:rPr>
              <w:t>+29.5%</w:t>
            </w:r>
          </w:p>
        </w:tc>
      </w:tr>
      <w:tr>
        <w:tc>
          <w:tcPr>
            <w:tcW w:type="dxa" w:w="1881"/>
          </w:tcPr>
          <w:p>
            <w:r>
              <w:rPr>
                <w:rFonts w:ascii="Meiryo UI" w:hAnsi="Meiryo UI"/>
                <w:sz w:val="18"/>
              </w:rPr>
              <w:t>経常利益</w:t>
            </w:r>
          </w:p>
        </w:tc>
        <w:tc>
          <w:tcPr>
            <w:tcW w:type="dxa" w:w="1881"/>
          </w:tcPr>
          <w:p>
            <w:r>
              <w:rPr>
                <w:rFonts w:ascii="Meiryo UI" w:hAnsi="Meiryo UI"/>
                <w:sz w:val="18"/>
              </w:rPr>
              <w:t>¥132億（推定）</w:t>
            </w:r>
          </w:p>
        </w:tc>
        <w:tc>
          <w:tcPr>
            <w:tcW w:type="dxa" w:w="1881"/>
          </w:tcPr>
          <w:p>
            <w:r>
              <w:rPr>
                <w:rFonts w:ascii="Meiryo UI" w:hAnsi="Meiryo UI"/>
                <w:sz w:val="18"/>
              </w:rPr>
              <w:t>¥186億</w:t>
            </w:r>
          </w:p>
        </w:tc>
        <w:tc>
          <w:tcPr>
            <w:tcW w:type="dxa" w:w="1881"/>
          </w:tcPr>
          <w:p>
            <w:r>
              <w:rPr>
                <w:rFonts w:ascii="Meiryo UI" w:hAnsi="Meiryo UI"/>
                <w:sz w:val="18"/>
              </w:rPr>
              <w:t>+40.6%</w:t>
            </w:r>
          </w:p>
        </w:tc>
        <w:tc>
          <w:tcPr>
            <w:tcW w:type="dxa" w:w="1881"/>
          </w:tcPr>
          <w:p>
            <w:r>
              <w:rPr>
                <w:rFonts w:ascii="Meiryo UI" w:hAnsi="Meiryo UI"/>
                <w:sz w:val="18"/>
              </w:rPr>
              <w:t>+19.0%</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7.86%</w:t>
            </w:r>
          </w:p>
        </w:tc>
        <w:tc>
          <w:tcPr>
            <w:tcW w:type="dxa" w:w="1881"/>
            <w:shd w:val="clear" w:color="auto" w:fill="DDEBF7"/>
          </w:tcPr>
          <w:p>
            <w:r>
              <w:rPr>
                <w:rFonts w:ascii="Meiryo UI" w:hAnsi="Meiryo UI"/>
                <w:sz w:val="18"/>
              </w:rPr>
              <w:t>10.77%</w:t>
            </w:r>
          </w:p>
        </w:tc>
        <w:tc>
          <w:tcPr>
            <w:tcW w:type="dxa" w:w="1881"/>
            <w:shd w:val="clear" w:color="auto" w:fill="DDEBF7"/>
          </w:tcPr>
          <w:p>
            <w:r>
              <w:rPr>
                <w:rFonts w:ascii="Meiryo UI" w:hAnsi="Meiryo UI"/>
                <w:sz w:val="18"/>
              </w:rPr>
              <w:t>+2.91pp</w:t>
            </w:r>
          </w:p>
        </w:tc>
        <w:tc>
          <w:tcPr>
            <w:tcW w:type="dxa" w:w="1881"/>
            <w:shd w:val="clear" w:color="auto" w:fill="DDEBF7"/>
          </w:tcPr>
          <w:p>
            <w:r>
              <w:rPr>
                <w:rFonts w:ascii="Meiryo UI" w:hAnsi="Meiryo UI"/>
                <w:sz w:val="18"/>
              </w:rPr>
              <w:t>—</w:t>
            </w:r>
          </w:p>
        </w:tc>
      </w:tr>
    </w:tbl>
    <w:p/>
    <w:p>
      <w:r>
        <w:rPr>
          <w:rFonts w:ascii="Meiryo UI" w:hAnsi="Meiryo UI"/>
          <w:sz w:val="20"/>
        </w:rPr>
        <w:t>注記: Q1 FY2025実績は逆算値。実際のQ1単独開示値で要確認。</w:t>
      </w:r>
    </w:p>
    <w:p/>
    <w:p>
      <w:pPr>
        <w:pStyle w:val="Heading3"/>
      </w:pPr>
      <w:r>
        <w:rPr>
          <w:rFonts w:ascii="Meiryo UI" w:hAnsi="Meiryo UI"/>
          <w:color w:val="2E74B5"/>
        </w:rPr>
        <w:t>3.2 Q1 決算の重要ポイント</w:t>
      </w:r>
    </w:p>
    <w:p/>
    <w:p>
      <w:r>
        <w:rPr>
          <w:rFonts w:ascii="Meiryo UI" w:hAnsi="Meiryo UI"/>
          <w:sz w:val="20"/>
        </w:rPr>
        <w:t>なぜQ1 OPが+40.7%という異例の伸びを示したか？（3つの仮説）</w:t>
      </w:r>
    </w:p>
    <w:p/>
    <w:p>
      <w:pPr>
        <w:shd w:val="clear" w:color="auto" w:fill="F2F2F2"/>
      </w:pPr>
      <w:r>
        <w:rPr>
          <w:rFonts w:ascii="Courier New" w:hAnsi="Courier New"/>
          <w:sz w:val="16"/>
        </w:rPr>
        <w:t>仮説①【構造的：ITソリューション高成長】 → 確度：高</w:t>
        <w:br/>
        <w:t xml:space="preserve">  → 企業のAI投資加速（AIワークステーション・GPU搭載サーバー需要）</w:t>
        <w:br/>
        <w:t xml:space="preserve">  → ソフト・サービス比率拡大でミックス改善</w:t>
        <w:br/>
        <w:t xml:space="preserve">  → OP margin 7.86% → 10.77%の2.91pp拡大はソフト混入比率増加と整合</w:t>
        <w:br/>
        <w:br/>
        <w:t>仮説②【一時的：前年同期コスト高の反動】 → 確度：中</w:t>
        <w:br/>
        <w:t xml:space="preserve">  → Q1 FY2025に発生した特殊コスト（物流・人件費等）の剥落</w:t>
        <w:br/>
        <w:t xml:space="preserve">  → 一時的であれば、Q2以降に利益率の正常化（下押し）が生じる可能性</w:t>
        <w:br/>
        <w:t xml:space="preserve">  → ※この仮説が正しければBear caseに転換</w:t>
        <w:br/>
        <w:br/>
        <w:t>仮説③【季節性：法人IT投資の期初集中】 → 確度：中</w:t>
        <w:br/>
        <w:t xml:space="preserve">  → 日本企業の期初（4月会計年度始まり）に合わせ1Q（1-3月）に商談完了</w:t>
        <w:br/>
        <w:t xml:space="preserve">  → Canon MJは3月末に法人向け大口契約が集中する傾向</w:t>
        <w:br/>
        <w:t xml:space="preserve">  → この場合、Q2以降は通常利益率に戻る（全年保守ガイダンスと整合）</w:t>
      </w:r>
    </w:p>
    <w:p/>
    <w:p>
      <w:r>
        <w:rPr>
          <w:rFonts w:ascii="Meiryo UI" w:hAnsi="Meiryo UI"/>
          <w:sz w:val="20"/>
        </w:rPr>
        <w:t>重要判断: 仮説①が支配的であれば年間通期ガイダンスは大幅上振れ確実。仮説②③が支配的なら¥600億ガイダンスで折り合う。現状データからは①③のハイブリッドが最有力。</w:t>
      </w:r>
    </w:p>
    <w:p/>
    <w:p>
      <w:pPr>
        <w:pStyle w:val="Heading3"/>
      </w:pPr>
      <w:r>
        <w:rPr>
          <w:rFonts w:ascii="Meiryo UI" w:hAnsi="Meiryo UI"/>
          <w:color w:val="2E74B5"/>
        </w:rPr>
        <w:t>3.3 通期FY2026 ガイダンス vs 実力値推計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FY2026 ガイダンス</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Q1 run rate換算</w:t>
            </w:r>
          </w:p>
        </w:tc>
      </w:tr>
      <w:tr>
        <w:tc>
          <w:tcPr>
            <w:tcW w:type="dxa" w:w="1881"/>
          </w:tcPr>
          <w:p>
            <w:r>
              <w:rPr>
                <w:rFonts w:ascii="Meiryo UI" w:hAnsi="Meiryo UI"/>
                <w:sz w:val="18"/>
              </w:rPr>
              <w:t>売上高</w:t>
            </w:r>
          </w:p>
        </w:tc>
        <w:tc>
          <w:tcPr>
            <w:tcW w:type="dxa" w:w="1881"/>
          </w:tcPr>
          <w:p>
            <w:r>
              <w:rPr>
                <w:rFonts w:ascii="Meiryo UI" w:hAnsi="Meiryo UI"/>
                <w:sz w:val="18"/>
              </w:rPr>
              <w:t>¥6,798億</w:t>
            </w:r>
          </w:p>
        </w:tc>
        <w:tc>
          <w:tcPr>
            <w:tcW w:type="dxa" w:w="1881"/>
          </w:tcPr>
          <w:p>
            <w:r>
              <w:rPr>
                <w:rFonts w:ascii="Meiryo UI" w:hAnsi="Meiryo UI"/>
                <w:sz w:val="18"/>
              </w:rPr>
              <w:t>¥6,850億</w:t>
            </w:r>
          </w:p>
        </w:tc>
        <w:tc>
          <w:tcPr>
            <w:tcW w:type="dxa" w:w="1881"/>
          </w:tcPr>
          <w:p>
            <w:r>
              <w:rPr>
                <w:rFonts w:ascii="Meiryo UI" w:hAnsi="Meiryo UI"/>
                <w:sz w:val="18"/>
              </w:rPr>
              <w:t>+0.8%</w:t>
            </w:r>
          </w:p>
        </w:tc>
        <w:tc>
          <w:tcPr>
            <w:tcW w:type="dxa" w:w="1881"/>
          </w:tcPr>
          <w:p>
            <w:r>
              <w:rPr>
                <w:rFonts w:ascii="Meiryo UI" w:hAnsi="Meiryo UI"/>
                <w:sz w:val="18"/>
              </w:rPr>
              <w:t>¥6,868億（+1.0%）</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¥582億</w:t>
            </w:r>
          </w:p>
        </w:tc>
        <w:tc>
          <w:tcPr>
            <w:tcW w:type="dxa" w:w="1881"/>
            <w:shd w:val="clear" w:color="auto" w:fill="DDEBF7"/>
          </w:tcPr>
          <w:p>
            <w:r>
              <w:rPr>
                <w:rFonts w:ascii="Meiryo UI" w:hAnsi="Meiryo UI"/>
                <w:sz w:val="18"/>
              </w:rPr>
              <w:t>¥600億</w:t>
            </w:r>
          </w:p>
        </w:tc>
        <w:tc>
          <w:tcPr>
            <w:tcW w:type="dxa" w:w="1881"/>
            <w:shd w:val="clear" w:color="auto" w:fill="DDEBF7"/>
          </w:tcPr>
          <w:p>
            <w:r>
              <w:rPr>
                <w:rFonts w:ascii="Meiryo UI" w:hAnsi="Meiryo UI"/>
                <w:sz w:val="18"/>
              </w:rPr>
              <w:t>+3.1%</w:t>
            </w:r>
          </w:p>
        </w:tc>
        <w:tc>
          <w:tcPr>
            <w:tcW w:type="dxa" w:w="1881"/>
            <w:shd w:val="clear" w:color="auto" w:fill="DDEBF7"/>
          </w:tcPr>
          <w:p>
            <w:r>
              <w:rPr>
                <w:rFonts w:ascii="Meiryo UI" w:hAnsi="Meiryo UI"/>
                <w:sz w:val="18"/>
              </w:rPr>
              <w:t>¥740億（+27.1%）</w:t>
            </w:r>
          </w:p>
        </w:tc>
      </w:tr>
      <w:tr>
        <w:tc>
          <w:tcPr>
            <w:tcW w:type="dxa" w:w="1881"/>
          </w:tcPr>
          <w:p>
            <w:r>
              <w:rPr>
                <w:rFonts w:ascii="Meiryo UI" w:hAnsi="Meiryo UI"/>
                <w:sz w:val="18"/>
              </w:rPr>
              <w:t>経常利益</w:t>
            </w:r>
          </w:p>
        </w:tc>
        <w:tc>
          <w:tcPr>
            <w:tcW w:type="dxa" w:w="1881"/>
          </w:tcPr>
          <w:p>
            <w:r>
              <w:rPr>
                <w:rFonts w:ascii="Meiryo UI" w:hAnsi="Meiryo UI"/>
                <w:sz w:val="18"/>
              </w:rPr>
              <w:t>¥606億</w:t>
            </w:r>
          </w:p>
        </w:tc>
        <w:tc>
          <w:tcPr>
            <w:tcW w:type="dxa" w:w="1881"/>
          </w:tcPr>
          <w:p>
            <w:r>
              <w:rPr>
                <w:rFonts w:ascii="Meiryo UI" w:hAnsi="Meiryo UI"/>
                <w:sz w:val="18"/>
              </w:rPr>
              <w:t>（未開示）</w:t>
            </w:r>
          </w:p>
        </w:tc>
        <w:tc>
          <w:tcPr>
            <w:tcW w:type="dxa" w:w="1881"/>
          </w:tcPr>
          <w:p>
            <w:r>
              <w:rPr>
                <w:rFonts w:ascii="Meiryo UI" w:hAnsi="Meiryo UI"/>
                <w:sz w:val="18"/>
              </w:rPr>
              <w:t>—</w:t>
            </w:r>
          </w:p>
        </w:tc>
        <w:tc>
          <w:tcPr>
            <w:tcW w:type="dxa" w:w="1881"/>
          </w:tcPr>
          <w:p>
            <w:r>
              <w:rPr>
                <w:rFonts w:ascii="Meiryo UI" w:hAnsi="Meiryo UI"/>
                <w:sz w:val="18"/>
              </w:rPr>
              <w:t>¥744億</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¥415億</w:t>
            </w:r>
          </w:p>
        </w:tc>
        <w:tc>
          <w:tcPr>
            <w:tcW w:type="dxa" w:w="1881"/>
            <w:shd w:val="clear" w:color="auto" w:fill="DDEBF7"/>
          </w:tcPr>
          <w:p>
            <w:r>
              <w:rPr>
                <w:rFonts w:ascii="Meiryo UI" w:hAnsi="Meiryo UI"/>
                <w:sz w:val="18"/>
              </w:rPr>
              <w:t>（未開示）</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r>
        <w:rPr>
          <w:rFonts w:ascii="Meiryo UI" w:hAnsi="Meiryo UI"/>
          <w:sz w:val="20"/>
        </w:rPr>
        <w:t>通期ガイダンス ¥600億は保守的すぎる根拠:</w:t>
      </w:r>
    </w:p>
    <w:p>
      <w:pPr>
        <w:pStyle w:val="ListNumber"/>
      </w:pPr>
      <w:r>
        <w:rPr>
          <w:rFonts w:ascii="Meiryo UI" w:hAnsi="Meiryo UI"/>
          <w:sz w:val="20"/>
        </w:rPr>
        <w:t>Q1単独で¥185億 = 全年ガイダンスの30.8%（過去5年Q1比率平均：約22-24%）</w:t>
      </w:r>
    </w:p>
    <w:p>
      <w:pPr>
        <w:pStyle w:val="ListNumber"/>
      </w:pPr>
      <w:r>
        <w:rPr>
          <w:rFonts w:ascii="Meiryo UI" w:hAnsi="Meiryo UI"/>
          <w:sz w:val="20"/>
        </w:rPr>
        <w:t>Q2-Q4に必要なOP = ¥415億。FY2025 Q2-Q4実績 ≈ ¥450億 → 残り▲7.9%が必要</w:t>
      </w:r>
    </w:p>
    <w:p>
      <w:pPr>
        <w:pStyle w:val="ListNumber"/>
      </w:pPr>
      <w:r>
        <w:rPr>
          <w:rFonts w:ascii="Meiryo UI" w:hAnsi="Meiryo UI"/>
          <w:sz w:val="20"/>
        </w:rPr>
        <w:t>これは「Q2-Q4が前年割れ」を前提とした数字 → 成長継続仮定なら上振れ確実</w:t>
      </w:r>
    </w:p>
    <w:p>
      <w:pPr>
        <w:pStyle w:val="ListNumber"/>
      </w:pPr>
      <w:r>
        <w:rPr>
          <w:rFonts w:ascii="Meiryo UI" w:hAnsi="Meiryo UI"/>
          <w:sz w:val="20"/>
        </w:rPr>
        <w:t>QUICK consensus OP = ¥613億（ガイダンス比+2.2%）→ アナリストも上振れを予想</w:t>
      </w:r>
    </w:p>
    <w:p/>
    <w:p>
      <w:r>
        <w:t>──────────────────────────────────────────────────</w:t>
      </w:r>
    </w:p>
    <w:p/>
    <w:p>
      <w:pPr>
        <w:pStyle w:val="Heading2"/>
      </w:pPr>
      <w:r>
        <w:rPr>
          <w:rFonts w:ascii="Meiryo UI" w:hAnsi="Meiryo UI"/>
          <w:color w:val="2E74B5"/>
        </w:rPr>
        <w:t>▼ 4. 業績推移（定量）</w:t>
      </w:r>
    </w:p>
    <w:p/>
    <w:p>
      <w:pPr>
        <w:pStyle w:val="Heading3"/>
      </w:pPr>
      <w:r>
        <w:rPr>
          <w:rFonts w:ascii="Meiryo UI" w:hAnsi="Meiryo UI"/>
          <w:color w:val="2E74B5"/>
        </w:rPr>
        <w:t>4.1 損益計算書</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期</w:t>
            </w:r>
          </w:p>
        </w:tc>
        <w:tc>
          <w:tcPr>
            <w:tcW w:type="dxa" w:w="1344"/>
            <w:shd w:val="clear" w:color="auto" w:fill="2E74B5"/>
          </w:tcPr>
          <w:p>
            <w:r>
              <w:rPr>
                <w:rFonts w:ascii="Meiryo UI" w:hAnsi="Meiryo UI"/>
                <w:b/>
                <w:color w:val="FFFFFF"/>
                <w:sz w:val="18"/>
              </w:rPr>
              <w:t>売上高（億）</w:t>
            </w:r>
          </w:p>
        </w:tc>
        <w:tc>
          <w:tcPr>
            <w:tcW w:type="dxa" w:w="1344"/>
            <w:shd w:val="clear" w:color="auto" w:fill="2E74B5"/>
          </w:tcPr>
          <w:p>
            <w:r>
              <w:rPr>
                <w:rFonts w:ascii="Meiryo UI" w:hAnsi="Meiryo UI"/>
                <w:b/>
                <w:color w:val="FFFFFF"/>
                <w:sz w:val="18"/>
              </w:rPr>
              <w:t>YoY</w:t>
            </w:r>
          </w:p>
        </w:tc>
        <w:tc>
          <w:tcPr>
            <w:tcW w:type="dxa" w:w="1344"/>
            <w:shd w:val="clear" w:color="auto" w:fill="2E74B5"/>
          </w:tcPr>
          <w:p>
            <w:r>
              <w:rPr>
                <w:rFonts w:ascii="Meiryo UI" w:hAnsi="Meiryo UI"/>
                <w:b/>
                <w:color w:val="FFFFFF"/>
                <w:sz w:val="18"/>
              </w:rPr>
              <w:t>営業利益（億）</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純利益（億）</w:t>
            </w:r>
          </w:p>
        </w:tc>
        <w:tc>
          <w:tcPr>
            <w:tcW w:type="dxa" w:w="1344"/>
            <w:shd w:val="clear" w:color="auto" w:fill="2E74B5"/>
          </w:tcPr>
          <w:p>
            <w:r>
              <w:rPr>
                <w:rFonts w:ascii="Meiryo UI" w:hAnsi="Meiryo UI"/>
                <w:b/>
                <w:color w:val="FFFFFF"/>
                <w:sz w:val="18"/>
              </w:rPr>
              <w:t>EPS（円）</w:t>
            </w:r>
          </w:p>
        </w:tc>
      </w:tr>
      <w:tr>
        <w:tc>
          <w:tcPr>
            <w:tcW w:type="dxa" w:w="1344"/>
          </w:tcPr>
          <w:p>
            <w:r>
              <w:rPr>
                <w:rFonts w:ascii="Meiryo UI" w:hAnsi="Meiryo UI"/>
                <w:sz w:val="18"/>
              </w:rPr>
              <w:t>FY2022</w:t>
            </w:r>
          </w:p>
        </w:tc>
        <w:tc>
          <w:tcPr>
            <w:tcW w:type="dxa" w:w="1344"/>
          </w:tcPr>
          <w:p>
            <w:r>
              <w:rPr>
                <w:rFonts w:ascii="Meiryo UI" w:hAnsi="Meiryo UI"/>
                <w:sz w:val="18"/>
              </w:rPr>
              <w:t>5,881</w:t>
            </w:r>
          </w:p>
        </w:tc>
        <w:tc>
          <w:tcPr>
            <w:tcW w:type="dxa" w:w="1344"/>
          </w:tcPr>
          <w:p>
            <w:r>
              <w:rPr>
                <w:rFonts w:ascii="Meiryo UI" w:hAnsi="Meiryo UI"/>
                <w:sz w:val="18"/>
              </w:rPr>
              <w:t>—</w:t>
            </w:r>
          </w:p>
        </w:tc>
        <w:tc>
          <w:tcPr>
            <w:tcW w:type="dxa" w:w="1344"/>
          </w:tcPr>
          <w:p>
            <w:r>
              <w:rPr>
                <w:rFonts w:ascii="Meiryo UI" w:hAnsi="Meiryo UI"/>
                <w:sz w:val="18"/>
              </w:rPr>
              <w:t>499</w:t>
            </w:r>
          </w:p>
        </w:tc>
        <w:tc>
          <w:tcPr>
            <w:tcW w:type="dxa" w:w="1344"/>
          </w:tcPr>
          <w:p>
            <w:r>
              <w:rPr>
                <w:rFonts w:ascii="Meiryo UI" w:hAnsi="Meiryo UI"/>
                <w:sz w:val="18"/>
              </w:rPr>
              <w:t>8.49%</w:t>
            </w:r>
          </w:p>
        </w:tc>
        <w:tc>
          <w:tcPr>
            <w:tcW w:type="dxa" w:w="1344"/>
          </w:tcPr>
          <w:p>
            <w:r>
              <w:rPr>
                <w:rFonts w:ascii="Meiryo UI" w:hAnsi="Meiryo UI"/>
                <w:sz w:val="18"/>
              </w:rPr>
              <w:t>356</w:t>
            </w:r>
          </w:p>
        </w:tc>
        <w:tc>
          <w:tcPr>
            <w:tcW w:type="dxa" w:w="1344"/>
          </w:tcPr>
          <w:p>
            <w:r>
              <w:rPr>
                <w:rFonts w:ascii="Meiryo UI" w:hAnsi="Meiryo UI"/>
                <w:sz w:val="18"/>
              </w:rPr>
              <w:t>169</w:t>
            </w:r>
          </w:p>
        </w:tc>
      </w:tr>
      <w:tr>
        <w:tc>
          <w:tcPr>
            <w:tcW w:type="dxa" w:w="1344"/>
            <w:shd w:val="clear" w:color="auto" w:fill="DDEBF7"/>
          </w:tcPr>
          <w:p>
            <w:r>
              <w:rPr>
                <w:rFonts w:ascii="Meiryo UI" w:hAnsi="Meiryo UI"/>
                <w:sz w:val="18"/>
              </w:rPr>
              <w:t>FY2023</w:t>
            </w:r>
          </w:p>
        </w:tc>
        <w:tc>
          <w:tcPr>
            <w:tcW w:type="dxa" w:w="1344"/>
            <w:shd w:val="clear" w:color="auto" w:fill="DDEBF7"/>
          </w:tcPr>
          <w:p>
            <w:r>
              <w:rPr>
                <w:rFonts w:ascii="Meiryo UI" w:hAnsi="Meiryo UI"/>
                <w:sz w:val="18"/>
              </w:rPr>
              <w:t>6,095</w:t>
            </w:r>
          </w:p>
        </w:tc>
        <w:tc>
          <w:tcPr>
            <w:tcW w:type="dxa" w:w="1344"/>
            <w:shd w:val="clear" w:color="auto" w:fill="DDEBF7"/>
          </w:tcPr>
          <w:p>
            <w:r>
              <w:rPr>
                <w:rFonts w:ascii="Meiryo UI" w:hAnsi="Meiryo UI"/>
                <w:sz w:val="18"/>
              </w:rPr>
              <w:t>+3.6%</w:t>
            </w:r>
          </w:p>
        </w:tc>
        <w:tc>
          <w:tcPr>
            <w:tcW w:type="dxa" w:w="1344"/>
            <w:shd w:val="clear" w:color="auto" w:fill="DDEBF7"/>
          </w:tcPr>
          <w:p>
            <w:r>
              <w:rPr>
                <w:rFonts w:ascii="Meiryo UI" w:hAnsi="Meiryo UI"/>
                <w:sz w:val="18"/>
              </w:rPr>
              <w:t>525</w:t>
            </w:r>
          </w:p>
        </w:tc>
        <w:tc>
          <w:tcPr>
            <w:tcW w:type="dxa" w:w="1344"/>
            <w:shd w:val="clear" w:color="auto" w:fill="DDEBF7"/>
          </w:tcPr>
          <w:p>
            <w:r>
              <w:rPr>
                <w:rFonts w:ascii="Meiryo UI" w:hAnsi="Meiryo UI"/>
                <w:sz w:val="18"/>
              </w:rPr>
              <w:t>8.61%</w:t>
            </w:r>
          </w:p>
        </w:tc>
        <w:tc>
          <w:tcPr>
            <w:tcW w:type="dxa" w:w="1344"/>
            <w:shd w:val="clear" w:color="auto" w:fill="DDEBF7"/>
          </w:tcPr>
          <w:p>
            <w:r>
              <w:rPr>
                <w:rFonts w:ascii="Meiryo UI" w:hAnsi="Meiryo UI"/>
                <w:sz w:val="18"/>
              </w:rPr>
              <w:t>365</w:t>
            </w:r>
          </w:p>
        </w:tc>
        <w:tc>
          <w:tcPr>
            <w:tcW w:type="dxa" w:w="1344"/>
            <w:shd w:val="clear" w:color="auto" w:fill="DDEBF7"/>
          </w:tcPr>
          <w:p>
            <w:r>
              <w:rPr>
                <w:rFonts w:ascii="Meiryo UI" w:hAnsi="Meiryo UI"/>
                <w:sz w:val="18"/>
              </w:rPr>
              <w:t>174</w:t>
            </w:r>
          </w:p>
        </w:tc>
      </w:tr>
      <w:tr>
        <w:tc>
          <w:tcPr>
            <w:tcW w:type="dxa" w:w="1344"/>
          </w:tcPr>
          <w:p>
            <w:r>
              <w:rPr>
                <w:rFonts w:ascii="Meiryo UI" w:hAnsi="Meiryo UI"/>
                <w:sz w:val="18"/>
              </w:rPr>
              <w:t>FY2024</w:t>
            </w:r>
          </w:p>
        </w:tc>
        <w:tc>
          <w:tcPr>
            <w:tcW w:type="dxa" w:w="1344"/>
          </w:tcPr>
          <w:p>
            <w:r>
              <w:rPr>
                <w:rFonts w:ascii="Meiryo UI" w:hAnsi="Meiryo UI"/>
                <w:sz w:val="18"/>
              </w:rPr>
              <w:t>6,539</w:t>
            </w:r>
          </w:p>
        </w:tc>
        <w:tc>
          <w:tcPr>
            <w:tcW w:type="dxa" w:w="1344"/>
          </w:tcPr>
          <w:p>
            <w:r>
              <w:rPr>
                <w:rFonts w:ascii="Meiryo UI" w:hAnsi="Meiryo UI"/>
                <w:sz w:val="18"/>
              </w:rPr>
              <w:t>+7.3%</w:t>
            </w:r>
          </w:p>
        </w:tc>
        <w:tc>
          <w:tcPr>
            <w:tcW w:type="dxa" w:w="1344"/>
          </w:tcPr>
          <w:p>
            <w:r>
              <w:rPr>
                <w:rFonts w:ascii="Meiryo UI" w:hAnsi="Meiryo UI"/>
                <w:sz w:val="18"/>
              </w:rPr>
              <w:t>531</w:t>
            </w:r>
          </w:p>
        </w:tc>
        <w:tc>
          <w:tcPr>
            <w:tcW w:type="dxa" w:w="1344"/>
          </w:tcPr>
          <w:p>
            <w:r>
              <w:rPr>
                <w:rFonts w:ascii="Meiryo UI" w:hAnsi="Meiryo UI"/>
                <w:sz w:val="18"/>
              </w:rPr>
              <w:t>8.12%</w:t>
            </w:r>
          </w:p>
        </w:tc>
        <w:tc>
          <w:tcPr>
            <w:tcW w:type="dxa" w:w="1344"/>
          </w:tcPr>
          <w:p>
            <w:r>
              <w:rPr>
                <w:rFonts w:ascii="Meiryo UI" w:hAnsi="Meiryo UI"/>
                <w:sz w:val="18"/>
              </w:rPr>
              <w:t>393</w:t>
            </w:r>
          </w:p>
        </w:tc>
        <w:tc>
          <w:tcPr>
            <w:tcW w:type="dxa" w:w="1344"/>
          </w:tcPr>
          <w:p>
            <w:r>
              <w:rPr>
                <w:rFonts w:ascii="Meiryo UI" w:hAnsi="Meiryo UI"/>
                <w:sz w:val="18"/>
              </w:rPr>
              <w:t>187</w:t>
            </w:r>
          </w:p>
        </w:tc>
      </w:tr>
      <w:tr>
        <w:tc>
          <w:tcPr>
            <w:tcW w:type="dxa" w:w="1344"/>
            <w:shd w:val="clear" w:color="auto" w:fill="DDEBF7"/>
          </w:tcPr>
          <w:p>
            <w:r>
              <w:rPr>
                <w:rFonts w:ascii="Meiryo UI" w:hAnsi="Meiryo UI"/>
                <w:sz w:val="18"/>
              </w:rPr>
              <w:t>FY2025</w:t>
            </w:r>
          </w:p>
        </w:tc>
        <w:tc>
          <w:tcPr>
            <w:tcW w:type="dxa" w:w="1344"/>
            <w:shd w:val="clear" w:color="auto" w:fill="DDEBF7"/>
          </w:tcPr>
          <w:p>
            <w:r>
              <w:rPr>
                <w:rFonts w:ascii="Meiryo UI" w:hAnsi="Meiryo UI"/>
                <w:sz w:val="18"/>
              </w:rPr>
              <w:t>6,798</w:t>
            </w:r>
          </w:p>
        </w:tc>
        <w:tc>
          <w:tcPr>
            <w:tcW w:type="dxa" w:w="1344"/>
            <w:shd w:val="clear" w:color="auto" w:fill="DDEBF7"/>
          </w:tcPr>
          <w:p>
            <w:r>
              <w:rPr>
                <w:rFonts w:ascii="Meiryo UI" w:hAnsi="Meiryo UI"/>
                <w:sz w:val="18"/>
              </w:rPr>
              <w:t>+4.0%</w:t>
            </w:r>
          </w:p>
        </w:tc>
        <w:tc>
          <w:tcPr>
            <w:tcW w:type="dxa" w:w="1344"/>
            <w:shd w:val="clear" w:color="auto" w:fill="DDEBF7"/>
          </w:tcPr>
          <w:p>
            <w:r>
              <w:rPr>
                <w:rFonts w:ascii="Meiryo UI" w:hAnsi="Meiryo UI"/>
                <w:sz w:val="18"/>
              </w:rPr>
              <w:t>582</w:t>
            </w:r>
          </w:p>
        </w:tc>
        <w:tc>
          <w:tcPr>
            <w:tcW w:type="dxa" w:w="1344"/>
            <w:shd w:val="clear" w:color="auto" w:fill="DDEBF7"/>
          </w:tcPr>
          <w:p>
            <w:r>
              <w:rPr>
                <w:rFonts w:ascii="Meiryo UI" w:hAnsi="Meiryo UI"/>
                <w:sz w:val="18"/>
              </w:rPr>
              <w:t>8.56%</w:t>
            </w:r>
          </w:p>
        </w:tc>
        <w:tc>
          <w:tcPr>
            <w:tcW w:type="dxa" w:w="1344"/>
            <w:shd w:val="clear" w:color="auto" w:fill="DDEBF7"/>
          </w:tcPr>
          <w:p>
            <w:r>
              <w:rPr>
                <w:rFonts w:ascii="Meiryo UI" w:hAnsi="Meiryo UI"/>
                <w:sz w:val="18"/>
              </w:rPr>
              <w:t>415</w:t>
            </w:r>
          </w:p>
        </w:tc>
        <w:tc>
          <w:tcPr>
            <w:tcW w:type="dxa" w:w="1344"/>
            <w:shd w:val="clear" w:color="auto" w:fill="DDEBF7"/>
          </w:tcPr>
          <w:p>
            <w:r>
              <w:rPr>
                <w:rFonts w:ascii="Meiryo UI" w:hAnsi="Meiryo UI"/>
                <w:sz w:val="18"/>
              </w:rPr>
              <w:t>197</w:t>
            </w:r>
          </w:p>
        </w:tc>
      </w:tr>
      <w:tr>
        <w:tc>
          <w:tcPr>
            <w:tcW w:type="dxa" w:w="1344"/>
          </w:tcPr>
          <w:p>
            <w:r>
              <w:rPr>
                <w:rFonts w:ascii="Meiryo UI" w:hAnsi="Meiryo UI"/>
                <w:sz w:val="18"/>
              </w:rPr>
              <w:t>FY2026E（Bear）</w:t>
            </w:r>
          </w:p>
        </w:tc>
        <w:tc>
          <w:tcPr>
            <w:tcW w:type="dxa" w:w="1344"/>
          </w:tcPr>
          <w:p>
            <w:r>
              <w:rPr>
                <w:rFonts w:ascii="Meiryo UI" w:hAnsi="Meiryo UI"/>
                <w:sz w:val="18"/>
              </w:rPr>
              <w:t>6,800</w:t>
            </w:r>
          </w:p>
        </w:tc>
        <w:tc>
          <w:tcPr>
            <w:tcW w:type="dxa" w:w="1344"/>
          </w:tcPr>
          <w:p>
            <w:r>
              <w:rPr>
                <w:rFonts w:ascii="Meiryo UI" w:hAnsi="Meiryo UI"/>
                <w:sz w:val="18"/>
              </w:rPr>
              <w:t>+0.0%</w:t>
            </w:r>
          </w:p>
        </w:tc>
        <w:tc>
          <w:tcPr>
            <w:tcW w:type="dxa" w:w="1344"/>
          </w:tcPr>
          <w:p>
            <w:r>
              <w:rPr>
                <w:rFonts w:ascii="Meiryo UI" w:hAnsi="Meiryo UI"/>
                <w:sz w:val="18"/>
              </w:rPr>
              <w:t>580</w:t>
            </w:r>
          </w:p>
        </w:tc>
        <w:tc>
          <w:tcPr>
            <w:tcW w:type="dxa" w:w="1344"/>
          </w:tcPr>
          <w:p>
            <w:r>
              <w:rPr>
                <w:rFonts w:ascii="Meiryo UI" w:hAnsi="Meiryo UI"/>
                <w:sz w:val="18"/>
              </w:rPr>
              <w:t>8.53%</w:t>
            </w:r>
          </w:p>
        </w:tc>
        <w:tc>
          <w:tcPr>
            <w:tcW w:type="dxa" w:w="1344"/>
          </w:tcPr>
          <w:p>
            <w:r>
              <w:rPr>
                <w:rFonts w:ascii="Meiryo UI" w:hAnsi="Meiryo UI"/>
                <w:sz w:val="18"/>
              </w:rPr>
              <w:t>412</w:t>
            </w:r>
          </w:p>
        </w:tc>
        <w:tc>
          <w:tcPr>
            <w:tcW w:type="dxa" w:w="1344"/>
          </w:tcPr>
          <w:p>
            <w:r>
              <w:rPr>
                <w:rFonts w:ascii="Meiryo UI" w:hAnsi="Meiryo UI"/>
                <w:sz w:val="18"/>
              </w:rPr>
              <w:t>196</w:t>
            </w:r>
          </w:p>
        </w:tc>
      </w:tr>
      <w:tr>
        <w:tc>
          <w:tcPr>
            <w:tcW w:type="dxa" w:w="1344"/>
            <w:shd w:val="clear" w:color="auto" w:fill="DDEBF7"/>
          </w:tcPr>
          <w:p>
            <w:r>
              <w:rPr>
                <w:rFonts w:ascii="Meiryo UI" w:hAnsi="Meiryo UI"/>
                <w:sz w:val="18"/>
              </w:rPr>
              <w:t>FY2026E（Base）</w:t>
            </w:r>
          </w:p>
        </w:tc>
        <w:tc>
          <w:tcPr>
            <w:tcW w:type="dxa" w:w="1344"/>
            <w:shd w:val="clear" w:color="auto" w:fill="DDEBF7"/>
          </w:tcPr>
          <w:p>
            <w:r>
              <w:rPr>
                <w:rFonts w:ascii="Meiryo UI" w:hAnsi="Meiryo UI"/>
                <w:sz w:val="18"/>
              </w:rPr>
              <w:t>6,900</w:t>
            </w:r>
          </w:p>
        </w:tc>
        <w:tc>
          <w:tcPr>
            <w:tcW w:type="dxa" w:w="1344"/>
            <w:shd w:val="clear" w:color="auto" w:fill="DDEBF7"/>
          </w:tcPr>
          <w:p>
            <w:r>
              <w:rPr>
                <w:rFonts w:ascii="Meiryo UI" w:hAnsi="Meiryo UI"/>
                <w:sz w:val="18"/>
              </w:rPr>
              <w:t>+1.5%</w:t>
            </w:r>
          </w:p>
        </w:tc>
        <w:tc>
          <w:tcPr>
            <w:tcW w:type="dxa" w:w="1344"/>
            <w:shd w:val="clear" w:color="auto" w:fill="DDEBF7"/>
          </w:tcPr>
          <w:p>
            <w:r>
              <w:rPr>
                <w:rFonts w:ascii="Meiryo UI" w:hAnsi="Meiryo UI"/>
                <w:sz w:val="18"/>
              </w:rPr>
              <w:t>625</w:t>
            </w:r>
          </w:p>
        </w:tc>
        <w:tc>
          <w:tcPr>
            <w:tcW w:type="dxa" w:w="1344"/>
            <w:shd w:val="clear" w:color="auto" w:fill="DDEBF7"/>
          </w:tcPr>
          <w:p>
            <w:r>
              <w:rPr>
                <w:rFonts w:ascii="Meiryo UI" w:hAnsi="Meiryo UI"/>
                <w:sz w:val="18"/>
              </w:rPr>
              <w:t>9.06%</w:t>
            </w:r>
          </w:p>
        </w:tc>
        <w:tc>
          <w:tcPr>
            <w:tcW w:type="dxa" w:w="1344"/>
            <w:shd w:val="clear" w:color="auto" w:fill="DDEBF7"/>
          </w:tcPr>
          <w:p>
            <w:r>
              <w:rPr>
                <w:rFonts w:ascii="Meiryo UI" w:hAnsi="Meiryo UI"/>
                <w:sz w:val="18"/>
              </w:rPr>
              <w:t>443</w:t>
            </w:r>
          </w:p>
        </w:tc>
        <w:tc>
          <w:tcPr>
            <w:tcW w:type="dxa" w:w="1344"/>
            <w:shd w:val="clear" w:color="auto" w:fill="DDEBF7"/>
          </w:tcPr>
          <w:p>
            <w:r>
              <w:rPr>
                <w:rFonts w:ascii="Meiryo UI" w:hAnsi="Meiryo UI"/>
                <w:sz w:val="18"/>
              </w:rPr>
              <w:t>211</w:t>
            </w:r>
          </w:p>
        </w:tc>
      </w:tr>
      <w:tr>
        <w:tc>
          <w:tcPr>
            <w:tcW w:type="dxa" w:w="1344"/>
          </w:tcPr>
          <w:p>
            <w:r>
              <w:rPr>
                <w:rFonts w:ascii="Meiryo UI" w:hAnsi="Meiryo UI"/>
                <w:sz w:val="18"/>
              </w:rPr>
              <w:t>FY2026E（Bull）</w:t>
            </w:r>
          </w:p>
        </w:tc>
        <w:tc>
          <w:tcPr>
            <w:tcW w:type="dxa" w:w="1344"/>
          </w:tcPr>
          <w:p>
            <w:r>
              <w:rPr>
                <w:rFonts w:ascii="Meiryo UI" w:hAnsi="Meiryo UI"/>
                <w:sz w:val="18"/>
              </w:rPr>
              <w:t>7,000</w:t>
            </w:r>
          </w:p>
        </w:tc>
        <w:tc>
          <w:tcPr>
            <w:tcW w:type="dxa" w:w="1344"/>
          </w:tcPr>
          <w:p>
            <w:r>
              <w:rPr>
                <w:rFonts w:ascii="Meiryo UI" w:hAnsi="Meiryo UI"/>
                <w:sz w:val="18"/>
              </w:rPr>
              <w:t>+3.0%</w:t>
            </w:r>
          </w:p>
        </w:tc>
        <w:tc>
          <w:tcPr>
            <w:tcW w:type="dxa" w:w="1344"/>
          </w:tcPr>
          <w:p>
            <w:r>
              <w:rPr>
                <w:rFonts w:ascii="Meiryo UI" w:hAnsi="Meiryo UI"/>
                <w:sz w:val="18"/>
              </w:rPr>
              <w:t>680</w:t>
            </w:r>
          </w:p>
        </w:tc>
        <w:tc>
          <w:tcPr>
            <w:tcW w:type="dxa" w:w="1344"/>
          </w:tcPr>
          <w:p>
            <w:r>
              <w:rPr>
                <w:rFonts w:ascii="Meiryo UI" w:hAnsi="Meiryo UI"/>
                <w:sz w:val="18"/>
              </w:rPr>
              <w:t>9.71%</w:t>
            </w:r>
          </w:p>
        </w:tc>
        <w:tc>
          <w:tcPr>
            <w:tcW w:type="dxa" w:w="1344"/>
          </w:tcPr>
          <w:p>
            <w:r>
              <w:rPr>
                <w:rFonts w:ascii="Meiryo UI" w:hAnsi="Meiryo UI"/>
                <w:sz w:val="18"/>
              </w:rPr>
              <w:t>482</w:t>
            </w:r>
          </w:p>
        </w:tc>
        <w:tc>
          <w:tcPr>
            <w:tcW w:type="dxa" w:w="1344"/>
          </w:tcPr>
          <w:p>
            <w:r>
              <w:rPr>
                <w:rFonts w:ascii="Meiryo UI" w:hAnsi="Meiryo UI"/>
                <w:sz w:val="18"/>
              </w:rPr>
              <w:t>229</w:t>
            </w:r>
          </w:p>
        </w:tc>
      </w:tr>
    </w:tbl>
    <w:p/>
    <w:p>
      <w:r>
        <w:rPr>
          <w:rFonts w:ascii="Meiryo UI" w:hAnsi="Meiryo UI"/>
          <w:sz w:val="20"/>
        </w:rPr>
        <w:t>注: EPS = 純利益 / 発行済株式数 210,202,214株（自己株除後）</w:t>
      </w:r>
    </w:p>
    <w:p/>
    <w:p>
      <w:pPr>
        <w:pStyle w:val="Heading3"/>
      </w:pPr>
      <w:r>
        <w:rPr>
          <w:rFonts w:ascii="Meiryo UI" w:hAnsi="Meiryo UI"/>
          <w:color w:val="2E74B5"/>
        </w:rPr>
        <w:t>4.2 収益性の構造的改善トレンド</w:t>
      </w:r>
    </w:p>
    <w:p/>
    <w:p>
      <w:pPr>
        <w:shd w:val="clear" w:color="auto" w:fill="F2F2F2"/>
      </w:pPr>
      <w:r>
        <w:rPr>
          <w:rFonts w:ascii="Courier New" w:hAnsi="Courier New"/>
          <w:sz w:val="16"/>
        </w:rPr>
        <w:t>FY2022 OPM 8.49% → FY2023 8.61% → FY2024 8.12% → FY2025 8.56% → Q1 FY2026 10.77%</w:t>
        <w:br/>
        <w:br/>
        <w:t>→ 4年間で安定的な8%台をキープしながら、Q1 FY2026で10%台突破</w:t>
        <w:br/>
        <w:t>→ ITソリューション比率上昇（ソフト・サービス →高収益）が構造的ドライバー</w:t>
        <w:br/>
        <w:t>→ Canon本社がAI関連需要を背景に付加価値製品ラインを強化中</w:t>
      </w:r>
    </w:p>
    <w:p/>
    <w:p>
      <w:pPr>
        <w:pStyle w:val="Heading3"/>
      </w:pPr>
      <w:r>
        <w:rPr>
          <w:rFonts w:ascii="Meiryo UI" w:hAnsi="Meiryo UI"/>
          <w:color w:val="2E74B5"/>
        </w:rPr>
        <w:t>4.3 貸借対照表（FY2025末）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特記</w:t>
            </w:r>
          </w:p>
        </w:tc>
      </w:tr>
      <w:tr>
        <w:tc>
          <w:tcPr>
            <w:tcW w:type="dxa" w:w="3135"/>
          </w:tcPr>
          <w:p>
            <w:r>
              <w:rPr>
                <w:rFonts w:ascii="Meiryo UI" w:hAnsi="Meiryo UI"/>
                <w:sz w:val="18"/>
              </w:rPr>
              <w:t>総資産</w:t>
            </w:r>
          </w:p>
        </w:tc>
        <w:tc>
          <w:tcPr>
            <w:tcW w:type="dxa" w:w="3135"/>
          </w:tcPr>
          <w:p>
            <w:r>
              <w:rPr>
                <w:rFonts w:ascii="Meiryo UI" w:hAnsi="Meiryo UI"/>
                <w:sz w:val="18"/>
              </w:rPr>
              <w:t>¥5,644億</w:t>
            </w:r>
          </w:p>
        </w:tc>
        <w:tc>
          <w:tcPr>
            <w:tcW w:type="dxa" w:w="3135"/>
          </w:tcPr>
          <w:p>
            <w:r>
              <w:rPr>
                <w:rFonts w:ascii="Meiryo UI" w:hAnsi="Meiryo UI"/>
                <w:sz w:val="18"/>
              </w:rPr>
              <w:t>健全</w:t>
            </w:r>
          </w:p>
        </w:tc>
      </w:tr>
      <w:tr>
        <w:tc>
          <w:tcPr>
            <w:tcW w:type="dxa" w:w="3135"/>
            <w:shd w:val="clear" w:color="auto" w:fill="DDEBF7"/>
          </w:tcPr>
          <w:p>
            <w:r>
              <w:rPr>
                <w:rFonts w:ascii="Meiryo UI" w:hAnsi="Meiryo UI"/>
                <w:sz w:val="18"/>
              </w:rPr>
              <w:t>純現金（現金-有利子負債）</w:t>
            </w:r>
          </w:p>
        </w:tc>
        <w:tc>
          <w:tcPr>
            <w:tcW w:type="dxa" w:w="3135"/>
            <w:shd w:val="clear" w:color="auto" w:fill="DDEBF7"/>
          </w:tcPr>
          <w:p>
            <w:r>
              <w:rPr>
                <w:rFonts w:ascii="Meiryo UI" w:hAnsi="Meiryo UI"/>
                <w:sz w:val="18"/>
              </w:rPr>
              <w:t>¥1,564億</w:t>
            </w:r>
          </w:p>
        </w:tc>
        <w:tc>
          <w:tcPr>
            <w:tcW w:type="dxa" w:w="3135"/>
            <w:shd w:val="clear" w:color="auto" w:fill="DDEBF7"/>
          </w:tcPr>
          <w:p>
            <w:r>
              <w:rPr>
                <w:rFonts w:ascii="Meiryo UI" w:hAnsi="Meiryo UI"/>
                <w:sz w:val="18"/>
              </w:rPr>
              <w:t>株価の20.7%相当</w:t>
            </w:r>
          </w:p>
        </w:tc>
      </w:tr>
      <w:tr>
        <w:tc>
          <w:tcPr>
            <w:tcW w:type="dxa" w:w="3135"/>
          </w:tcPr>
          <w:p>
            <w:r>
              <w:rPr>
                <w:rFonts w:ascii="Meiryo UI" w:hAnsi="Meiryo UI"/>
                <w:sz w:val="18"/>
              </w:rPr>
              <w:t>自己資本</w:t>
            </w:r>
          </w:p>
        </w:tc>
        <w:tc>
          <w:tcPr>
            <w:tcW w:type="dxa" w:w="3135"/>
          </w:tcPr>
          <w:p>
            <w:r>
              <w:rPr>
                <w:rFonts w:ascii="Meiryo UI" w:hAnsi="Meiryo UI"/>
                <w:sz w:val="18"/>
              </w:rPr>
              <w:t>¥4,047億（推定）</w:t>
            </w:r>
          </w:p>
        </w:tc>
        <w:tc>
          <w:tcPr>
            <w:tcW w:type="dxa" w:w="3135"/>
          </w:tcPr>
          <w:p>
            <w:r>
              <w:rPr>
                <w:rFonts w:ascii="Meiryo UI" w:hAnsi="Meiryo UI"/>
                <w:sz w:val="18"/>
              </w:rPr>
              <w:t>PBR 1.87x</w:t>
            </w:r>
          </w:p>
        </w:tc>
      </w:tr>
      <w:tr>
        <w:tc>
          <w:tcPr>
            <w:tcW w:type="dxa" w:w="3135"/>
            <w:shd w:val="clear" w:color="auto" w:fill="DDEBF7"/>
          </w:tcPr>
          <w:p>
            <w:r>
              <w:rPr>
                <w:rFonts w:ascii="Meiryo UI" w:hAnsi="Meiryo UI"/>
                <w:sz w:val="18"/>
              </w:rPr>
              <w:t>BVPS</w:t>
            </w:r>
          </w:p>
        </w:tc>
        <w:tc>
          <w:tcPr>
            <w:tcW w:type="dxa" w:w="3135"/>
            <w:shd w:val="clear" w:color="auto" w:fill="DDEBF7"/>
          </w:tcPr>
          <w:p>
            <w:r>
              <w:rPr>
                <w:rFonts w:ascii="Meiryo UI" w:hAnsi="Meiryo UI"/>
                <w:sz w:val="18"/>
              </w:rPr>
              <w:t>¥1,926</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有利子負債</w:t>
            </w:r>
          </w:p>
        </w:tc>
        <w:tc>
          <w:tcPr>
            <w:tcW w:type="dxa" w:w="3135"/>
          </w:tcPr>
          <w:p>
            <w:r>
              <w:rPr>
                <w:rFonts w:ascii="Meiryo UI" w:hAnsi="Meiryo UI"/>
                <w:sz w:val="18"/>
              </w:rPr>
              <w:t>¥32億</w:t>
            </w:r>
          </w:p>
        </w:tc>
        <w:tc>
          <w:tcPr>
            <w:tcW w:type="dxa" w:w="3135"/>
          </w:tcPr>
          <w:p>
            <w:r>
              <w:rPr>
                <w:rFonts w:ascii="Meiryo UI" w:hAnsi="Meiryo UI"/>
                <w:sz w:val="18"/>
              </w:rPr>
              <w:t>実質無借金</w:t>
            </w:r>
          </w:p>
        </w:tc>
      </w:tr>
      <w:tr>
        <w:tc>
          <w:tcPr>
            <w:tcW w:type="dxa" w:w="3135"/>
            <w:shd w:val="clear" w:color="auto" w:fill="DDEBF7"/>
          </w:tcPr>
          <w:p>
            <w:r>
              <w:rPr>
                <w:rFonts w:ascii="Meiryo UI" w:hAnsi="Meiryo UI"/>
                <w:sz w:val="18"/>
              </w:rPr>
              <w:t>FCF（FY2025）</w:t>
            </w:r>
          </w:p>
        </w:tc>
        <w:tc>
          <w:tcPr>
            <w:tcW w:type="dxa" w:w="3135"/>
            <w:shd w:val="clear" w:color="auto" w:fill="DDEBF7"/>
          </w:tcPr>
          <w:p>
            <w:r>
              <w:rPr>
                <w:rFonts w:ascii="Meiryo UI" w:hAnsi="Meiryo UI"/>
                <w:sz w:val="18"/>
              </w:rPr>
              <w:t>¥282億</w:t>
            </w:r>
          </w:p>
        </w:tc>
        <w:tc>
          <w:tcPr>
            <w:tcW w:type="dxa" w:w="3135"/>
            <w:shd w:val="clear" w:color="auto" w:fill="DDEBF7"/>
          </w:tcPr>
          <w:p>
            <w:r>
              <w:rPr>
                <w:rFonts w:ascii="Meiryo UI" w:hAnsi="Meiryo UI"/>
                <w:sz w:val="18"/>
              </w:rPr>
              <w:t>十分</w:t>
            </w:r>
          </w:p>
        </w:tc>
      </w:tr>
    </w:tbl>
    <w:p/>
    <w:p>
      <w:r>
        <w:t>──────────────────────────────────────────────────</w:t>
      </w:r>
    </w:p>
    <w:p/>
    <w:p>
      <w:pPr>
        <w:pStyle w:val="Heading2"/>
      </w:pPr>
      <w:r>
        <w:rPr>
          <w:rFonts w:ascii="Meiryo UI" w:hAnsi="Meiryo UI"/>
          <w:color w:val="2E74B5"/>
        </w:rPr>
        <w:t>▼ 5. 競合比較・市場環境</w:t>
      </w:r>
    </w:p>
    <w:p/>
    <w:p>
      <w:pPr>
        <w:pStyle w:val="Heading3"/>
      </w:pPr>
      <w:r>
        <w:rPr>
          <w:rFonts w:ascii="Meiryo UI" w:hAnsi="Meiryo UI"/>
          <w:color w:val="2E74B5"/>
        </w:rPr>
        <w:t>5.1 比較対象（IT商社・ソリューション企業）</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銘柄</w:t>
            </w:r>
          </w:p>
        </w:tc>
        <w:tc>
          <w:tcPr>
            <w:tcW w:type="dxa" w:w="1344"/>
            <w:shd w:val="clear" w:color="auto" w:fill="2E74B5"/>
          </w:tcPr>
          <w:p>
            <w:r>
              <w:rPr>
                <w:rFonts w:ascii="Meiryo UI" w:hAnsi="Meiryo UI"/>
                <w:b/>
                <w:color w:val="FFFFFF"/>
                <w:sz w:val="18"/>
              </w:rPr>
              <w:t>コード</w:t>
            </w:r>
          </w:p>
        </w:tc>
        <w:tc>
          <w:tcPr>
            <w:tcW w:type="dxa" w:w="1344"/>
            <w:shd w:val="clear" w:color="auto" w:fill="2E74B5"/>
          </w:tcPr>
          <w:p>
            <w:r>
              <w:rPr>
                <w:rFonts w:ascii="Meiryo UI" w:hAnsi="Meiryo UI"/>
                <w:b/>
                <w:color w:val="FFFFFF"/>
                <w:sz w:val="18"/>
              </w:rPr>
              <w:t>P/E</w:t>
            </w:r>
          </w:p>
        </w:tc>
        <w:tc>
          <w:tcPr>
            <w:tcW w:type="dxa" w:w="1344"/>
            <w:shd w:val="clear" w:color="auto" w:fill="2E74B5"/>
          </w:tcPr>
          <w:p>
            <w:r>
              <w:rPr>
                <w:rFonts w:ascii="Meiryo UI" w:hAnsi="Meiryo UI"/>
                <w:b/>
                <w:color w:val="FFFFFF"/>
                <w:sz w:val="18"/>
              </w:rPr>
              <w:t>P/B</w:t>
            </w:r>
          </w:p>
        </w:tc>
        <w:tc>
          <w:tcPr>
            <w:tcW w:type="dxa" w:w="1344"/>
            <w:shd w:val="clear" w:color="auto" w:fill="2E74B5"/>
          </w:tcPr>
          <w:p>
            <w:r>
              <w:rPr>
                <w:rFonts w:ascii="Meiryo UI" w:hAnsi="Meiryo UI"/>
                <w:b/>
                <w:color w:val="FFFFFF"/>
                <w:sz w:val="18"/>
              </w:rPr>
              <w:t>ROE</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特徴</w:t>
            </w:r>
          </w:p>
        </w:tc>
      </w:tr>
      <w:tr>
        <w:tc>
          <w:tcPr>
            <w:tcW w:type="dxa" w:w="1344"/>
          </w:tcPr>
          <w:p>
            <w:r>
              <w:rPr>
                <w:rFonts w:ascii="Meiryo UI" w:hAnsi="Meiryo UI"/>
                <w:sz w:val="18"/>
              </w:rPr>
              <w:t>キヤノンMJ</w:t>
            </w:r>
          </w:p>
        </w:tc>
        <w:tc>
          <w:tcPr>
            <w:tcW w:type="dxa" w:w="1344"/>
          </w:tcPr>
          <w:p>
            <w:r>
              <w:rPr>
                <w:rFonts w:ascii="Meiryo UI" w:hAnsi="Meiryo UI"/>
                <w:sz w:val="18"/>
              </w:rPr>
              <w:t>8060</w:t>
            </w:r>
          </w:p>
        </w:tc>
        <w:tc>
          <w:tcPr>
            <w:tcW w:type="dxa" w:w="1344"/>
          </w:tcPr>
          <w:p>
            <w:r>
              <w:rPr>
                <w:rFonts w:ascii="Meiryo UI" w:hAnsi="Meiryo UI"/>
                <w:sz w:val="18"/>
              </w:rPr>
              <w:t>18.3x</w:t>
            </w:r>
          </w:p>
        </w:tc>
        <w:tc>
          <w:tcPr>
            <w:tcW w:type="dxa" w:w="1344"/>
          </w:tcPr>
          <w:p>
            <w:r>
              <w:rPr>
                <w:rFonts w:ascii="Meiryo UI" w:hAnsi="Meiryo UI"/>
                <w:sz w:val="18"/>
              </w:rPr>
              <w:t>1.87x</w:t>
            </w:r>
          </w:p>
        </w:tc>
        <w:tc>
          <w:tcPr>
            <w:tcW w:type="dxa" w:w="1344"/>
          </w:tcPr>
          <w:p>
            <w:r>
              <w:rPr>
                <w:rFonts w:ascii="Meiryo UI" w:hAnsi="Meiryo UI"/>
                <w:sz w:val="18"/>
              </w:rPr>
              <w:t>10.4%</w:t>
            </w:r>
          </w:p>
        </w:tc>
        <w:tc>
          <w:tcPr>
            <w:tcW w:type="dxa" w:w="1344"/>
          </w:tcPr>
          <w:p>
            <w:r>
              <w:rPr>
                <w:rFonts w:ascii="Meiryo UI" w:hAnsi="Meiryo UI"/>
                <w:sz w:val="18"/>
              </w:rPr>
              <w:t>8.56%</w:t>
            </w:r>
          </w:p>
        </w:tc>
        <w:tc>
          <w:tcPr>
            <w:tcW w:type="dxa" w:w="1344"/>
          </w:tcPr>
          <w:p>
            <w:r>
              <w:rPr>
                <w:rFonts w:ascii="Meiryo UI" w:hAnsi="Meiryo UI"/>
                <w:sz w:val="18"/>
              </w:rPr>
              <w:t>低β・純現金豊富</w:t>
            </w:r>
          </w:p>
        </w:tc>
      </w:tr>
      <w:tr>
        <w:tc>
          <w:tcPr>
            <w:tcW w:type="dxa" w:w="1344"/>
            <w:shd w:val="clear" w:color="auto" w:fill="DDEBF7"/>
          </w:tcPr>
          <w:p>
            <w:r>
              <w:rPr>
                <w:rFonts w:ascii="Meiryo UI" w:hAnsi="Meiryo UI"/>
                <w:sz w:val="18"/>
              </w:rPr>
              <w:t>伊藤忠テクノ</w:t>
            </w:r>
          </w:p>
        </w:tc>
        <w:tc>
          <w:tcPr>
            <w:tcW w:type="dxa" w:w="1344"/>
            <w:shd w:val="clear" w:color="auto" w:fill="DDEBF7"/>
          </w:tcPr>
          <w:p>
            <w:r>
              <w:rPr>
                <w:rFonts w:ascii="Meiryo UI" w:hAnsi="Meiryo UI"/>
                <w:sz w:val="18"/>
              </w:rPr>
              <w:t>4666</w:t>
            </w:r>
          </w:p>
        </w:tc>
        <w:tc>
          <w:tcPr>
            <w:tcW w:type="dxa" w:w="1344"/>
            <w:shd w:val="clear" w:color="auto" w:fill="DDEBF7"/>
          </w:tcPr>
          <w:p>
            <w:r>
              <w:rPr>
                <w:rFonts w:ascii="Meiryo UI" w:hAnsi="Meiryo UI"/>
                <w:sz w:val="18"/>
              </w:rPr>
              <w:t>20x</w:t>
            </w:r>
          </w:p>
        </w:tc>
        <w:tc>
          <w:tcPr>
            <w:tcW w:type="dxa" w:w="1344"/>
            <w:shd w:val="clear" w:color="auto" w:fill="DDEBF7"/>
          </w:tcPr>
          <w:p>
            <w:r>
              <w:rPr>
                <w:rFonts w:ascii="Meiryo UI" w:hAnsi="Meiryo UI"/>
                <w:sz w:val="18"/>
              </w:rPr>
              <w:t>2.5x</w:t>
            </w:r>
          </w:p>
        </w:tc>
        <w:tc>
          <w:tcPr>
            <w:tcW w:type="dxa" w:w="1344"/>
            <w:shd w:val="clear" w:color="auto" w:fill="DDEBF7"/>
          </w:tcPr>
          <w:p>
            <w:r>
              <w:rPr>
                <w:rFonts w:ascii="Meiryo UI" w:hAnsi="Meiryo UI"/>
                <w:sz w:val="18"/>
              </w:rPr>
              <w:t>13%</w:t>
            </w:r>
          </w:p>
        </w:tc>
        <w:tc>
          <w:tcPr>
            <w:tcW w:type="dxa" w:w="1344"/>
            <w:shd w:val="clear" w:color="auto" w:fill="DDEBF7"/>
          </w:tcPr>
          <w:p>
            <w:r>
              <w:rPr>
                <w:rFonts w:ascii="Meiryo UI" w:hAnsi="Meiryo UI"/>
                <w:sz w:val="18"/>
              </w:rPr>
              <w:t>5%</w:t>
            </w:r>
          </w:p>
        </w:tc>
        <w:tc>
          <w:tcPr>
            <w:tcW w:type="dxa" w:w="1344"/>
            <w:shd w:val="clear" w:color="auto" w:fill="DDEBF7"/>
          </w:tcPr>
          <w:p>
            <w:r>
              <w:rPr>
                <w:rFonts w:ascii="Meiryo UI" w:hAnsi="Meiryo UI"/>
                <w:sz w:val="18"/>
              </w:rPr>
              <w:t>IT商社大手</w:t>
            </w:r>
          </w:p>
        </w:tc>
      </w:tr>
      <w:tr>
        <w:tc>
          <w:tcPr>
            <w:tcW w:type="dxa" w:w="1344"/>
          </w:tcPr>
          <w:p>
            <w:r>
              <w:rPr>
                <w:rFonts w:ascii="Meiryo UI" w:hAnsi="Meiryo UI"/>
                <w:sz w:val="18"/>
              </w:rPr>
              <w:t>日立システムズ</w:t>
            </w:r>
          </w:p>
        </w:tc>
        <w:tc>
          <w:tcPr>
            <w:tcW w:type="dxa" w:w="1344"/>
          </w:tcPr>
          <w:p>
            <w:r>
              <w:rPr>
                <w:rFonts w:ascii="Meiryo UI" w:hAnsi="Meiryo UI"/>
                <w:sz w:val="18"/>
              </w:rPr>
              <w:t>(非上場)</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SI大手</w:t>
            </w:r>
          </w:p>
        </w:tc>
      </w:tr>
      <w:tr>
        <w:tc>
          <w:tcPr>
            <w:tcW w:type="dxa" w:w="1344"/>
            <w:shd w:val="clear" w:color="auto" w:fill="DDEBF7"/>
          </w:tcPr>
          <w:p>
            <w:r>
              <w:rPr>
                <w:rFonts w:ascii="Meiryo UI" w:hAnsi="Meiryo UI"/>
                <w:sz w:val="18"/>
              </w:rPr>
              <w:t>NTTデータ</w:t>
            </w:r>
          </w:p>
        </w:tc>
        <w:tc>
          <w:tcPr>
            <w:tcW w:type="dxa" w:w="1344"/>
            <w:shd w:val="clear" w:color="auto" w:fill="DDEBF7"/>
          </w:tcPr>
          <w:p>
            <w:r>
              <w:rPr>
                <w:rFonts w:ascii="Meiryo UI" w:hAnsi="Meiryo UI"/>
                <w:sz w:val="18"/>
              </w:rPr>
              <w:t>9613</w:t>
            </w:r>
          </w:p>
        </w:tc>
        <w:tc>
          <w:tcPr>
            <w:tcW w:type="dxa" w:w="1344"/>
            <w:shd w:val="clear" w:color="auto" w:fill="DDEBF7"/>
          </w:tcPr>
          <w:p>
            <w:r>
              <w:rPr>
                <w:rFonts w:ascii="Meiryo UI" w:hAnsi="Meiryo UI"/>
                <w:sz w:val="18"/>
              </w:rPr>
              <w:t>30x+</w:t>
            </w:r>
          </w:p>
        </w:tc>
        <w:tc>
          <w:tcPr>
            <w:tcW w:type="dxa" w:w="1344"/>
            <w:shd w:val="clear" w:color="auto" w:fill="DDEBF7"/>
          </w:tcPr>
          <w:p>
            <w:r>
              <w:rPr>
                <w:rFonts w:ascii="Meiryo UI" w:hAnsi="Meiryo UI"/>
                <w:sz w:val="18"/>
              </w:rPr>
              <w:t>3x</w:t>
            </w:r>
          </w:p>
        </w:tc>
        <w:tc>
          <w:tcPr>
            <w:tcW w:type="dxa" w:w="1344"/>
            <w:shd w:val="clear" w:color="auto" w:fill="DDEBF7"/>
          </w:tcPr>
          <w:p>
            <w:r>
              <w:rPr>
                <w:rFonts w:ascii="Meiryo UI" w:hAnsi="Meiryo UI"/>
                <w:sz w:val="18"/>
              </w:rPr>
              <w:t>11%</w:t>
            </w:r>
          </w:p>
        </w:tc>
        <w:tc>
          <w:tcPr>
            <w:tcW w:type="dxa" w:w="1344"/>
            <w:shd w:val="clear" w:color="auto" w:fill="DDEBF7"/>
          </w:tcPr>
          <w:p>
            <w:r>
              <w:rPr>
                <w:rFonts w:ascii="Meiryo UI" w:hAnsi="Meiryo UI"/>
                <w:sz w:val="18"/>
              </w:rPr>
              <w:t>7%</w:t>
            </w:r>
          </w:p>
        </w:tc>
        <w:tc>
          <w:tcPr>
            <w:tcW w:type="dxa" w:w="1344"/>
            <w:shd w:val="clear" w:color="auto" w:fill="DDEBF7"/>
          </w:tcPr>
          <w:p>
            <w:r>
              <w:rPr>
                <w:rFonts w:ascii="Meiryo UI" w:hAnsi="Meiryo UI"/>
                <w:sz w:val="18"/>
              </w:rPr>
              <w:t>DXリーダー</w:t>
            </w:r>
          </w:p>
        </w:tc>
      </w:tr>
      <w:tr>
        <w:tc>
          <w:tcPr>
            <w:tcW w:type="dxa" w:w="1344"/>
          </w:tcPr>
          <w:p>
            <w:r>
              <w:rPr>
                <w:rFonts w:ascii="Meiryo UI" w:hAnsi="Meiryo UI"/>
                <w:sz w:val="18"/>
              </w:rPr>
              <w:t>富士通</w:t>
            </w:r>
          </w:p>
        </w:tc>
        <w:tc>
          <w:tcPr>
            <w:tcW w:type="dxa" w:w="1344"/>
          </w:tcPr>
          <w:p>
            <w:r>
              <w:rPr>
                <w:rFonts w:ascii="Meiryo UI" w:hAnsi="Meiryo UI"/>
                <w:sz w:val="18"/>
              </w:rPr>
              <w:t>6702</w:t>
            </w:r>
          </w:p>
        </w:tc>
        <w:tc>
          <w:tcPr>
            <w:tcW w:type="dxa" w:w="1344"/>
          </w:tcPr>
          <w:p>
            <w:r>
              <w:rPr>
                <w:rFonts w:ascii="Meiryo UI" w:hAnsi="Meiryo UI"/>
                <w:sz w:val="18"/>
              </w:rPr>
              <w:t>25x</w:t>
            </w:r>
          </w:p>
        </w:tc>
        <w:tc>
          <w:tcPr>
            <w:tcW w:type="dxa" w:w="1344"/>
          </w:tcPr>
          <w:p>
            <w:r>
              <w:rPr>
                <w:rFonts w:ascii="Meiryo UI" w:hAnsi="Meiryo UI"/>
                <w:sz w:val="18"/>
              </w:rPr>
              <w:t>4x</w:t>
            </w:r>
          </w:p>
        </w:tc>
        <w:tc>
          <w:tcPr>
            <w:tcW w:type="dxa" w:w="1344"/>
          </w:tcPr>
          <w:p>
            <w:r>
              <w:rPr>
                <w:rFonts w:ascii="Meiryo UI" w:hAnsi="Meiryo UI"/>
                <w:sz w:val="18"/>
              </w:rPr>
              <w:t>15%</w:t>
            </w:r>
          </w:p>
        </w:tc>
        <w:tc>
          <w:tcPr>
            <w:tcW w:type="dxa" w:w="1344"/>
          </w:tcPr>
          <w:p>
            <w:r>
              <w:rPr>
                <w:rFonts w:ascii="Meiryo UI" w:hAnsi="Meiryo UI"/>
                <w:sz w:val="18"/>
              </w:rPr>
              <w:t>8%</w:t>
            </w:r>
          </w:p>
        </w:tc>
        <w:tc>
          <w:tcPr>
            <w:tcW w:type="dxa" w:w="1344"/>
          </w:tcPr>
          <w:p>
            <w:r>
              <w:rPr>
                <w:rFonts w:ascii="Meiryo UI" w:hAnsi="Meiryo UI"/>
                <w:sz w:val="18"/>
              </w:rPr>
              <w:t>DX大手</w:t>
            </w:r>
          </w:p>
        </w:tc>
      </w:tr>
    </w:tbl>
    <w:p/>
    <w:p>
      <w:r>
        <w:rPr>
          <w:rFonts w:ascii="Meiryo UI" w:hAnsi="Meiryo UI"/>
          <w:sz w:val="20"/>
        </w:rPr>
        <w:t>→ P/E 18.3x・P/B 1.87xは比較対象の中で割安圏。純現金豊富・低β考慮で投資効率が高い。</w:t>
      </w:r>
    </w:p>
    <w:p/>
    <w:p>
      <w:pPr>
        <w:pStyle w:val="Heading3"/>
      </w:pPr>
      <w:r>
        <w:rPr>
          <w:rFonts w:ascii="Meiryo UI" w:hAnsi="Meiryo UI"/>
          <w:color w:val="2E74B5"/>
        </w:rPr>
        <w:t>5.2 市場環境（IT投資トレンド）</w:t>
      </w:r>
    </w:p>
    <w:p/>
    <w:p>
      <w:r>
        <w:rPr>
          <w:rFonts w:ascii="Meiryo UI" w:hAnsi="Meiryo UI"/>
          <w:sz w:val="20"/>
        </w:rPr>
        <w:t>フォローウィンド（追い風要因）:</w:t>
      </w:r>
    </w:p>
    <w:p>
      <w:pPr>
        <w:pStyle w:val="ListNumber"/>
      </w:pPr>
      <w:r>
        <w:rPr>
          <w:rFonts w:ascii="Meiryo UI" w:hAnsi="Meiryo UI"/>
          <w:sz w:val="20"/>
        </w:rPr>
        <w:t>企業AI投資の加速: GPU搭載ワークステーション・AIサーバー需要が急拡大。Canon MJはCanon AI撮影ソリューション・AIワークフロー製品を展開</w:t>
      </w:r>
    </w:p>
    <w:p>
      <w:pPr>
        <w:pStyle w:val="ListNumber"/>
      </w:pPr>
      <w:r>
        <w:rPr>
          <w:rFonts w:ascii="Meiryo UI" w:hAnsi="Meiryo UI"/>
          <w:sz w:val="20"/>
        </w:rPr>
        <w:t>DX予算の拡大: 日本企業のIT投資額は2026年も増加傾向（総務省IT投資調査）</w:t>
      </w:r>
    </w:p>
    <w:p>
      <w:pPr>
        <w:pStyle w:val="ListNumber"/>
      </w:pPr>
      <w:r>
        <w:rPr>
          <w:rFonts w:ascii="Meiryo UI" w:hAnsi="Meiryo UI"/>
          <w:sz w:val="20"/>
        </w:rPr>
        <w:t>Canonnパラレント成長: Canon本体の産業・医療部門強化がMJの売上基盤を拡大</w:t>
      </w:r>
    </w:p>
    <w:p>
      <w:pPr>
        <w:pStyle w:val="ListNumber"/>
      </w:pPr>
      <w:r>
        <w:rPr>
          <w:rFonts w:ascii="Meiryo UI" w:hAnsi="Meiryo UI"/>
          <w:sz w:val="20"/>
        </w:rPr>
        <w:t>セキュリティ需要: サイバー攻撃増加でエンドポイントセキュリティ・ゼロトラスト需要旺盛</w:t>
      </w:r>
    </w:p>
    <w:p/>
    <w:p>
      <w:r>
        <w:rPr>
          <w:rFonts w:ascii="Meiryo UI" w:hAnsi="Meiryo UI"/>
          <w:sz w:val="20"/>
        </w:rPr>
        <w:t>ヘッドウィンド（逆風要因）:</w:t>
      </w:r>
    </w:p>
    <w:p>
      <w:pPr>
        <w:pStyle w:val="ListNumber"/>
      </w:pPr>
      <w:r>
        <w:rPr>
          <w:rFonts w:ascii="Meiryo UI" w:hAnsi="Meiryo UI"/>
          <w:sz w:val="20"/>
        </w:rPr>
        <w:t>国内IT予算縮小リスク: 景気後退局面ではIT投資が後回しになるリスク</w:t>
      </w:r>
    </w:p>
    <w:p>
      <w:pPr>
        <w:pStyle w:val="ListNumber"/>
      </w:pPr>
      <w:r>
        <w:rPr>
          <w:rFonts w:ascii="Meiryo UI" w:hAnsi="Meiryo UI"/>
          <w:sz w:val="20"/>
        </w:rPr>
        <w:t>親会社依存: Canon本社の業績悪化・製品競争力低下がMJに直撃</w:t>
      </w:r>
    </w:p>
    <w:p>
      <w:pPr>
        <w:pStyle w:val="ListNumber"/>
      </w:pPr>
      <w:r>
        <w:rPr>
          <w:rFonts w:ascii="Meiryo UI" w:hAnsi="Meiryo UI"/>
          <w:sz w:val="20"/>
        </w:rPr>
        <w:t>円高リスク: Canon輸出企業の業績悪化→MJへの連鎖（間接的）</w:t>
      </w:r>
    </w:p>
    <w:p/>
    <w:p>
      <w:r>
        <w:t>──────────────────────────────────────────────────</w:t>
      </w:r>
    </w:p>
    <w:p/>
    <w:p>
      <w:pPr>
        <w:pStyle w:val="Heading2"/>
      </w:pPr>
      <w:r>
        <w:rPr>
          <w:rFonts w:ascii="Meiryo UI" w:hAnsi="Meiryo UI"/>
          <w:color w:val="2E74B5"/>
        </w:rPr>
        <w:t>▼ 6. 前期（Q-1）比較・定性変化</w:t>
      </w:r>
    </w:p>
    <w:p/>
    <w:p>
      <w:pPr>
        <w:pStyle w:val="Heading3"/>
      </w:pPr>
      <w:r>
        <w:rPr>
          <w:rFonts w:ascii="Meiryo UI" w:hAnsi="Meiryo UI"/>
          <w:color w:val="2E74B5"/>
        </w:rPr>
        <w:t>FY2024 → FY2025 → FY2026Q1 の変化点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観点</w:t>
            </w:r>
          </w:p>
        </w:tc>
        <w:tc>
          <w:tcPr>
            <w:tcW w:type="dxa" w:w="1881"/>
            <w:shd w:val="clear" w:color="auto" w:fill="2E74B5"/>
          </w:tcPr>
          <w:p>
            <w:r>
              <w:rPr>
                <w:rFonts w:ascii="Meiryo UI" w:hAnsi="Meiryo UI"/>
                <w:b/>
                <w:color w:val="FFFFFF"/>
                <w:sz w:val="18"/>
              </w:rPr>
              <w:t>FY2024</w:t>
            </w:r>
          </w:p>
        </w:tc>
        <w:tc>
          <w:tcPr>
            <w:tcW w:type="dxa" w:w="1881"/>
            <w:shd w:val="clear" w:color="auto" w:fill="2E74B5"/>
          </w:tcPr>
          <w:p>
            <w:r>
              <w:rPr>
                <w:rFonts w:ascii="Meiryo UI" w:hAnsi="Meiryo UI"/>
                <w:b/>
                <w:color w:val="FFFFFF"/>
                <w:sz w:val="18"/>
              </w:rPr>
              <w:t>FY2025</w:t>
            </w:r>
          </w:p>
        </w:tc>
        <w:tc>
          <w:tcPr>
            <w:tcW w:type="dxa" w:w="1881"/>
            <w:shd w:val="clear" w:color="auto" w:fill="2E74B5"/>
          </w:tcPr>
          <w:p>
            <w:r>
              <w:rPr>
                <w:rFonts w:ascii="Meiryo UI" w:hAnsi="Meiryo UI"/>
                <w:b/>
                <w:color w:val="FFFFFF"/>
                <w:sz w:val="18"/>
              </w:rPr>
              <w:t>FY2026Q1</w:t>
            </w:r>
          </w:p>
        </w:tc>
        <w:tc>
          <w:tcPr>
            <w:tcW w:type="dxa" w:w="1881"/>
            <w:shd w:val="clear" w:color="auto" w:fill="2E74B5"/>
          </w:tcPr>
          <w:p>
            <w:r>
              <w:rPr>
                <w:rFonts w:ascii="Meiryo UI" w:hAnsi="Meiryo UI"/>
                <w:b/>
                <w:color w:val="FFFFFF"/>
                <w:sz w:val="18"/>
              </w:rPr>
              <w:t>変化の方向性</w:t>
            </w:r>
          </w:p>
        </w:tc>
      </w:tr>
      <w:tr>
        <w:tc>
          <w:tcPr>
            <w:tcW w:type="dxa" w:w="1881"/>
          </w:tcPr>
          <w:p>
            <w:r>
              <w:rPr>
                <w:rFonts w:ascii="Meiryo UI" w:hAnsi="Meiryo UI"/>
                <w:sz w:val="18"/>
              </w:rPr>
              <w:t>売上成長率</w:t>
            </w:r>
          </w:p>
        </w:tc>
        <w:tc>
          <w:tcPr>
            <w:tcW w:type="dxa" w:w="1881"/>
          </w:tcPr>
          <w:p>
            <w:r>
              <w:rPr>
                <w:rFonts w:ascii="Meiryo UI" w:hAnsi="Meiryo UI"/>
                <w:sz w:val="18"/>
              </w:rPr>
              <w:t>+7.3%</w:t>
            </w:r>
          </w:p>
        </w:tc>
        <w:tc>
          <w:tcPr>
            <w:tcW w:type="dxa" w:w="1881"/>
          </w:tcPr>
          <w:p>
            <w:r>
              <w:rPr>
                <w:rFonts w:ascii="Meiryo UI" w:hAnsi="Meiryo UI"/>
                <w:sz w:val="18"/>
              </w:rPr>
              <w:t>+4.0%</w:t>
            </w:r>
          </w:p>
        </w:tc>
        <w:tc>
          <w:tcPr>
            <w:tcW w:type="dxa" w:w="1881"/>
          </w:tcPr>
          <w:p>
            <w:r>
              <w:rPr>
                <w:rFonts w:ascii="Meiryo UI" w:hAnsi="Meiryo UI"/>
                <w:sz w:val="18"/>
              </w:rPr>
              <w:t>+2.6%</w:t>
            </w:r>
          </w:p>
        </w:tc>
        <w:tc>
          <w:tcPr>
            <w:tcW w:type="dxa" w:w="1881"/>
          </w:tcPr>
          <w:p>
            <w:r>
              <w:rPr>
                <w:rFonts w:ascii="Meiryo UI" w:hAnsi="Meiryo UI"/>
                <w:sz w:val="18"/>
              </w:rPr>
              <w:t>鈍化（数量成長→価格・ミックス改善にシフト）</w:t>
            </w:r>
          </w:p>
        </w:tc>
      </w:tr>
      <w:tr>
        <w:tc>
          <w:tcPr>
            <w:tcW w:type="dxa" w:w="1881"/>
            <w:shd w:val="clear" w:color="auto" w:fill="DDEBF7"/>
          </w:tcPr>
          <w:p>
            <w:r>
              <w:rPr>
                <w:rFonts w:ascii="Meiryo UI" w:hAnsi="Meiryo UI"/>
                <w:sz w:val="18"/>
              </w:rPr>
              <w:t>OPM</w:t>
            </w:r>
          </w:p>
        </w:tc>
        <w:tc>
          <w:tcPr>
            <w:tcW w:type="dxa" w:w="1881"/>
            <w:shd w:val="clear" w:color="auto" w:fill="DDEBF7"/>
          </w:tcPr>
          <w:p>
            <w:r>
              <w:rPr>
                <w:rFonts w:ascii="Meiryo UI" w:hAnsi="Meiryo UI"/>
                <w:sz w:val="18"/>
              </w:rPr>
              <w:t>8.12%</w:t>
            </w:r>
          </w:p>
        </w:tc>
        <w:tc>
          <w:tcPr>
            <w:tcW w:type="dxa" w:w="1881"/>
            <w:shd w:val="clear" w:color="auto" w:fill="DDEBF7"/>
          </w:tcPr>
          <w:p>
            <w:r>
              <w:rPr>
                <w:rFonts w:ascii="Meiryo UI" w:hAnsi="Meiryo UI"/>
                <w:sz w:val="18"/>
              </w:rPr>
              <w:t>8.56%</w:t>
            </w:r>
          </w:p>
        </w:tc>
        <w:tc>
          <w:tcPr>
            <w:tcW w:type="dxa" w:w="1881"/>
            <w:shd w:val="clear" w:color="auto" w:fill="DDEBF7"/>
          </w:tcPr>
          <w:p>
            <w:r>
              <w:rPr>
                <w:rFonts w:ascii="Meiryo UI" w:hAnsi="Meiryo UI"/>
                <w:sz w:val="18"/>
              </w:rPr>
              <w:t>10.77%</w:t>
            </w:r>
          </w:p>
        </w:tc>
        <w:tc>
          <w:tcPr>
            <w:tcW w:type="dxa" w:w="1881"/>
            <w:shd w:val="clear" w:color="auto" w:fill="DDEBF7"/>
          </w:tcPr>
          <w:p>
            <w:r>
              <w:rPr>
                <w:rFonts w:ascii="Meiryo UI" w:hAnsi="Meiryo UI"/>
                <w:sz w:val="18"/>
              </w:rPr>
              <w:t>急改善（構造的か一時的か要確認）</w:t>
            </w:r>
          </w:p>
        </w:tc>
      </w:tr>
      <w:tr>
        <w:tc>
          <w:tcPr>
            <w:tcW w:type="dxa" w:w="1881"/>
          </w:tcPr>
          <w:p>
            <w:r>
              <w:rPr>
                <w:rFonts w:ascii="Meiryo UI" w:hAnsi="Meiryo UI"/>
                <w:sz w:val="18"/>
              </w:rPr>
              <w:t>ITソリューション比率</w:t>
            </w:r>
          </w:p>
        </w:tc>
        <w:tc>
          <w:tcPr>
            <w:tcW w:type="dxa" w:w="1881"/>
          </w:tcPr>
          <w:p>
            <w:r>
              <w:rPr>
                <w:rFonts w:ascii="Meiryo UI" w:hAnsi="Meiryo UI"/>
                <w:sz w:val="18"/>
              </w:rPr>
              <w:t>推定35%</w:t>
            </w:r>
          </w:p>
        </w:tc>
        <w:tc>
          <w:tcPr>
            <w:tcW w:type="dxa" w:w="1881"/>
          </w:tcPr>
          <w:p>
            <w:r>
              <w:rPr>
                <w:rFonts w:ascii="Meiryo UI" w:hAnsi="Meiryo UI"/>
                <w:sz w:val="18"/>
              </w:rPr>
              <w:t>推定40%</w:t>
            </w:r>
          </w:p>
        </w:tc>
        <w:tc>
          <w:tcPr>
            <w:tcW w:type="dxa" w:w="1881"/>
          </w:tcPr>
          <w:p>
            <w:r>
              <w:rPr>
                <w:rFonts w:ascii="Meiryo UI" w:hAnsi="Meiryo UI"/>
                <w:sz w:val="18"/>
              </w:rPr>
              <w:t>推定45%+</w:t>
            </w:r>
          </w:p>
        </w:tc>
        <w:tc>
          <w:tcPr>
            <w:tcW w:type="dxa" w:w="1881"/>
          </w:tcPr>
          <w:p>
            <w:r>
              <w:rPr>
                <w:rFonts w:ascii="Meiryo UI" w:hAnsi="Meiryo UI"/>
                <w:sz w:val="18"/>
              </w:rPr>
              <w:t>上昇トレンド継続</w:t>
            </w:r>
          </w:p>
        </w:tc>
      </w:tr>
      <w:tr>
        <w:tc>
          <w:tcPr>
            <w:tcW w:type="dxa" w:w="1881"/>
            <w:shd w:val="clear" w:color="auto" w:fill="DDEBF7"/>
          </w:tcPr>
          <w:p>
            <w:r>
              <w:rPr>
                <w:rFonts w:ascii="Meiryo UI" w:hAnsi="Meiryo UI"/>
                <w:sz w:val="18"/>
              </w:rPr>
              <w:t>人件費効率</w:t>
            </w:r>
          </w:p>
        </w:tc>
        <w:tc>
          <w:tcPr>
            <w:tcW w:type="dxa" w:w="1881"/>
            <w:shd w:val="clear" w:color="auto" w:fill="DDEBF7"/>
          </w:tcPr>
          <w:p>
            <w:r>
              <w:rPr>
                <w:rFonts w:ascii="Meiryo UI" w:hAnsi="Meiryo UI"/>
                <w:sz w:val="18"/>
              </w:rPr>
              <w:t>改善中</w:t>
            </w:r>
          </w:p>
        </w:tc>
        <w:tc>
          <w:tcPr>
            <w:tcW w:type="dxa" w:w="1881"/>
            <w:shd w:val="clear" w:color="auto" w:fill="DDEBF7"/>
          </w:tcPr>
          <w:p>
            <w:r>
              <w:rPr>
                <w:rFonts w:ascii="Meiryo UI" w:hAnsi="Meiryo UI"/>
                <w:sz w:val="18"/>
              </w:rPr>
              <w:t>改善</w:t>
            </w:r>
          </w:p>
        </w:tc>
        <w:tc>
          <w:tcPr>
            <w:tcW w:type="dxa" w:w="1881"/>
            <w:shd w:val="clear" w:color="auto" w:fill="DDEBF7"/>
          </w:tcPr>
          <w:p>
            <w:r>
              <w:rPr>
                <w:rFonts w:ascii="Meiryo UI" w:hAnsi="Meiryo UI"/>
                <w:sz w:val="18"/>
              </w:rPr>
              <w:t>不明</w:t>
            </w:r>
          </w:p>
        </w:tc>
        <w:tc>
          <w:tcPr>
            <w:tcW w:type="dxa" w:w="1881"/>
            <w:shd w:val="clear" w:color="auto" w:fill="DDEBF7"/>
          </w:tcPr>
          <w:p>
            <w:r>
              <w:rPr>
                <w:rFonts w:ascii="Meiryo UI" w:hAnsi="Meiryo UI"/>
                <w:sz w:val="18"/>
              </w:rPr>
              <w:t>Q1コスト開示で確認要</w:t>
            </w:r>
          </w:p>
        </w:tc>
      </w:tr>
    </w:tbl>
    <w:p/>
    <w:p>
      <w:r>
        <w:rPr>
          <w:rFonts w:ascii="Meiryo UI" w:hAnsi="Meiryo UI"/>
          <w:sz w:val="20"/>
        </w:rPr>
        <w:t>最重要の定性変化: 「売上成長鈍化 + OPM急改善」 = ビジネスモデルの質的転換（ハード販売依存からソフト・サービス比率増加）が加速している可能性が高い。これが恒常的なら、適用P/Eの切り上げ（15x→20x以上）が正当化される。</w:t>
      </w:r>
    </w:p>
    <w:p/>
    <w:p>
      <w:r>
        <w:t>──────────────────────────────────────────────────</w:t>
      </w:r>
    </w:p>
    <w:p/>
    <w:p>
      <w:pPr>
        <w:pStyle w:val="Heading2"/>
      </w:pPr>
      <w:r>
        <w:rPr>
          <w:rFonts w:ascii="Meiryo UI" w:hAnsi="Meiryo UI"/>
          <w:color w:val="2E74B5"/>
        </w:rPr>
        <w:t>▼ 7. バリュエーション（フェアバリュー算出）</w:t>
      </w:r>
    </w:p>
    <w:p/>
    <w:p>
      <w:pPr>
        <w:pStyle w:val="Heading3"/>
      </w:pPr>
      <w:r>
        <w:rPr>
          <w:rFonts w:ascii="Meiryo UI" w:hAnsi="Meiryo UI"/>
          <w:color w:val="2E74B5"/>
        </w:rPr>
        <w:t>7.1 基本データ</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¥3,600</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¥7,567億</w:t>
            </w:r>
          </w:p>
        </w:tc>
      </w:tr>
      <w:tr>
        <w:tc>
          <w:tcPr>
            <w:tcW w:type="dxa" w:w="4703"/>
          </w:tcPr>
          <w:p>
            <w:r>
              <w:rPr>
                <w:rFonts w:ascii="Meiryo UI" w:hAnsi="Meiryo UI"/>
                <w:sz w:val="18"/>
              </w:rPr>
              <w:t>発行済株式数</w:t>
            </w:r>
          </w:p>
        </w:tc>
        <w:tc>
          <w:tcPr>
            <w:tcW w:type="dxa" w:w="4703"/>
          </w:tcPr>
          <w:p>
            <w:r>
              <w:rPr>
                <w:rFonts w:ascii="Meiryo UI" w:hAnsi="Meiryo UI"/>
                <w:sz w:val="18"/>
              </w:rPr>
              <w:t>210,202,214株</w:t>
            </w:r>
          </w:p>
        </w:tc>
      </w:tr>
      <w:tr>
        <w:tc>
          <w:tcPr>
            <w:tcW w:type="dxa" w:w="4703"/>
            <w:shd w:val="clear" w:color="auto" w:fill="DDEBF7"/>
          </w:tcPr>
          <w:p>
            <w:r>
              <w:rPr>
                <w:rFonts w:ascii="Meiryo UI" w:hAnsi="Meiryo UI"/>
                <w:sz w:val="18"/>
              </w:rPr>
              <w:t>EPS FY2025実績</w:t>
            </w:r>
          </w:p>
        </w:tc>
        <w:tc>
          <w:tcPr>
            <w:tcW w:type="dxa" w:w="4703"/>
            <w:shd w:val="clear" w:color="auto" w:fill="DDEBF7"/>
          </w:tcPr>
          <w:p>
            <w:r>
              <w:rPr>
                <w:rFonts w:ascii="Meiryo UI" w:hAnsi="Meiryo UI"/>
                <w:sz w:val="18"/>
              </w:rPr>
              <w:t>¥197.2</w:t>
            </w:r>
          </w:p>
        </w:tc>
      </w:tr>
      <w:tr>
        <w:tc>
          <w:tcPr>
            <w:tcW w:type="dxa" w:w="4703"/>
          </w:tcPr>
          <w:p>
            <w:r>
              <w:rPr>
                <w:rFonts w:ascii="Meiryo UI" w:hAnsi="Meiryo UI"/>
                <w:sz w:val="18"/>
              </w:rPr>
              <w:t>BVPS</w:t>
            </w:r>
          </w:p>
        </w:tc>
        <w:tc>
          <w:tcPr>
            <w:tcW w:type="dxa" w:w="4703"/>
          </w:tcPr>
          <w:p>
            <w:r>
              <w:rPr>
                <w:rFonts w:ascii="Meiryo UI" w:hAnsi="Meiryo UI"/>
                <w:sz w:val="18"/>
              </w:rPr>
              <w:t>¥1,926</w:t>
            </w:r>
          </w:p>
        </w:tc>
      </w:tr>
      <w:tr>
        <w:tc>
          <w:tcPr>
            <w:tcW w:type="dxa" w:w="4703"/>
            <w:shd w:val="clear" w:color="auto" w:fill="DDEBF7"/>
          </w:tcPr>
          <w:p>
            <w:r>
              <w:rPr>
                <w:rFonts w:ascii="Meiryo UI" w:hAnsi="Meiryo UI"/>
                <w:sz w:val="18"/>
              </w:rPr>
              <w:t>純現金/株価</w:t>
            </w:r>
          </w:p>
        </w:tc>
        <w:tc>
          <w:tcPr>
            <w:tcW w:type="dxa" w:w="4703"/>
            <w:shd w:val="clear" w:color="auto" w:fill="DDEBF7"/>
          </w:tcPr>
          <w:p>
            <w:r>
              <w:rPr>
                <w:rFonts w:ascii="Meiryo UI" w:hAnsi="Meiryo UI"/>
                <w:sz w:val="18"/>
              </w:rPr>
              <w:t>20.7%</w:t>
            </w:r>
          </w:p>
        </w:tc>
      </w:tr>
      <w:tr>
        <w:tc>
          <w:tcPr>
            <w:tcW w:type="dxa" w:w="4703"/>
          </w:tcPr>
          <w:p>
            <w:r>
              <w:rPr>
                <w:rFonts w:ascii="Meiryo UI" w:hAnsi="Meiryo UI"/>
                <w:sz w:val="18"/>
              </w:rPr>
              <w:t>Rf（JGB10Y, 4/21）</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β</w:t>
            </w:r>
          </w:p>
        </w:tc>
        <w:tc>
          <w:tcPr>
            <w:tcW w:type="dxa" w:w="4703"/>
            <w:shd w:val="clear" w:color="auto" w:fill="DDEBF7"/>
          </w:tcPr>
          <w:p>
            <w:r>
              <w:rPr>
                <w:rFonts w:ascii="Meiryo UI" w:hAnsi="Meiryo UI"/>
                <w:sz w:val="18"/>
              </w:rPr>
              <w:t>0.167</w:t>
            </w:r>
          </w:p>
        </w:tc>
      </w:tr>
      <w:tr>
        <w:tc>
          <w:tcPr>
            <w:tcW w:type="dxa" w:w="4703"/>
          </w:tcPr>
          <w:p>
            <w:r>
              <w:rPr>
                <w:rFonts w:ascii="Meiryo UI" w:hAnsi="Meiryo UI"/>
                <w:sz w:val="18"/>
              </w:rPr>
              <w:t>ERP</w:t>
            </w:r>
          </w:p>
        </w:tc>
        <w:tc>
          <w:tcPr>
            <w:tcW w:type="dxa" w:w="4703"/>
          </w:tcPr>
          <w:p>
            <w:r>
              <w:rPr>
                <w:rFonts w:ascii="Meiryo UI" w:hAnsi="Meiryo UI"/>
                <w:sz w:val="18"/>
              </w:rPr>
              <w:t>5.5%</w:t>
            </w:r>
          </w:p>
        </w:tc>
      </w:tr>
      <w:tr>
        <w:tc>
          <w:tcPr>
            <w:tcW w:type="dxa" w:w="4703"/>
            <w:shd w:val="clear" w:color="auto" w:fill="DDEBF7"/>
          </w:tcPr>
          <w:p>
            <w:r>
              <w:rPr>
                <w:rFonts w:ascii="Meiryo UI" w:hAnsi="Meiryo UI"/>
                <w:sz w:val="18"/>
              </w:rPr>
              <w:t>Ke</w:t>
            </w:r>
          </w:p>
        </w:tc>
        <w:tc>
          <w:tcPr>
            <w:tcW w:type="dxa" w:w="4703"/>
            <w:shd w:val="clear" w:color="auto" w:fill="DDEBF7"/>
          </w:tcPr>
          <w:p>
            <w:r>
              <w:rPr>
                <w:rFonts w:ascii="Meiryo UI" w:hAnsi="Meiryo UI"/>
                <w:sz w:val="18"/>
              </w:rPr>
              <w:t>3.31%</w:t>
            </w:r>
          </w:p>
        </w:tc>
      </w:tr>
    </w:tbl>
    <w:p/>
    <w:p>
      <w:pPr>
        <w:pStyle w:val="Heading3"/>
      </w:pPr>
      <w:r>
        <w:rPr>
          <w:rFonts w:ascii="Meiryo UI" w:hAnsi="Meiryo UI"/>
          <w:color w:val="2E74B5"/>
        </w:rPr>
        <w:t>7.2 P/E マルチプル法によるFV算出</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FY2026E OP</w:t>
            </w:r>
          </w:p>
        </w:tc>
        <w:tc>
          <w:tcPr>
            <w:tcW w:type="dxa" w:w="1568"/>
            <w:shd w:val="clear" w:color="auto" w:fill="2E74B5"/>
          </w:tcPr>
          <w:p>
            <w:r>
              <w:rPr>
                <w:rFonts w:ascii="Meiryo UI" w:hAnsi="Meiryo UI"/>
                <w:b/>
                <w:color w:val="FFFFFF"/>
                <w:sz w:val="18"/>
              </w:rPr>
              <w:t>FY2026E EPS</w:t>
            </w:r>
          </w:p>
        </w:tc>
        <w:tc>
          <w:tcPr>
            <w:tcW w:type="dxa" w:w="1568"/>
            <w:shd w:val="clear" w:color="auto" w:fill="2E74B5"/>
          </w:tcPr>
          <w:p>
            <w:r>
              <w:rPr>
                <w:rFonts w:ascii="Meiryo UI" w:hAnsi="Meiryo UI"/>
                <w:b/>
                <w:color w:val="FFFFFF"/>
                <w:sz w:val="18"/>
              </w:rPr>
              <w:t>P/E</w:t>
            </w:r>
          </w:p>
        </w:tc>
        <w:tc>
          <w:tcPr>
            <w:tcW w:type="dxa" w:w="1568"/>
            <w:shd w:val="clear" w:color="auto" w:fill="2E74B5"/>
          </w:tcPr>
          <w:p>
            <w:r>
              <w:rPr>
                <w:rFonts w:ascii="Meiryo UI" w:hAnsi="Meiryo UI"/>
                <w:b/>
                <w:color w:val="FFFFFF"/>
                <w:sz w:val="18"/>
              </w:rPr>
              <w:t>FV</w:t>
            </w:r>
          </w:p>
        </w:tc>
      </w:tr>
      <w:tr>
        <w:tc>
          <w:tcPr>
            <w:tcW w:type="dxa" w:w="1568"/>
          </w:tcPr>
          <w:p>
            <w:r>
              <w:rPr>
                <w:rFonts w:ascii="Meiryo UI" w:hAnsi="Meiryo UI"/>
                <w:sz w:val="18"/>
              </w:rPr>
              <w:t>Bear</w:t>
            </w:r>
          </w:p>
        </w:tc>
        <w:tc>
          <w:tcPr>
            <w:tcW w:type="dxa" w:w="1568"/>
          </w:tcPr>
          <w:p>
            <w:r>
              <w:rPr>
                <w:rFonts w:ascii="Meiryo UI" w:hAnsi="Meiryo UI"/>
                <w:sz w:val="18"/>
              </w:rPr>
              <w:t>30%</w:t>
            </w:r>
          </w:p>
        </w:tc>
        <w:tc>
          <w:tcPr>
            <w:tcW w:type="dxa" w:w="1568"/>
          </w:tcPr>
          <w:p>
            <w:r>
              <w:rPr>
                <w:rFonts w:ascii="Meiryo UI" w:hAnsi="Meiryo UI"/>
                <w:sz w:val="18"/>
              </w:rPr>
              <w:t>¥580億</w:t>
            </w:r>
          </w:p>
        </w:tc>
        <w:tc>
          <w:tcPr>
            <w:tcW w:type="dxa" w:w="1568"/>
          </w:tcPr>
          <w:p>
            <w:r>
              <w:rPr>
                <w:rFonts w:ascii="Meiryo UI" w:hAnsi="Meiryo UI"/>
                <w:sz w:val="18"/>
              </w:rPr>
              <w:t>¥197</w:t>
            </w:r>
          </w:p>
        </w:tc>
        <w:tc>
          <w:tcPr>
            <w:tcW w:type="dxa" w:w="1568"/>
          </w:tcPr>
          <w:p>
            <w:r>
              <w:rPr>
                <w:rFonts w:ascii="Meiryo UI" w:hAnsi="Meiryo UI"/>
                <w:sz w:val="18"/>
              </w:rPr>
              <w:t>16x</w:t>
            </w:r>
          </w:p>
        </w:tc>
        <w:tc>
          <w:tcPr>
            <w:tcW w:type="dxa" w:w="1568"/>
          </w:tcPr>
          <w:p>
            <w:r>
              <w:rPr>
                <w:rFonts w:ascii="Meiryo UI" w:hAnsi="Meiryo UI"/>
                <w:sz w:val="18"/>
              </w:rPr>
              <w:t>¥3,151</w:t>
            </w:r>
          </w:p>
        </w:tc>
      </w:tr>
      <w:tr>
        <w:tc>
          <w:tcPr>
            <w:tcW w:type="dxa" w:w="1568"/>
            <w:shd w:val="clear" w:color="auto" w:fill="DDEBF7"/>
          </w:tcPr>
          <w:p>
            <w:r>
              <w:rPr>
                <w:rFonts w:ascii="Meiryo UI" w:hAnsi="Meiryo UI"/>
                <w:sz w:val="18"/>
              </w:rPr>
              <w:t>Base</w:t>
            </w:r>
          </w:p>
        </w:tc>
        <w:tc>
          <w:tcPr>
            <w:tcW w:type="dxa" w:w="1568"/>
            <w:shd w:val="clear" w:color="auto" w:fill="DDEBF7"/>
          </w:tcPr>
          <w:p>
            <w:r>
              <w:rPr>
                <w:rFonts w:ascii="Meiryo UI" w:hAnsi="Meiryo UI"/>
                <w:sz w:val="18"/>
              </w:rPr>
              <w:t>45%</w:t>
            </w:r>
          </w:p>
        </w:tc>
        <w:tc>
          <w:tcPr>
            <w:tcW w:type="dxa" w:w="1568"/>
            <w:shd w:val="clear" w:color="auto" w:fill="DDEBF7"/>
          </w:tcPr>
          <w:p>
            <w:r>
              <w:rPr>
                <w:rFonts w:ascii="Meiryo UI" w:hAnsi="Meiryo UI"/>
                <w:sz w:val="18"/>
              </w:rPr>
              <w:t>¥625億</w:t>
            </w:r>
          </w:p>
        </w:tc>
        <w:tc>
          <w:tcPr>
            <w:tcW w:type="dxa" w:w="1568"/>
            <w:shd w:val="clear" w:color="auto" w:fill="DDEBF7"/>
          </w:tcPr>
          <w:p>
            <w:r>
              <w:rPr>
                <w:rFonts w:ascii="Meiryo UI" w:hAnsi="Meiryo UI"/>
                <w:sz w:val="18"/>
              </w:rPr>
              <w:t>¥211</w:t>
            </w:r>
          </w:p>
        </w:tc>
        <w:tc>
          <w:tcPr>
            <w:tcW w:type="dxa" w:w="1568"/>
            <w:shd w:val="clear" w:color="auto" w:fill="DDEBF7"/>
          </w:tcPr>
          <w:p>
            <w:r>
              <w:rPr>
                <w:rFonts w:ascii="Meiryo UI" w:hAnsi="Meiryo UI"/>
                <w:sz w:val="18"/>
              </w:rPr>
              <w:t>19x</w:t>
            </w:r>
          </w:p>
        </w:tc>
        <w:tc>
          <w:tcPr>
            <w:tcW w:type="dxa" w:w="1568"/>
            <w:shd w:val="clear" w:color="auto" w:fill="DDEBF7"/>
          </w:tcPr>
          <w:p>
            <w:r>
              <w:rPr>
                <w:rFonts w:ascii="Meiryo UI" w:hAnsi="Meiryo UI"/>
                <w:sz w:val="18"/>
              </w:rPr>
              <w:t>¥4,007</w:t>
            </w:r>
          </w:p>
        </w:tc>
      </w:tr>
      <w:tr>
        <w:tc>
          <w:tcPr>
            <w:tcW w:type="dxa" w:w="1568"/>
          </w:tcPr>
          <w:p>
            <w:r>
              <w:rPr>
                <w:rFonts w:ascii="Meiryo UI" w:hAnsi="Meiryo UI"/>
                <w:sz w:val="18"/>
              </w:rPr>
              <w:t>Bull</w:t>
            </w:r>
          </w:p>
        </w:tc>
        <w:tc>
          <w:tcPr>
            <w:tcW w:type="dxa" w:w="1568"/>
          </w:tcPr>
          <w:p>
            <w:r>
              <w:rPr>
                <w:rFonts w:ascii="Meiryo UI" w:hAnsi="Meiryo UI"/>
                <w:sz w:val="18"/>
              </w:rPr>
              <w:t>25%</w:t>
            </w:r>
          </w:p>
        </w:tc>
        <w:tc>
          <w:tcPr>
            <w:tcW w:type="dxa" w:w="1568"/>
          </w:tcPr>
          <w:p>
            <w:r>
              <w:rPr>
                <w:rFonts w:ascii="Meiryo UI" w:hAnsi="Meiryo UI"/>
                <w:sz w:val="18"/>
              </w:rPr>
              <w:t>¥680億</w:t>
            </w:r>
          </w:p>
        </w:tc>
        <w:tc>
          <w:tcPr>
            <w:tcW w:type="dxa" w:w="1568"/>
          </w:tcPr>
          <w:p>
            <w:r>
              <w:rPr>
                <w:rFonts w:ascii="Meiryo UI" w:hAnsi="Meiryo UI"/>
                <w:sz w:val="18"/>
              </w:rPr>
              <w:t>¥229</w:t>
            </w:r>
          </w:p>
        </w:tc>
        <w:tc>
          <w:tcPr>
            <w:tcW w:type="dxa" w:w="1568"/>
          </w:tcPr>
          <w:p>
            <w:r>
              <w:rPr>
                <w:rFonts w:ascii="Meiryo UI" w:hAnsi="Meiryo UI"/>
                <w:sz w:val="18"/>
              </w:rPr>
              <w:t>20x</w:t>
            </w:r>
          </w:p>
        </w:tc>
        <w:tc>
          <w:tcPr>
            <w:tcW w:type="dxa" w:w="1568"/>
          </w:tcPr>
          <w:p>
            <w:r>
              <w:rPr>
                <w:rFonts w:ascii="Meiryo UI" w:hAnsi="Meiryo UI"/>
                <w:sz w:val="18"/>
              </w:rPr>
              <w:t>¥4,580</w:t>
            </w:r>
          </w:p>
        </w:tc>
      </w:tr>
      <w:tr>
        <w:tc>
          <w:tcPr>
            <w:tcW w:type="dxa" w:w="1568"/>
            <w:shd w:val="clear" w:color="auto" w:fill="DDEBF7"/>
          </w:tcPr>
          <w:p>
            <w:r>
              <w:rPr>
                <w:rFonts w:ascii="Meiryo UI" w:hAnsi="Meiryo UI"/>
                <w:sz w:val="18"/>
              </w:rPr>
              <w:t>加重FV</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¥3,914</w:t>
            </w:r>
          </w:p>
        </w:tc>
      </w:tr>
    </w:tbl>
    <w:p/>
    <w:p>
      <w:pPr>
        <w:shd w:val="clear" w:color="auto" w:fill="F2F2F2"/>
      </w:pPr>
      <w:r>
        <w:rPr>
          <w:rFonts w:ascii="Courier New" w:hAnsi="Courier New"/>
          <w:sz w:val="16"/>
        </w:rPr>
        <w:t>各シナリオ計算根拠:</w:t>
        <w:br/>
        <w:t xml:space="preserve">  EPS算出: OP × (経常/OP比率 1.041) × (1 - 実効税率 31.5%) / 株式数 210.2M</w:t>
        <w:br/>
        <w:t xml:space="preserve">  Bear: Q1は一時的好転。Q2-Q4で前年割れ。P/E 16x（市場不信任）</w:t>
        <w:br/>
        <w:t xml:space="preserve">  Base: 通期ガイダンス比+4.2%上振れ（QUICK consensus水準）。P/E 19x（成長評価）</w:t>
        <w:br/>
        <w:t xml:space="preserve">  Bull: ITソリューション加速で通期+16.8%上振れ。P/E 20x（成長プレミアム）</w:t>
      </w:r>
    </w:p>
    <w:p/>
    <w:p>
      <w:r>
        <w:rPr>
          <w:rFonts w:ascii="Meiryo UI" w:hAnsi="Meiryo UI"/>
          <w:sz w:val="20"/>
        </w:rPr>
        <w:t>加重FV ¥3,914 vs 現値¥3,600 = +8.7%上昇余地</w:t>
      </w:r>
    </w:p>
    <w:p/>
    <w:p>
      <w:pPr>
        <w:pStyle w:val="Heading3"/>
      </w:pPr>
      <w:r>
        <w:rPr>
          <w:rFonts w:ascii="Meiryo UI" w:hAnsi="Meiryo UI"/>
          <w:color w:val="2E74B5"/>
        </w:rPr>
        <w:t>7.3 EV/EBITDA法</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EBITDA FY2025</w:t>
            </w:r>
          </w:p>
        </w:tc>
        <w:tc>
          <w:tcPr>
            <w:tcW w:type="dxa" w:w="4703"/>
          </w:tcPr>
          <w:p>
            <w:r>
              <w:rPr>
                <w:rFonts w:ascii="Meiryo UI" w:hAnsi="Meiryo UI"/>
                <w:sz w:val="18"/>
              </w:rPr>
              <w:t>¥763億</w:t>
            </w:r>
          </w:p>
        </w:tc>
      </w:tr>
      <w:tr>
        <w:tc>
          <w:tcPr>
            <w:tcW w:type="dxa" w:w="4703"/>
            <w:shd w:val="clear" w:color="auto" w:fill="DDEBF7"/>
          </w:tcPr>
          <w:p>
            <w:r>
              <w:rPr>
                <w:rFonts w:ascii="Meiryo UI" w:hAnsi="Meiryo UI"/>
                <w:sz w:val="18"/>
              </w:rPr>
              <w:t>EV（時価総額+有利子負債-現金）</w:t>
            </w:r>
          </w:p>
        </w:tc>
        <w:tc>
          <w:tcPr>
            <w:tcW w:type="dxa" w:w="4703"/>
            <w:shd w:val="clear" w:color="auto" w:fill="DDEBF7"/>
          </w:tcPr>
          <w:p>
            <w:r>
              <w:rPr>
                <w:rFonts w:ascii="Meiryo UI" w:hAnsi="Meiryo UI"/>
                <w:sz w:val="18"/>
              </w:rPr>
              <w:t>¥6,003億</w:t>
            </w:r>
          </w:p>
        </w:tc>
      </w:tr>
      <w:tr>
        <w:tc>
          <w:tcPr>
            <w:tcW w:type="dxa" w:w="4703"/>
          </w:tcPr>
          <w:p>
            <w:r>
              <w:rPr>
                <w:rFonts w:ascii="Meiryo UI" w:hAnsi="Meiryo UI"/>
                <w:sz w:val="18"/>
              </w:rPr>
              <w:t>EV/EBITDA</w:t>
            </w:r>
          </w:p>
        </w:tc>
        <w:tc>
          <w:tcPr>
            <w:tcW w:type="dxa" w:w="4703"/>
          </w:tcPr>
          <w:p>
            <w:r>
              <w:rPr>
                <w:rFonts w:ascii="Meiryo UI" w:hAnsi="Meiryo UI"/>
                <w:sz w:val="18"/>
              </w:rPr>
              <w:t>7.9x</w:t>
            </w:r>
          </w:p>
        </w:tc>
      </w:tr>
      <w:tr>
        <w:tc>
          <w:tcPr>
            <w:tcW w:type="dxa" w:w="4703"/>
            <w:shd w:val="clear" w:color="auto" w:fill="DDEBF7"/>
          </w:tcPr>
          <w:p>
            <w:r>
              <w:rPr>
                <w:rFonts w:ascii="Meiryo UI" w:hAnsi="Meiryo UI"/>
                <w:sz w:val="18"/>
              </w:rPr>
              <w:t>同業平均EV/EBITDA</w:t>
            </w:r>
          </w:p>
        </w:tc>
        <w:tc>
          <w:tcPr>
            <w:tcW w:type="dxa" w:w="4703"/>
            <w:shd w:val="clear" w:color="auto" w:fill="DDEBF7"/>
          </w:tcPr>
          <w:p>
            <w:r>
              <w:rPr>
                <w:rFonts w:ascii="Meiryo UI" w:hAnsi="Meiryo UI"/>
                <w:sz w:val="18"/>
              </w:rPr>
              <w:t>10-12x</w:t>
            </w:r>
          </w:p>
        </w:tc>
      </w:tr>
      <w:tr>
        <w:tc>
          <w:tcPr>
            <w:tcW w:type="dxa" w:w="4703"/>
          </w:tcPr>
          <w:p>
            <w:r>
              <w:rPr>
                <w:rFonts w:ascii="Meiryo UI" w:hAnsi="Meiryo UI"/>
                <w:sz w:val="18"/>
              </w:rPr>
              <w:t>implied 適正株価（EV/EBITDA 10x）</w:t>
            </w:r>
          </w:p>
        </w:tc>
        <w:tc>
          <w:tcPr>
            <w:tcW w:type="dxa" w:w="4703"/>
          </w:tcPr>
          <w:p>
            <w:r>
              <w:rPr>
                <w:rFonts w:ascii="Meiryo UI" w:hAnsi="Meiryo UI"/>
                <w:sz w:val="18"/>
              </w:rPr>
              <w:t>¥4,670</w:t>
            </w:r>
          </w:p>
        </w:tc>
      </w:tr>
    </w:tbl>
    <w:p/>
    <w:p>
      <w:r>
        <w:rPr>
          <w:rFonts w:ascii="Meiryo UI" w:hAnsi="Meiryo UI"/>
          <w:sz w:val="20"/>
        </w:rPr>
        <w:t>→ EV/EBITDA法では¥4,670の適正価値が示唆される（現値比+29.7%）。純現金の厚さがEVを押し下げており、同法での割安性が顕著。</w:t>
      </w:r>
    </w:p>
    <w:p/>
    <w:p>
      <w:pPr>
        <w:pStyle w:val="Heading3"/>
      </w:pPr>
      <w:r>
        <w:rPr>
          <w:rFonts w:ascii="Meiryo UI" w:hAnsi="Meiryo UI"/>
          <w:color w:val="2E74B5"/>
        </w:rPr>
        <w:t>7.4 みずほ証券 新規格付との整合性確認</w:t>
      </w:r>
    </w:p>
    <w:p/>
    <w:p>
      <w:pPr>
        <w:shd w:val="clear" w:color="auto" w:fill="F2F2F2"/>
      </w:pPr>
      <w:r>
        <w:rPr>
          <w:rFonts w:ascii="Courier New" w:hAnsi="Courier New"/>
          <w:sz w:val="16"/>
        </w:rPr>
        <w:t>みずほ証券: 新規「1」（最上位推奨）  TP ¥4,150  (2026-04-16付)</w:t>
        <w:br/>
        <w:t>深井推計:  BUY                       TP ¥4,150  加重FV ¥3,914</w:t>
        <w:br/>
        <w:br/>
        <w:t>→ 整合確認: TP ¥4,150 = みずほと完全一致</w:t>
        <w:br/>
        <w:t>→ 理論的裏付け: Base EPS ¥211 × P/E 19.7x = ¥4,157 ≒ ¥4,150</w:t>
        <w:br/>
        <w:t>→ Bull EPS ¥229 × P/E 18.1x = ¥4,145 ≒ ¥4,150</w:t>
        <w:br/>
        <w:t>→ いずれのシナリオからも¥4,150は妥当な目標株価水準</w:t>
      </w:r>
    </w:p>
    <w:p/>
    <w:p>
      <w:pPr>
        <w:pStyle w:val="Heading3"/>
      </w:pPr>
      <w:r>
        <w:rPr>
          <w:rFonts w:ascii="Meiryo UI" w:hAnsi="Meiryo UI"/>
          <w:color w:val="2E74B5"/>
        </w:rPr>
        <w:t>7.5 Graham Number（安全域チェック）</w:t>
      </w:r>
    </w:p>
    <w:p/>
    <w:p>
      <w:pPr>
        <w:shd w:val="clear" w:color="auto" w:fill="F2F2F2"/>
      </w:pPr>
      <w:r>
        <w:rPr>
          <w:rFonts w:ascii="Courier New" w:hAnsi="Courier New"/>
          <w:sz w:val="16"/>
        </w:rPr>
        <w:t>Graham Number = √(22.5 × EPS × BVPS)</w:t>
        <w:br/>
        <w:t xml:space="preserve">             = √(22.5 × 197.2 × 1,926)</w:t>
        <w:br/>
        <w:t xml:space="preserve">             = √(8,546,040)</w:t>
        <w:br/>
        <w:t xml:space="preserve">             = ¥2,924</w:t>
        <w:br/>
        <w:br/>
        <w:t>現値¥3,600 &gt; Graham Number ¥2,924 = 23.1%プレミアム</w:t>
        <w:br/>
        <w:t>→ Graham的には割高だが、成長企業・安定配当・低βを考慮すれば許容範囲</w:t>
        <w:br/>
        <w:t>→ 完全な安全圏は¥2,900未満。現値は「適正やや高め」水準。</w:t>
      </w:r>
    </w:p>
    <w:p/>
    <w:p>
      <w:r>
        <w:t>──────────────────────────────────────────────────</w:t>
      </w:r>
    </w:p>
    <w:p/>
    <w:p>
      <w:pPr>
        <w:pStyle w:val="Heading2"/>
      </w:pPr>
      <w:r>
        <w:rPr>
          <w:rFonts w:ascii="Meiryo UI" w:hAnsi="Meiryo UI"/>
          <w:color w:val="2E74B5"/>
        </w:rPr>
        <w:t>▼ 8. 不動産含み益考察</w:t>
      </w:r>
    </w:p>
    <w:p/>
    <w:p>
      <w:pPr>
        <w:pStyle w:val="Heading3"/>
      </w:pPr>
      <w:r>
        <w:rPr>
          <w:rFonts w:ascii="Meiryo UI" w:hAnsi="Meiryo UI"/>
          <w:color w:val="2E74B5"/>
        </w:rPr>
        <w:t>8.1 不動産資産の概要</w:t>
      </w:r>
    </w:p>
    <w:p/>
    <w:p>
      <w:r>
        <w:rPr>
          <w:rFonts w:ascii="Meiryo UI" w:hAnsi="Meiryo UI"/>
          <w:sz w:val="20"/>
        </w:rPr>
        <w:t>キヤノンMJは自社ビル・物流センターを都内に複数保有。ただし開示情報の詳細は限定的。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保有不動産簿価（推定）</w:t>
            </w:r>
          </w:p>
        </w:tc>
        <w:tc>
          <w:tcPr>
            <w:tcW w:type="dxa" w:w="3135"/>
          </w:tcPr>
          <w:p>
            <w:r>
              <w:rPr>
                <w:rFonts w:ascii="Meiryo UI" w:hAnsi="Meiryo UI"/>
                <w:sz w:val="18"/>
              </w:rPr>
              <w:t>¥200-300億</w:t>
            </w:r>
          </w:p>
        </w:tc>
        <w:tc>
          <w:tcPr>
            <w:tcW w:type="dxa" w:w="3135"/>
          </w:tcPr>
          <w:p>
            <w:r>
              <w:rPr>
                <w:rFonts w:ascii="Meiryo UI" w:hAnsi="Meiryo UI"/>
                <w:sz w:val="18"/>
              </w:rPr>
              <w:t>総資産¥5,644億・固定資産比率約10-15%より推計</w:t>
            </w:r>
          </w:p>
        </w:tc>
      </w:tr>
      <w:tr>
        <w:tc>
          <w:tcPr>
            <w:tcW w:type="dxa" w:w="3135"/>
            <w:shd w:val="clear" w:color="auto" w:fill="DDEBF7"/>
          </w:tcPr>
          <w:p>
            <w:r>
              <w:rPr>
                <w:rFonts w:ascii="Meiryo UI" w:hAnsi="Meiryo UI"/>
                <w:sz w:val="18"/>
              </w:rPr>
              <w:t>含み益（推定）</w:t>
            </w:r>
          </w:p>
        </w:tc>
        <w:tc>
          <w:tcPr>
            <w:tcW w:type="dxa" w:w="3135"/>
            <w:shd w:val="clear" w:color="auto" w:fill="DDEBF7"/>
          </w:tcPr>
          <w:p>
            <w:r>
              <w:rPr>
                <w:rFonts w:ascii="Meiryo UI" w:hAnsi="Meiryo UI"/>
                <w:sz w:val="18"/>
              </w:rPr>
              <w:t>¥50-100億</w:t>
            </w:r>
          </w:p>
        </w:tc>
        <w:tc>
          <w:tcPr>
            <w:tcW w:type="dxa" w:w="3135"/>
            <w:shd w:val="clear" w:color="auto" w:fill="DDEBF7"/>
          </w:tcPr>
          <w:p>
            <w:r>
              <w:rPr>
                <w:rFonts w:ascii="Meiryo UI" w:hAnsi="Meiryo UI"/>
                <w:sz w:val="18"/>
              </w:rPr>
              <w:t>簿価に対し25-30%程度の含み益推計</w:t>
            </w:r>
          </w:p>
        </w:tc>
      </w:tr>
      <w:tr>
        <w:tc>
          <w:tcPr>
            <w:tcW w:type="dxa" w:w="3135"/>
          </w:tcPr>
          <w:p>
            <w:r>
              <w:rPr>
                <w:rFonts w:ascii="Meiryo UI" w:hAnsi="Meiryo UI"/>
                <w:sz w:val="18"/>
              </w:rPr>
              <w:t>株価への寄与</w:t>
            </w:r>
          </w:p>
        </w:tc>
        <w:tc>
          <w:tcPr>
            <w:tcW w:type="dxa" w:w="3135"/>
          </w:tcPr>
          <w:p>
            <w:r>
              <w:rPr>
                <w:rFonts w:ascii="Meiryo UI" w:hAnsi="Meiryo UI"/>
                <w:sz w:val="18"/>
              </w:rPr>
              <w:t>¥24-48/株</w:t>
            </w:r>
          </w:p>
        </w:tc>
        <w:tc>
          <w:tcPr>
            <w:tcW w:type="dxa" w:w="3135"/>
          </w:tcPr>
          <w:p>
            <w:r>
              <w:rPr>
                <w:rFonts w:ascii="Meiryo UI" w:hAnsi="Meiryo UI"/>
                <w:sz w:val="18"/>
              </w:rPr>
              <w:t>税引後60%×含み益÷株式数</w:t>
            </w:r>
          </w:p>
        </w:tc>
      </w:tr>
    </w:tbl>
    <w:p/>
    <w:p>
      <w:r>
        <w:rPr>
          <w:rFonts w:ascii="Meiryo UI" w:hAnsi="Meiryo UI"/>
          <w:sz w:val="20"/>
        </w:rPr>
        <w:t>IR質問事項: 不動産の帳簿価格・評価額の開示を求めることで含み益の精緻化が可能。以下のIR質問事項を参照のこと。</w:t>
      </w:r>
    </w:p>
    <w:p/>
    <w:p>
      <w:r>
        <w:rPr>
          <w:rFonts w:ascii="Meiryo UI" w:hAnsi="Meiryo UI"/>
          <w:sz w:val="20"/>
        </w:rPr>
        <w:t>投資判断への影響: 不動産含み益は現状の評価に織り込み済みとはいえず、理論上はP/B比率に上乗せ要因。ただし、純現金¥1,564億の存在感の方が大きく、不動産含み益は従属的。</w:t>
      </w:r>
    </w:p>
    <w:p/>
    <w:p>
      <w:r>
        <w:t>──────────────────────────────────────────────────</w:t>
      </w:r>
    </w:p>
    <w:p/>
    <w:p>
      <w:pPr>
        <w:pStyle w:val="Heading2"/>
      </w:pPr>
      <w:r>
        <w:rPr>
          <w:rFonts w:ascii="Meiryo UI" w:hAnsi="Meiryo UI"/>
          <w:color w:val="2E74B5"/>
        </w:rPr>
        <w:t>▼ 9. ガイダンス考察</w:t>
      </w:r>
    </w:p>
    <w:p/>
    <w:p>
      <w:pPr>
        <w:pStyle w:val="Heading3"/>
      </w:pPr>
      <w:r>
        <w:rPr>
          <w:rFonts w:ascii="Meiryo UI" w:hAnsi="Meiryo UI"/>
          <w:color w:val="2E74B5"/>
        </w:rPr>
        <w:t>9.1 FY2026 ガイダンス分析</w:t>
      </w:r>
    </w:p>
    <w:p/>
    <w:p>
      <w:pPr>
        <w:shd w:val="clear" w:color="auto" w:fill="F2F2F2"/>
      </w:pPr>
      <w:r>
        <w:rPr>
          <w:rFonts w:ascii="Courier New" w:hAnsi="Courier New"/>
          <w:sz w:val="16"/>
        </w:rPr>
        <w:t>【発表ガイダンス】</w:t>
        <w:br/>
        <w:t xml:space="preserve">  売上高   : ¥6,850億 (+0.8% vs FY2025)</w:t>
        <w:br/>
        <w:t xml:space="preserve">  営業利益 : ¥600億   (+3.1% vs FY2025)</w:t>
        <w:br/>
        <w:t xml:space="preserve">  OPM      : 8.76%    (+0.20pp vs FY2025)</w:t>
        <w:br/>
        <w:br/>
        <w:t>【深井の評価：「意図的に保守的」と判断】</w:t>
        <w:br/>
        <w:br/>
        <w:t>根拠①: Q1実績¥185億 = ガイダンスの30.8%</w:t>
        <w:br/>
        <w:t xml:space="preserve">  → FY2025の各Q比率：Q1≈22%、Q2≈24%、Q3≈22%、Q4≈32%（年度末効果）</w:t>
        <w:br/>
        <w:t xml:space="preserve">  → 仮にFY2026も同パターンなら通期 = 185/0.22 = ¥841億（Bull extreme case）</w:t>
        <w:br/>
        <w:t xml:space="preserve">  → 季節性を保守的に見ても¥650-700億は充分射程内</w:t>
        <w:br/>
        <w:br/>
        <w:t>根拠②: 売上ガイダンスが保守的すぎる（+0.8%）</w:t>
        <w:br/>
        <w:t xml:space="preserve">  → AI・DX需要が加速中の環境で売上+0.8%は保守的</w:t>
        <w:br/>
        <w:t xml:space="preserve">  → Q1実績+2.6%をベースにすれば通期+2-3%は最低でも到達可能</w:t>
        <w:br/>
        <w:t xml:space="preserve">  → 売上上振れ+2%（追加¥136億）×OPM改善0.5pp = OP追加¥25-30億</w:t>
        <w:br/>
        <w:br/>
        <w:t>根拠③: QUICK consensus ¥613億 &gt; ガイダンス¥600億 = +2.2%</w:t>
        <w:br/>
        <w:t xml:space="preserve">  → アナリスト全員がガイダンスに懐疑的 → 上振れを前提として評価</w:t>
        <w:br/>
        <w:br/>
        <w:t>【通期修正タイミング予測】</w:t>
        <w:br/>
        <w:t xml:space="preserve">  → 2Q（8月）決算時に上方修正 → 最有力シナリオ</w:t>
        <w:br/>
        <w:t xml:space="preserve">  → 1H（上半期）OP進捗率55%超えが条件</w:t>
      </w:r>
    </w:p>
    <w:p/>
    <w:p>
      <w:r>
        <w:t>──────────────────────────────────────────────────</w:t>
      </w:r>
    </w:p>
    <w:p/>
    <w:p>
      <w:pPr>
        <w:pStyle w:val="Heading2"/>
      </w:pPr>
      <w:r>
        <w:rPr>
          <w:rFonts w:ascii="Meiryo UI" w:hAnsi="Meiryo UI"/>
          <w:color w:val="2E74B5"/>
        </w:rPr>
        <w:t>▼ 10. リスクシナリオと定量感応度</w:t>
      </w:r>
    </w:p>
    <w:p/>
    <w:p>
      <w:pPr>
        <w:pStyle w:val="Heading3"/>
      </w:pPr>
      <w:r>
        <w:rPr>
          <w:rFonts w:ascii="Meiryo UI" w:hAnsi="Meiryo UI"/>
          <w:color w:val="2E74B5"/>
        </w:rPr>
        <w:t>10.1 リスクマトリクス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影響</w:t>
            </w:r>
          </w:p>
        </w:tc>
        <w:tc>
          <w:tcPr>
            <w:tcW w:type="dxa" w:w="1881"/>
            <w:shd w:val="clear" w:color="auto" w:fill="2E74B5"/>
          </w:tcPr>
          <w:p>
            <w:r>
              <w:rPr>
                <w:rFonts w:ascii="Meiryo UI" w:hAnsi="Meiryo UI"/>
                <w:b/>
                <w:color w:val="FFFFFF"/>
                <w:sz w:val="18"/>
              </w:rPr>
              <w:t>影響額（OP変動）</w:t>
            </w:r>
          </w:p>
        </w:tc>
        <w:tc>
          <w:tcPr>
            <w:tcW w:type="dxa" w:w="1881"/>
            <w:shd w:val="clear" w:color="auto" w:fill="2E74B5"/>
          </w:tcPr>
          <w:p>
            <w:r>
              <w:rPr>
                <w:rFonts w:ascii="Meiryo UI" w:hAnsi="Meiryo UI"/>
                <w:b/>
                <w:color w:val="FFFFFF"/>
                <w:sz w:val="18"/>
              </w:rPr>
              <w:t>対処法</w:t>
            </w:r>
          </w:p>
        </w:tc>
      </w:tr>
      <w:tr>
        <w:tc>
          <w:tcPr>
            <w:tcW w:type="dxa" w:w="1881"/>
          </w:tcPr>
          <w:p>
            <w:r>
              <w:rPr>
                <w:rFonts w:ascii="Meiryo UI" w:hAnsi="Meiryo UI"/>
                <w:sz w:val="18"/>
              </w:rPr>
              <w:t>Q1増益が一時的（前期特殊費用の剥落のみ）</w:t>
            </w:r>
          </w:p>
        </w:tc>
        <w:tc>
          <w:tcPr>
            <w:tcW w:type="dxa" w:w="1881"/>
          </w:tcPr>
          <w:p>
            <w:r>
              <w:rPr>
                <w:rFonts w:ascii="Meiryo UI" w:hAnsi="Meiryo UI"/>
                <w:sz w:val="18"/>
              </w:rPr>
              <w:t>30%</w:t>
            </w:r>
          </w:p>
        </w:tc>
        <w:tc>
          <w:tcPr>
            <w:tcW w:type="dxa" w:w="1881"/>
          </w:tcPr>
          <w:p>
            <w:r>
              <w:rPr>
                <w:rFonts w:ascii="Meiryo UI" w:hAnsi="Meiryo UI"/>
                <w:sz w:val="18"/>
              </w:rPr>
              <w:t>大</w:t>
            </w:r>
          </w:p>
        </w:tc>
        <w:tc>
          <w:tcPr>
            <w:tcW w:type="dxa" w:w="1881"/>
          </w:tcPr>
          <w:p>
            <w:r>
              <w:rPr>
                <w:rFonts w:ascii="Meiryo UI" w:hAnsi="Meiryo UI"/>
                <w:sz w:val="18"/>
              </w:rPr>
              <w:t>-¥50-80億</w:t>
            </w:r>
          </w:p>
        </w:tc>
        <w:tc>
          <w:tcPr>
            <w:tcW w:type="dxa" w:w="1881"/>
          </w:tcPr>
          <w:p>
            <w:r>
              <w:rPr>
                <w:rFonts w:ascii="Meiryo UI" w:hAnsi="Meiryo UI"/>
                <w:sz w:val="18"/>
              </w:rPr>
              <w:t>Q2決算で確認後対応</w:t>
            </w:r>
          </w:p>
        </w:tc>
      </w:tr>
      <w:tr>
        <w:tc>
          <w:tcPr>
            <w:tcW w:type="dxa" w:w="1881"/>
            <w:shd w:val="clear" w:color="auto" w:fill="DDEBF7"/>
          </w:tcPr>
          <w:p>
            <w:r>
              <w:rPr>
                <w:rFonts w:ascii="Meiryo UI" w:hAnsi="Meiryo UI"/>
                <w:sz w:val="18"/>
              </w:rPr>
              <w:t>親会社Canon業績悪化（為替・競合）</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大</w:t>
            </w:r>
          </w:p>
        </w:tc>
        <w:tc>
          <w:tcPr>
            <w:tcW w:type="dxa" w:w="1881"/>
            <w:shd w:val="clear" w:color="auto" w:fill="DDEBF7"/>
          </w:tcPr>
          <w:p>
            <w:r>
              <w:rPr>
                <w:rFonts w:ascii="Meiryo UI" w:hAnsi="Meiryo UI"/>
                <w:sz w:val="18"/>
              </w:rPr>
              <w:t>-¥30-50億</w:t>
            </w:r>
          </w:p>
        </w:tc>
        <w:tc>
          <w:tcPr>
            <w:tcW w:type="dxa" w:w="1881"/>
            <w:shd w:val="clear" w:color="auto" w:fill="DDEBF7"/>
          </w:tcPr>
          <w:p>
            <w:r>
              <w:rPr>
                <w:rFonts w:ascii="Meiryo UI" w:hAnsi="Meiryo UI"/>
                <w:sz w:val="18"/>
              </w:rPr>
              <w:t>Canon本決算（4月末）注視</w:t>
            </w:r>
          </w:p>
        </w:tc>
      </w:tr>
      <w:tr>
        <w:tc>
          <w:tcPr>
            <w:tcW w:type="dxa" w:w="1881"/>
          </w:tcPr>
          <w:p>
            <w:r>
              <w:rPr>
                <w:rFonts w:ascii="Meiryo UI" w:hAnsi="Meiryo UI"/>
                <w:sz w:val="18"/>
              </w:rPr>
              <w:t>国内IT投資失速（景気後退）</w:t>
            </w:r>
          </w:p>
        </w:tc>
        <w:tc>
          <w:tcPr>
            <w:tcW w:type="dxa" w:w="1881"/>
          </w:tcPr>
          <w:p>
            <w:r>
              <w:rPr>
                <w:rFonts w:ascii="Meiryo UI" w:hAnsi="Meiryo UI"/>
                <w:sz w:val="18"/>
              </w:rPr>
              <w:t>20%</w:t>
            </w:r>
          </w:p>
        </w:tc>
        <w:tc>
          <w:tcPr>
            <w:tcW w:type="dxa" w:w="1881"/>
          </w:tcPr>
          <w:p>
            <w:r>
              <w:rPr>
                <w:rFonts w:ascii="Meiryo UI" w:hAnsi="Meiryo UI"/>
                <w:sz w:val="18"/>
              </w:rPr>
              <w:t>中</w:t>
            </w:r>
          </w:p>
        </w:tc>
        <w:tc>
          <w:tcPr>
            <w:tcW w:type="dxa" w:w="1881"/>
          </w:tcPr>
          <w:p>
            <w:r>
              <w:rPr>
                <w:rFonts w:ascii="Meiryo UI" w:hAnsi="Meiryo UI"/>
                <w:sz w:val="18"/>
              </w:rPr>
              <w:t>-¥20-40億</w:t>
            </w:r>
          </w:p>
        </w:tc>
        <w:tc>
          <w:tcPr>
            <w:tcW w:type="dxa" w:w="1881"/>
          </w:tcPr>
          <w:p>
            <w:r>
              <w:rPr>
                <w:rFonts w:ascii="Meiryo UI" w:hAnsi="Meiryo UI"/>
                <w:sz w:val="18"/>
              </w:rPr>
              <w:t>2Q末ガイダンス修正で確認</w:t>
            </w:r>
          </w:p>
        </w:tc>
      </w:tr>
      <w:tr>
        <w:tc>
          <w:tcPr>
            <w:tcW w:type="dxa" w:w="1881"/>
            <w:shd w:val="clear" w:color="auto" w:fill="DDEBF7"/>
          </w:tcPr>
          <w:p>
            <w:r>
              <w:rPr>
                <w:rFonts w:ascii="Meiryo UI" w:hAnsi="Meiryo UI"/>
                <w:sz w:val="18"/>
              </w:rPr>
              <w:t>円高進行（¥130台）→Canon連鎖</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間接的</w:t>
            </w:r>
          </w:p>
        </w:tc>
        <w:tc>
          <w:tcPr>
            <w:tcW w:type="dxa" w:w="1881"/>
            <w:shd w:val="clear" w:color="auto" w:fill="DDEBF7"/>
          </w:tcPr>
          <w:p>
            <w:r>
              <w:rPr>
                <w:rFonts w:ascii="Meiryo UI" w:hAnsi="Meiryo UI"/>
                <w:sz w:val="18"/>
              </w:rPr>
              <w:t>ヘッジ状況確認要</w:t>
            </w:r>
          </w:p>
        </w:tc>
      </w:tr>
      <w:tr>
        <w:tc>
          <w:tcPr>
            <w:tcW w:type="dxa" w:w="1881"/>
          </w:tcPr>
          <w:p>
            <w:r>
              <w:rPr>
                <w:rFonts w:ascii="Meiryo UI" w:hAnsi="Meiryo UI"/>
                <w:sz w:val="18"/>
              </w:rPr>
              <w:t>競合（富士通・NTTデータ）のシェア侵食</w:t>
            </w:r>
          </w:p>
        </w:tc>
        <w:tc>
          <w:tcPr>
            <w:tcW w:type="dxa" w:w="1881"/>
          </w:tcPr>
          <w:p>
            <w:r>
              <w:rPr>
                <w:rFonts w:ascii="Meiryo UI" w:hAnsi="Meiryo UI"/>
                <w:sz w:val="18"/>
              </w:rPr>
              <w:t>10%</w:t>
            </w:r>
          </w:p>
        </w:tc>
        <w:tc>
          <w:tcPr>
            <w:tcW w:type="dxa" w:w="1881"/>
          </w:tcPr>
          <w:p>
            <w:r>
              <w:rPr>
                <w:rFonts w:ascii="Meiryo UI" w:hAnsi="Meiryo UI"/>
                <w:sz w:val="18"/>
              </w:rPr>
              <w:t>小</w:t>
            </w:r>
          </w:p>
        </w:tc>
        <w:tc>
          <w:tcPr>
            <w:tcW w:type="dxa" w:w="1881"/>
          </w:tcPr>
          <w:p>
            <w:r>
              <w:rPr>
                <w:rFonts w:ascii="Meiryo UI" w:hAnsi="Meiryo UI"/>
                <w:sz w:val="18"/>
              </w:rPr>
              <w:t>-¥10-20億</w:t>
            </w:r>
          </w:p>
        </w:tc>
        <w:tc>
          <w:tcPr>
            <w:tcW w:type="dxa" w:w="1881"/>
          </w:tcPr>
          <w:p>
            <w:r>
              <w:rPr>
                <w:rFonts w:ascii="Meiryo UI" w:hAnsi="Meiryo UI"/>
                <w:sz w:val="18"/>
              </w:rPr>
              <w:t>SIセグメント進捗確認</w:t>
            </w:r>
          </w:p>
        </w:tc>
      </w:tr>
    </w:tbl>
    <w:p/>
    <w:p>
      <w:pPr>
        <w:pStyle w:val="Heading3"/>
      </w:pPr>
      <w:r>
        <w:rPr>
          <w:rFonts w:ascii="Meiryo UI" w:hAnsi="Meiryo UI"/>
          <w:color w:val="2E74B5"/>
        </w:rPr>
        <w:t>10.2 Bear Case詳細（最大リスクシナリオ）</w:t>
      </w:r>
    </w:p>
    <w:p/>
    <w:p>
      <w:pPr>
        <w:shd w:val="clear" w:color="auto" w:fill="F2F2F2"/>
      </w:pPr>
      <w:r>
        <w:rPr>
          <w:rFonts w:ascii="Courier New" w:hAnsi="Courier New"/>
          <w:sz w:val="16"/>
        </w:rPr>
        <w:t>シナリオ：Q1 OPの急増が「前期分コスト精算のタイミングずれ」による一時的要因</w:t>
        <w:br/>
        <w:br/>
        <w:t>想定:</w:t>
        <w:br/>
        <w:t xml:space="preserve">  Q1 FY2026 OP ¥185億は真の実力値ではなく、前期（FY2025）に計上すべきコスト</w:t>
        <w:br/>
        <w:t xml:space="preserve">  （物流契約更新・IT投資一括償却・人件費調整）が1-3月にシフトした可能性</w:t>
        <w:br/>
        <w:br/>
        <w:t>影響試算:</w:t>
        <w:br/>
        <w:t xml:space="preserve">  一時的利益 = +¥40-50億（正常OPは¥135-145億 → Q1 run rate ¥540-580億）</w:t>
        <w:br/>
        <w:t xml:space="preserve">  FY2026 OP = ¥540-580億 → 実質FY2025並み</w:t>
        <w:br/>
        <w:t xml:space="preserve">  EPS = ¥183-197 × P/E 16x = FV ¥2,928-¥3,152</w:t>
        <w:br/>
        <w:br/>
        <w:t>対応戦略:</w:t>
        <w:br/>
        <w:t xml:space="preserve">  → Q2決算（2026年8月）でOP進捗を確認</w:t>
        <w:br/>
        <w:t xml:space="preserve">  → Q1-Q2合計 OP ¥310億未満（¥600億の51.7%未満）なら再評価</w:t>
        <w:br/>
        <w:t xml:space="preserve">  → SL ¥3,200設定（MA200割れ水準）で損切りルール維持</w:t>
      </w:r>
    </w:p>
    <w:p/>
    <w:p>
      <w:pPr>
        <w:pStyle w:val="Heading3"/>
      </w:pPr>
      <w:r>
        <w:rPr>
          <w:rFonts w:ascii="Meiryo UI" w:hAnsi="Meiryo UI"/>
          <w:color w:val="2E74B5"/>
        </w:rPr>
        <w:t>10.3 感応度分析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変動要因</w:t>
            </w:r>
          </w:p>
        </w:tc>
        <w:tc>
          <w:tcPr>
            <w:tcW w:type="dxa" w:w="2351"/>
            <w:shd w:val="clear" w:color="auto" w:fill="2E74B5"/>
          </w:tcPr>
          <w:p>
            <w:r>
              <w:rPr>
                <w:rFonts w:ascii="Meiryo UI" w:hAnsi="Meiryo UI"/>
                <w:b/>
                <w:color w:val="FFFFFF"/>
                <w:sz w:val="18"/>
              </w:rPr>
              <w:t>+1単位変化</w:t>
            </w:r>
          </w:p>
        </w:tc>
        <w:tc>
          <w:tcPr>
            <w:tcW w:type="dxa" w:w="2351"/>
            <w:shd w:val="clear" w:color="auto" w:fill="2E74B5"/>
          </w:tcPr>
          <w:p>
            <w:r>
              <w:rPr>
                <w:rFonts w:ascii="Meiryo UI" w:hAnsi="Meiryo UI"/>
                <w:b/>
                <w:color w:val="FFFFFF"/>
                <w:sz w:val="18"/>
              </w:rPr>
              <w:t>EPS変化</w:t>
            </w:r>
          </w:p>
        </w:tc>
        <w:tc>
          <w:tcPr>
            <w:tcW w:type="dxa" w:w="2351"/>
            <w:shd w:val="clear" w:color="auto" w:fill="2E74B5"/>
          </w:tcPr>
          <w:p>
            <w:r>
              <w:rPr>
                <w:rFonts w:ascii="Meiryo UI" w:hAnsi="Meiryo UI"/>
                <w:b/>
                <w:color w:val="FFFFFF"/>
                <w:sz w:val="18"/>
              </w:rPr>
              <w:t>FV変化</w:t>
            </w:r>
          </w:p>
        </w:tc>
      </w:tr>
      <w:tr>
        <w:tc>
          <w:tcPr>
            <w:tcW w:type="dxa" w:w="2351"/>
          </w:tcPr>
          <w:p>
            <w:r>
              <w:rPr>
                <w:rFonts w:ascii="Meiryo UI" w:hAnsi="Meiryo UI"/>
                <w:sz w:val="18"/>
              </w:rPr>
              <w:t>OPM ±0.5pp（売上一定）</w:t>
            </w:r>
          </w:p>
        </w:tc>
        <w:tc>
          <w:tcPr>
            <w:tcW w:type="dxa" w:w="2351"/>
          </w:tcPr>
          <w:p>
            <w:r>
              <w:rPr>
                <w:rFonts w:ascii="Meiryo UI" w:hAnsi="Meiryo UI"/>
                <w:sz w:val="18"/>
              </w:rPr>
              <w:t>+¥34億</w:t>
            </w:r>
          </w:p>
        </w:tc>
        <w:tc>
          <w:tcPr>
            <w:tcW w:type="dxa" w:w="2351"/>
          </w:tcPr>
          <w:p>
            <w:r>
              <w:rPr>
                <w:rFonts w:ascii="Meiryo UI" w:hAnsi="Meiryo UI"/>
                <w:sz w:val="18"/>
              </w:rPr>
              <w:t>+¥11</w:t>
            </w:r>
          </w:p>
        </w:tc>
        <w:tc>
          <w:tcPr>
            <w:tcW w:type="dxa" w:w="2351"/>
          </w:tcPr>
          <w:p>
            <w:r>
              <w:rPr>
                <w:rFonts w:ascii="Meiryo UI" w:hAnsi="Meiryo UI"/>
                <w:sz w:val="18"/>
              </w:rPr>
              <w:t>+¥210</w:t>
            </w:r>
          </w:p>
        </w:tc>
      </w:tr>
      <w:tr>
        <w:tc>
          <w:tcPr>
            <w:tcW w:type="dxa" w:w="2351"/>
            <w:shd w:val="clear" w:color="auto" w:fill="DDEBF7"/>
          </w:tcPr>
          <w:p>
            <w:r>
              <w:rPr>
                <w:rFonts w:ascii="Meiryo UI" w:hAnsi="Meiryo UI"/>
                <w:sz w:val="18"/>
              </w:rPr>
              <w:t>P/E ±1x（EPS一定）</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+¥211</w:t>
            </w:r>
          </w:p>
        </w:tc>
      </w:tr>
      <w:tr>
        <w:tc>
          <w:tcPr>
            <w:tcW w:type="dxa" w:w="2351"/>
          </w:tcPr>
          <w:p>
            <w:r>
              <w:rPr>
                <w:rFonts w:ascii="Meiryo UI" w:hAnsi="Meiryo UI"/>
                <w:sz w:val="18"/>
              </w:rPr>
              <w:t>売上 ±¥100億（OPM一定）</w:t>
            </w:r>
          </w:p>
        </w:tc>
        <w:tc>
          <w:tcPr>
            <w:tcW w:type="dxa" w:w="2351"/>
          </w:tcPr>
          <w:p>
            <w:r>
              <w:rPr>
                <w:rFonts w:ascii="Meiryo UI" w:hAnsi="Meiryo UI"/>
                <w:sz w:val="18"/>
              </w:rPr>
              <w:t>+¥8.6億</w:t>
            </w:r>
          </w:p>
        </w:tc>
        <w:tc>
          <w:tcPr>
            <w:tcW w:type="dxa" w:w="2351"/>
          </w:tcPr>
          <w:p>
            <w:r>
              <w:rPr>
                <w:rFonts w:ascii="Meiryo UI" w:hAnsi="Meiryo UI"/>
                <w:sz w:val="18"/>
              </w:rPr>
              <w:t>+¥3</w:t>
            </w:r>
          </w:p>
        </w:tc>
        <w:tc>
          <w:tcPr>
            <w:tcW w:type="dxa" w:w="2351"/>
          </w:tcPr>
          <w:p>
            <w:r>
              <w:rPr>
                <w:rFonts w:ascii="Meiryo UI" w:hAnsi="Meiryo UI"/>
                <w:sz w:val="18"/>
              </w:rPr>
              <w:t>+¥57</w:t>
            </w:r>
          </w:p>
        </w:tc>
      </w:tr>
    </w:tbl>
    <w:p/>
    <w:p>
      <w:r>
        <w:t>──────────────────────────────────────────────────</w:t>
      </w:r>
    </w:p>
    <w:p/>
    <w:p>
      <w:pPr>
        <w:pStyle w:val="Heading2"/>
      </w:pPr>
      <w:r>
        <w:rPr>
          <w:rFonts w:ascii="Meiryo UI" w:hAnsi="Meiryo UI"/>
          <w:color w:val="2E74B5"/>
        </w:rPr>
        <w:t>▼ 11. テクニカル分析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現在値</w:t>
            </w:r>
          </w:p>
        </w:tc>
        <w:tc>
          <w:tcPr>
            <w:tcW w:type="dxa" w:w="3135"/>
          </w:tcPr>
          <w:p>
            <w:r>
              <w:rPr>
                <w:rFonts w:ascii="Meiryo UI" w:hAnsi="Meiryo UI"/>
                <w:sz w:val="18"/>
              </w:rPr>
              <w:t>¥3,600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MA25</w:t>
            </w:r>
          </w:p>
        </w:tc>
        <w:tc>
          <w:tcPr>
            <w:tcW w:type="dxa" w:w="3135"/>
            <w:shd w:val="clear" w:color="auto" w:fill="DDEBF7"/>
          </w:tcPr>
          <w:p>
            <w:r>
              <w:rPr>
                <w:rFonts w:ascii="Meiryo UI" w:hAnsi="Meiryo UI"/>
                <w:sz w:val="18"/>
              </w:rPr>
              <w:t>¥3,519</w:t>
            </w:r>
          </w:p>
        </w:tc>
        <w:tc>
          <w:tcPr>
            <w:tcW w:type="dxa" w:w="3135"/>
            <w:shd w:val="clear" w:color="auto" w:fill="DDEBF7"/>
          </w:tcPr>
          <w:p>
            <w:r>
              <w:rPr>
                <w:rFonts w:ascii="Meiryo UI" w:hAnsi="Meiryo UI"/>
                <w:sz w:val="18"/>
              </w:rPr>
              <w:t>上 +2.3%</w:t>
            </w:r>
          </w:p>
        </w:tc>
      </w:tr>
      <w:tr>
        <w:tc>
          <w:tcPr>
            <w:tcW w:type="dxa" w:w="3135"/>
          </w:tcPr>
          <w:p>
            <w:r>
              <w:rPr>
                <w:rFonts w:ascii="Meiryo UI" w:hAnsi="Meiryo UI"/>
                <w:sz w:val="18"/>
              </w:rPr>
              <w:t>MA75</w:t>
            </w:r>
          </w:p>
        </w:tc>
        <w:tc>
          <w:tcPr>
            <w:tcW w:type="dxa" w:w="3135"/>
          </w:tcPr>
          <w:p>
            <w:r>
              <w:rPr>
                <w:rFonts w:ascii="Meiryo UI" w:hAnsi="Meiryo UI"/>
                <w:sz w:val="18"/>
              </w:rPr>
              <w:t>¥3,469</w:t>
            </w:r>
          </w:p>
        </w:tc>
        <w:tc>
          <w:tcPr>
            <w:tcW w:type="dxa" w:w="3135"/>
          </w:tcPr>
          <w:p>
            <w:r>
              <w:rPr>
                <w:rFonts w:ascii="Meiryo UI" w:hAnsi="Meiryo UI"/>
                <w:sz w:val="18"/>
              </w:rPr>
              <w:t>上 +3.8%</w:t>
            </w:r>
          </w:p>
        </w:tc>
      </w:tr>
      <w:tr>
        <w:tc>
          <w:tcPr>
            <w:tcW w:type="dxa" w:w="3135"/>
            <w:shd w:val="clear" w:color="auto" w:fill="DDEBF7"/>
          </w:tcPr>
          <w:p>
            <w:r>
              <w:rPr>
                <w:rFonts w:ascii="Meiryo UI" w:hAnsi="Meiryo UI"/>
                <w:sz w:val="18"/>
              </w:rPr>
              <w:t>MA200</w:t>
            </w:r>
          </w:p>
        </w:tc>
        <w:tc>
          <w:tcPr>
            <w:tcW w:type="dxa" w:w="3135"/>
            <w:shd w:val="clear" w:color="auto" w:fill="DDEBF7"/>
          </w:tcPr>
          <w:p>
            <w:r>
              <w:rPr>
                <w:rFonts w:ascii="Meiryo UI" w:hAnsi="Meiryo UI"/>
                <w:sz w:val="18"/>
              </w:rPr>
              <w:t>¥3,400</w:t>
            </w:r>
          </w:p>
        </w:tc>
        <w:tc>
          <w:tcPr>
            <w:tcW w:type="dxa" w:w="3135"/>
            <w:shd w:val="clear" w:color="auto" w:fill="DDEBF7"/>
          </w:tcPr>
          <w:p>
            <w:r>
              <w:rPr>
                <w:rFonts w:ascii="Meiryo UI" w:hAnsi="Meiryo UI"/>
                <w:sz w:val="18"/>
              </w:rPr>
              <w:t>上 +5.9%</w:t>
            </w:r>
          </w:p>
        </w:tc>
      </w:tr>
      <w:tr>
        <w:tc>
          <w:tcPr>
            <w:tcW w:type="dxa" w:w="3135"/>
          </w:tcPr>
          <w:p>
            <w:r>
              <w:rPr>
                <w:rFonts w:ascii="Meiryo UI" w:hAnsi="Meiryo UI"/>
                <w:sz w:val="18"/>
              </w:rPr>
              <w:t>52w高値</w:t>
            </w:r>
          </w:p>
        </w:tc>
        <w:tc>
          <w:tcPr>
            <w:tcW w:type="dxa" w:w="3135"/>
          </w:tcPr>
          <w:p>
            <w:r>
              <w:rPr>
                <w:rFonts w:ascii="Meiryo UI" w:hAnsi="Meiryo UI"/>
                <w:sz w:val="18"/>
              </w:rPr>
              <w:t>¥3,715</w:t>
            </w:r>
          </w:p>
        </w:tc>
        <w:tc>
          <w:tcPr>
            <w:tcW w:type="dxa" w:w="3135"/>
          </w:tcPr>
          <w:p>
            <w:r>
              <w:rPr>
                <w:rFonts w:ascii="Meiryo UI" w:hAnsi="Meiryo UI"/>
                <w:sz w:val="18"/>
              </w:rPr>
              <w:t>下 -3.1%</w:t>
            </w:r>
          </w:p>
        </w:tc>
      </w:tr>
      <w:tr>
        <w:tc>
          <w:tcPr>
            <w:tcW w:type="dxa" w:w="3135"/>
            <w:shd w:val="clear" w:color="auto" w:fill="DDEBF7"/>
          </w:tcPr>
          <w:p>
            <w:r>
              <w:rPr>
                <w:rFonts w:ascii="Meiryo UI" w:hAnsi="Meiryo UI"/>
                <w:sz w:val="18"/>
              </w:rPr>
              <w:t>52w安値</w:t>
            </w:r>
          </w:p>
        </w:tc>
        <w:tc>
          <w:tcPr>
            <w:tcW w:type="dxa" w:w="3135"/>
            <w:shd w:val="clear" w:color="auto" w:fill="DDEBF7"/>
          </w:tcPr>
          <w:p>
            <w:r>
              <w:rPr>
                <w:rFonts w:ascii="Meiryo UI" w:hAnsi="Meiryo UI"/>
                <w:sz w:val="18"/>
              </w:rPr>
              <w:t>¥2,962</w:t>
            </w:r>
          </w:p>
        </w:tc>
        <w:tc>
          <w:tcPr>
            <w:tcW w:type="dxa" w:w="3135"/>
            <w:shd w:val="clear" w:color="auto" w:fill="DDEBF7"/>
          </w:tcPr>
          <w:p>
            <w:r>
              <w:rPr>
                <w:rFonts w:ascii="Meiryo UI" w:hAnsi="Meiryo UI"/>
                <w:sz w:val="18"/>
              </w:rPr>
              <w:t>上 +21.5%</w:t>
            </w:r>
          </w:p>
        </w:tc>
      </w:tr>
      <w:tr>
        <w:tc>
          <w:tcPr>
            <w:tcW w:type="dxa" w:w="3135"/>
          </w:tcPr>
          <w:p>
            <w:r>
              <w:rPr>
                <w:rFonts w:ascii="Meiryo UI" w:hAnsi="Meiryo UI"/>
                <w:sz w:val="18"/>
              </w:rPr>
              <w:t>トレンド</w:t>
            </w:r>
          </w:p>
        </w:tc>
        <w:tc>
          <w:tcPr>
            <w:tcW w:type="dxa" w:w="3135"/>
          </w:tcPr>
          <w:p>
            <w:r>
              <w:rPr>
                <w:rFonts w:ascii="Meiryo UI" w:hAnsi="Meiryo UI"/>
                <w:sz w:val="18"/>
              </w:rPr>
              <w:t>上昇トレンド</w:t>
            </w:r>
          </w:p>
        </w:tc>
        <w:tc>
          <w:tcPr>
            <w:tcW w:type="dxa" w:w="3135"/>
          </w:tcPr>
          <w:p>
            <w:r>
              <w:rPr>
                <w:rFonts w:ascii="Meiryo UI" w:hAnsi="Meiryo UI"/>
                <w:sz w:val="18"/>
              </w:rPr>
              <w:t>MA25/75/200全て上抜け</w:t>
            </w:r>
          </w:p>
        </w:tc>
      </w:tr>
    </w:tbl>
    <w:p/>
    <w:p>
      <w:pPr>
        <w:shd w:val="clear" w:color="auto" w:fill="F2F2F2"/>
      </w:pPr>
      <w:r>
        <w:rPr>
          <w:rFonts w:ascii="Courier New" w:hAnsi="Courier New"/>
          <w:sz w:val="16"/>
        </w:rPr>
        <w:t>テクニカル評価:</w:t>
        <w:br/>
        <w:t xml:space="preserve">  → MA25/75/200をすべて上回るパーフェクトオーダー形成中</w:t>
        <w:br/>
        <w:t xml:space="preserve">  → 52w高値¥3,715まで残り▲3.1%が抵抗線</w:t>
        <w:br/>
        <w:t xml:space="preserve">  → ¥3,715超えで上昇加速の可能性（次の節目¥4,000）</w:t>
        <w:br/>
        <w:t xml:space="preserve">  → 現値はMA25+2.3%と過熱感なく、良好なエントリーゾーン</w:t>
        <w:br/>
        <w:t xml:space="preserve">  → SL: MA200（¥3,400）割れで撤退</w:t>
      </w:r>
    </w:p>
    <w:p/>
    <w:p>
      <w:r>
        <w:t>──────────────────────────────────────────────────</w:t>
      </w:r>
    </w:p>
    <w:p/>
    <w:p>
      <w:pPr>
        <w:pStyle w:val="Heading2"/>
      </w:pPr>
      <w:r>
        <w:rPr>
          <w:rFonts w:ascii="Meiryo UI" w:hAnsi="Meiryo UI"/>
          <w:color w:val="2E74B5"/>
        </w:rPr>
        <w:t>▼ 12. 浅井スコア算出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モメンタム</w:t>
            </w:r>
          </w:p>
        </w:tc>
        <w:tc>
          <w:tcPr>
            <w:tcW w:type="dxa" w:w="3135"/>
          </w:tcPr>
          <w:p>
            <w:r>
              <w:rPr>
                <w:rFonts w:ascii="Meiryo UI" w:hAnsi="Meiryo UI"/>
                <w:sz w:val="18"/>
              </w:rPr>
              <w:t>+20</w:t>
            </w:r>
          </w:p>
        </w:tc>
        <w:tc>
          <w:tcPr>
            <w:tcW w:type="dxa" w:w="3135"/>
          </w:tcPr>
          <w:p>
            <w:r>
              <w:rPr>
                <w:rFonts w:ascii="Meiryo UI" w:hAnsi="Meiryo UI"/>
                <w:sz w:val="18"/>
              </w:rPr>
              <w:t>MA全線上・Q1超過・52w高値近辺</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+18</w:t>
            </w:r>
          </w:p>
        </w:tc>
        <w:tc>
          <w:tcPr>
            <w:tcW w:type="dxa" w:w="3135"/>
            <w:shd w:val="clear" w:color="auto" w:fill="DDEBF7"/>
          </w:tcPr>
          <w:p>
            <w:r>
              <w:rPr>
                <w:rFonts w:ascii="Meiryo UI" w:hAnsi="Meiryo UI"/>
                <w:sz w:val="18"/>
              </w:rPr>
              <w:t>パーフェクトオーダー・エントリーゾーン</w:t>
            </w:r>
          </w:p>
        </w:tc>
      </w:tr>
      <w:tr>
        <w:tc>
          <w:tcPr>
            <w:tcW w:type="dxa" w:w="3135"/>
          </w:tcPr>
          <w:p>
            <w:r>
              <w:rPr>
                <w:rFonts w:ascii="Meiryo UI" w:hAnsi="Meiryo UI"/>
                <w:sz w:val="18"/>
              </w:rPr>
              <w:t>バリュー</w:t>
            </w:r>
          </w:p>
        </w:tc>
        <w:tc>
          <w:tcPr>
            <w:tcW w:type="dxa" w:w="3135"/>
          </w:tcPr>
          <w:p>
            <w:r>
              <w:rPr>
                <w:rFonts w:ascii="Meiryo UI" w:hAnsi="Meiryo UI"/>
                <w:sz w:val="18"/>
              </w:rPr>
              <w:t>+16</w:t>
            </w:r>
          </w:p>
        </w:tc>
        <w:tc>
          <w:tcPr>
            <w:tcW w:type="dxa" w:w="3135"/>
          </w:tcPr>
          <w:p>
            <w:r>
              <w:rPr>
                <w:rFonts w:ascii="Meiryo UI" w:hAnsi="Meiryo UI"/>
                <w:sz w:val="18"/>
              </w:rPr>
              <w:t>EV/EBITDA 7.9x（低い）・純現金20%・P/E18x</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+22</w:t>
            </w:r>
          </w:p>
        </w:tc>
        <w:tc>
          <w:tcPr>
            <w:tcW w:type="dxa" w:w="3135"/>
            <w:shd w:val="clear" w:color="auto" w:fill="DDEBF7"/>
          </w:tcPr>
          <w:p>
            <w:r>
              <w:rPr>
                <w:rFonts w:ascii="Meiryo UI" w:hAnsi="Meiryo UI"/>
                <w:sz w:val="18"/>
              </w:rPr>
              <w:t>通期上方修正確度高・みずほ新規格付・AI需要</w:t>
            </w:r>
          </w:p>
        </w:tc>
      </w:tr>
      <w:tr>
        <w:tc>
          <w:tcPr>
            <w:tcW w:type="dxa" w:w="3135"/>
          </w:tcPr>
          <w:p>
            <w:r>
              <w:rPr>
                <w:rFonts w:ascii="Meiryo UI" w:hAnsi="Meiryo UI"/>
                <w:sz w:val="18"/>
              </w:rPr>
              <w:t>合計</w:t>
            </w:r>
          </w:p>
        </w:tc>
        <w:tc>
          <w:tcPr>
            <w:tcW w:type="dxa" w:w="3135"/>
          </w:tcPr>
          <w:p>
            <w:r>
              <w:rPr>
                <w:rFonts w:ascii="Meiryo UI" w:hAnsi="Meiryo UI"/>
                <w:sz w:val="18"/>
              </w:rPr>
              <w:t>+76</w:t>
            </w:r>
          </w:p>
        </w:tc>
        <w:tc>
          <w:tcPr>
            <w:tcW w:type="dxa" w:w="3135"/>
          </w:tcPr>
          <w:p>
            <w:r>
              <w:rPr>
                <w:rFonts w:ascii="Meiryo UI" w:hAnsi="Meiryo UI"/>
                <w:sz w:val="18"/>
              </w:rPr>
              <w:t>BUY（Strong側）</w:t>
            </w:r>
          </w:p>
        </w:tc>
      </w:tr>
    </w:tbl>
    <w:p/>
    <w:p>
      <w:r>
        <w:t>──────────────────────────────────────────────────</w:t>
      </w:r>
    </w:p>
    <w:p/>
    <w:p>
      <w:pPr>
        <w:pStyle w:val="Heading2"/>
      </w:pPr>
      <w:r>
        <w:rPr>
          <w:rFonts w:ascii="Meiryo UI" w:hAnsi="Meiryo UI"/>
          <w:color w:val="2E74B5"/>
        </w:rPr>
        <w:t>▼ 13. アクション・サマリー</w:t>
      </w:r>
    </w:p>
    <w:p/>
    <w:p>
      <w:pPr>
        <w:pStyle w:val="Heading3"/>
      </w:pPr>
      <w:r>
        <w:rPr>
          <w:rFonts w:ascii="Meiryo UI" w:hAnsi="Meiryo UI"/>
          <w:color w:val="2E74B5"/>
        </w:rPr>
        <w:t>推奨エントリー戦略</w:t>
      </w:r>
    </w:p>
    <w:p/>
    <w:p>
      <w:pPr>
        <w:shd w:val="clear" w:color="auto" w:fill="F2F2F2"/>
      </w:pPr>
      <w:r>
        <w:rPr>
          <w:rFonts w:ascii="Courier New" w:hAnsi="Courier New"/>
          <w:sz w:val="16"/>
        </w:rPr>
        <w:t>■ 現値¥3,600でBUY開始（即時）</w:t>
        <w:br/>
        <w:t xml:space="preserve">  → MA25超え・テクニカル好調・FV比+8.7%</w:t>
        <w:br/>
        <w:t xml:space="preserve">  → SL: ¥3,200（-11.1%）= MA200水準</w:t>
        <w:br/>
        <w:br/>
        <w:t>■ ¥3,400-¥3,500での追加（押し目）</w:t>
        <w:br/>
        <w:t xml:space="preserve">  → より良い安全域を確保できる水準</w:t>
        <w:br/>
        <w:t xml:space="preserve">  → MA200サポート近辺でリスクリワード改善</w:t>
        <w:br/>
        <w:br/>
        <w:t>■ 利益確定目標</w:t>
        <w:br/>
        <w:t xml:space="preserve">  → 第1目標: ¥4,000（+11.1%） = 心理的節目</w:t>
        <w:br/>
        <w:t xml:space="preserve">  → 第2目標: ¥4,150（+15.3%） = みずほTP</w:t>
        <w:br/>
        <w:t xml:space="preserve">  → 第3目標: ¥4,600（+27.8%） = Bull FV</w:t>
        <w:br/>
        <w:br/>
        <w:t>■ 撤退条件（リスク管理）</w:t>
        <w:br/>
        <w:t xml:space="preserve">  → Q2 OP進捗率50%未満（¥300億以下）→ 再評価・減量</w:t>
        <w:br/>
        <w:t xml:space="preserve">  → ¥3,200割れ（MA200下抜け）→ SL損切り</w:t>
      </w:r>
    </w:p>
    <w:p/>
    <w:p>
      <w:pPr>
        <w:pStyle w:val="Heading3"/>
      </w:pPr>
      <w:r>
        <w:rPr>
          <w:rFonts w:ascii="Meiryo UI" w:hAnsi="Meiryo UI"/>
          <w:color w:val="2E74B5"/>
        </w:rPr>
        <w:t>モニタリングカレンダー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日程</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確認ポイント</w:t>
            </w:r>
          </w:p>
        </w:tc>
      </w:tr>
      <w:tr>
        <w:tc>
          <w:tcPr>
            <w:tcW w:type="dxa" w:w="3135"/>
          </w:tcPr>
          <w:p>
            <w:r>
              <w:rPr>
                <w:rFonts w:ascii="Meiryo UI" w:hAnsi="Meiryo UI"/>
                <w:sz w:val="18"/>
              </w:rPr>
              <w:t>2026-04末</w:t>
            </w:r>
          </w:p>
        </w:tc>
        <w:tc>
          <w:tcPr>
            <w:tcW w:type="dxa" w:w="3135"/>
          </w:tcPr>
          <w:p>
            <w:r>
              <w:rPr>
                <w:rFonts w:ascii="Meiryo UI" w:hAnsi="Meiryo UI"/>
                <w:sz w:val="18"/>
              </w:rPr>
              <w:t>Canon（7751）本決算</w:t>
            </w:r>
          </w:p>
        </w:tc>
        <w:tc>
          <w:tcPr>
            <w:tcW w:type="dxa" w:w="3135"/>
          </w:tcPr>
          <w:p>
            <w:r>
              <w:rPr>
                <w:rFonts w:ascii="Meiryo UI" w:hAnsi="Meiryo UI"/>
                <w:sz w:val="18"/>
              </w:rPr>
              <w:t>親会社業績・MJへの影響</w:t>
            </w:r>
          </w:p>
        </w:tc>
      </w:tr>
      <w:tr>
        <w:tc>
          <w:tcPr>
            <w:tcW w:type="dxa" w:w="3135"/>
            <w:shd w:val="clear" w:color="auto" w:fill="DDEBF7"/>
          </w:tcPr>
          <w:p>
            <w:r>
              <w:rPr>
                <w:rFonts w:ascii="Meiryo UI" w:hAnsi="Meiryo UI"/>
                <w:sz w:val="18"/>
              </w:rPr>
              <w:t>2026-05初</w:t>
            </w:r>
          </w:p>
        </w:tc>
        <w:tc>
          <w:tcPr>
            <w:tcW w:type="dxa" w:w="3135"/>
            <w:shd w:val="clear" w:color="auto" w:fill="DDEBF7"/>
          </w:tcPr>
          <w:p>
            <w:r>
              <w:rPr>
                <w:rFonts w:ascii="Meiryo UI" w:hAnsi="Meiryo UI"/>
                <w:sz w:val="18"/>
              </w:rPr>
              <w:t>Q1詳細決算説明会</w:t>
            </w:r>
          </w:p>
        </w:tc>
        <w:tc>
          <w:tcPr>
            <w:tcW w:type="dxa" w:w="3135"/>
            <w:shd w:val="clear" w:color="auto" w:fill="DDEBF7"/>
          </w:tcPr>
          <w:p>
            <w:r>
              <w:rPr>
                <w:rFonts w:ascii="Meiryo UI" w:hAnsi="Meiryo UI"/>
                <w:sz w:val="18"/>
              </w:rPr>
              <w:t>Q1急増の真因・セグメント別OPM</w:t>
            </w:r>
          </w:p>
        </w:tc>
      </w:tr>
      <w:tr>
        <w:tc>
          <w:tcPr>
            <w:tcW w:type="dxa" w:w="3135"/>
          </w:tcPr>
          <w:p>
            <w:r>
              <w:rPr>
                <w:rFonts w:ascii="Meiryo UI" w:hAnsi="Meiryo UI"/>
                <w:sz w:val="18"/>
              </w:rPr>
              <w:t>2026-08頃</w:t>
            </w:r>
          </w:p>
        </w:tc>
        <w:tc>
          <w:tcPr>
            <w:tcW w:type="dxa" w:w="3135"/>
          </w:tcPr>
          <w:p>
            <w:r>
              <w:rPr>
                <w:rFonts w:ascii="Meiryo UI" w:hAnsi="Meiryo UI"/>
                <w:sz w:val="18"/>
              </w:rPr>
              <w:t>Q2中間決算</w:t>
            </w:r>
          </w:p>
        </w:tc>
        <w:tc>
          <w:tcPr>
            <w:tcW w:type="dxa" w:w="3135"/>
          </w:tcPr>
          <w:p>
            <w:r>
              <w:rPr>
                <w:rFonts w:ascii="Meiryo UI" w:hAnsi="Meiryo UI"/>
                <w:sz w:val="18"/>
              </w:rPr>
              <w:t>H1 OP進捗率 → 通期修正トリガー</w:t>
            </w:r>
          </w:p>
        </w:tc>
      </w:tr>
      <w:tr>
        <w:tc>
          <w:tcPr>
            <w:tcW w:type="dxa" w:w="3135"/>
            <w:shd w:val="clear" w:color="auto" w:fill="DDEBF7"/>
          </w:tcPr>
          <w:p>
            <w:r>
              <w:rPr>
                <w:rFonts w:ascii="Meiryo UI" w:hAnsi="Meiryo UI"/>
                <w:sz w:val="18"/>
              </w:rPr>
              <w:t>2026-11頃</w:t>
            </w:r>
          </w:p>
        </w:tc>
        <w:tc>
          <w:tcPr>
            <w:tcW w:type="dxa" w:w="3135"/>
            <w:shd w:val="clear" w:color="auto" w:fill="DDEBF7"/>
          </w:tcPr>
          <w:p>
            <w:r>
              <w:rPr>
                <w:rFonts w:ascii="Meiryo UI" w:hAnsi="Meiryo UI"/>
                <w:sz w:val="18"/>
              </w:rPr>
              <w:t>Q3決算</w:t>
            </w:r>
          </w:p>
        </w:tc>
        <w:tc>
          <w:tcPr>
            <w:tcW w:type="dxa" w:w="3135"/>
            <w:shd w:val="clear" w:color="auto" w:fill="DDEBF7"/>
          </w:tcPr>
          <w:p>
            <w:r>
              <w:rPr>
                <w:rFonts w:ascii="Meiryo UI" w:hAnsi="Meiryo UI"/>
                <w:sz w:val="18"/>
              </w:rPr>
              <w:t>通期ガイダンス確認</w:t>
            </w:r>
          </w:p>
        </w:tc>
      </w:tr>
    </w:tbl>
    <w:p/>
    <w:p>
      <w:r>
        <w:t>──────────────────────────────────────────────────</w:t>
      </w:r>
    </w:p>
    <w:p/>
    <w:p>
      <w:pPr>
        <w:pStyle w:val="Heading2"/>
      </w:pPr>
      <w:r>
        <w:rPr>
          <w:rFonts w:ascii="Meiryo UI" w:hAnsi="Meiryo UI"/>
          <w:color w:val="2E74B5"/>
        </w:rPr>
        <w:t>▼ 14. IR質問状（竹村トレードカンパニー）</w:t>
      </w:r>
    </w:p>
    <w:p/>
    <w:p>
      <w:pPr>
        <w:shd w:val="clear" w:color="auto" w:fill="F2F2F2"/>
      </w:pPr>
      <w:r>
        <w:rPr>
          <w:rFonts w:ascii="Courier New" w:hAnsi="Courier New"/>
          <w:sz w:val="16"/>
        </w:rPr>
        <w:t>From: takemuratrade@gmail.com</w:t>
        <w:br/>
        <w:t>To: ir@canon-mj.co.jp</w:t>
        <w:br/>
        <w:t>Subject: キヤノンマーケティングジャパン 投資家照会 - FY2026 Q1決算に関して</w:t>
        <w:br/>
        <w:br/>
        <w:t>キヤノンマーケティングジャパン株式会社</w:t>
        <w:br/>
        <w:t>IR担当者様</w:t>
        <w:br/>
        <w:br/>
        <w:t>竹村トレードカンパニーの深井と申します。</w:t>
        <w:br/>
        <w:t>このたびの1Q決算に関しまして、投資判断上、以下5点についてご確認させていただきたく存じます。</w:t>
        <w:br/>
        <w:br/>
        <w:t>【質問1】Q1 OPM急改善（7.86% → 10.77%）の構造的要因</w:t>
        <w:br/>
        <w:t xml:space="preserve">  Q1 FY2026の営業利益率が前年同期比で約3pp改善したことを確認しています。</w:t>
        <w:br/>
        <w:t xml:space="preserve">  この改善は：</w:t>
        <w:br/>
        <w:t xml:space="preserve">  a) ITソリューション（ソフト・サービス）比率拡大によるミックス改善</w:t>
        <w:br/>
        <w:t xml:space="preserve">  b) 特定顧客・大型案件の前倒し計上</w:t>
        <w:br/>
        <w:t xml:space="preserve">  c) コスト削減・効率化の恒常的な効果</w:t>
        <w:br/>
        <w:t xml:space="preserve">  のどれが主因でしょうか？また恒常的に継続するとお考えでしょうか？</w:t>
        <w:br/>
        <w:br/>
        <w:t>【質問2】通期FY2026 OP ¥600億ガイダンスの保守性について</w:t>
        <w:br/>
        <w:t xml:space="preserve">  Q1で既に¥185億を達成している中で、通期¥600億は保守的に見受けられます。</w:t>
        <w:br/>
        <w:t xml:space="preserve">  ガイダンス策定における想定ベースはQ2-Q4のどのような前提に基づいていますか？</w:t>
        <w:br/>
        <w:t xml:space="preserve">  特に下期（Q3-Q4）の大口案件・リカーリング収益の状況をお聞かせください。</w:t>
        <w:br/>
        <w:br/>
        <w:t>【質問3】AIワークステーション・AI関連製品の売上寄与</w:t>
        <w:br/>
        <w:t xml:space="preserve">  キヤノンのAI関連製品（AI搭載イメージングシステム、AIワークフロー等）の</w:t>
        <w:br/>
        <w:t xml:space="preserve">  FY2026 Q1売上への貢献額と前年比成長率をご教示いただけますでしょうか。</w:t>
        <w:br/>
        <w:br/>
        <w:t>【質問4】不動産資産の現在の評価額</w:t>
        <w:br/>
        <w:t xml:space="preserve">  貸借対照表上の有形固定資産のうち、土地・建物の簿価と時価評価の差異を</w:t>
        <w:br/>
        <w:t xml:space="preserve">  ご開示いただけますでしょうか。決算短信への記載がない場合は概算でも</w:t>
        <w:br/>
        <w:t xml:space="preserve">  構いません。</w:t>
        <w:br/>
        <w:br/>
        <w:t>【質問5】株主還元方針（増配・自社株買い）</w:t>
        <w:br/>
        <w:t xml:space="preserve">  FY2025 EPS ¥197に対し配当性向約43%（DPS¥85推定）ですが、</w:t>
        <w:br/>
        <w:t xml:space="preserve">  今後の増配余地や自社株買い実施の可能性についてお聞かせください。</w:t>
        <w:br/>
        <w:t xml:space="preserve">  純現金¥1,564億は株主還元に向けた検討対象になっていますか？</w:t>
        <w:br/>
        <w:br/>
        <w:t>以上、ご多忙のところ恐縮ですが、ご回答いただけますと幸いです。</w:t>
        <w:br/>
        <w:br/>
        <w:t>竹村トレードカンパニー</w:t>
        <w:br/>
        <w:t>深井</w:t>
        <w:br/>
        <w:t>takemuratrade@gmail.com</w:t>
      </w:r>
    </w:p>
    <w:p/>
    <w:p>
      <w:r>
        <w:t>──────────────────────────────────────────────────</w:t>
      </w:r>
    </w:p>
    <w:p/>
    <w:p>
      <w:pPr>
        <w:pStyle w:val="Heading2"/>
      </w:pPr>
      <w:r>
        <w:rPr>
          <w:rFonts w:ascii="Meiryo UI" w:hAnsi="Meiryo UI"/>
          <w:color w:val="2E74B5"/>
        </w:rPr>
        <w:t>▼ 15. 投資判断サマリー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格付</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¥4,150</w:t>
            </w:r>
          </w:p>
        </w:tc>
      </w:tr>
      <w:tr>
        <w:tc>
          <w:tcPr>
            <w:tcW w:type="dxa" w:w="4703"/>
          </w:tcPr>
          <w:p>
            <w:r>
              <w:rPr>
                <w:rFonts w:ascii="Meiryo UI" w:hAnsi="Meiryo UI"/>
                <w:sz w:val="18"/>
              </w:rPr>
              <w:t>加重フェアバリュー</w:t>
            </w:r>
          </w:p>
        </w:tc>
        <w:tc>
          <w:tcPr>
            <w:tcW w:type="dxa" w:w="4703"/>
          </w:tcPr>
          <w:p>
            <w:r>
              <w:rPr>
                <w:rFonts w:ascii="Meiryo UI" w:hAnsi="Meiryo UI"/>
                <w:sz w:val="18"/>
              </w:rPr>
              <w:t>¥3,914</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¥3,600</w:t>
            </w:r>
          </w:p>
        </w:tc>
      </w:tr>
      <w:tr>
        <w:tc>
          <w:tcPr>
            <w:tcW w:type="dxa" w:w="4703"/>
          </w:tcPr>
          <w:p>
            <w:r>
              <w:rPr>
                <w:rFonts w:ascii="Meiryo UI" w:hAnsi="Meiryo UI"/>
                <w:sz w:val="18"/>
              </w:rPr>
              <w:t>上昇余地（TP比）</w:t>
            </w:r>
          </w:p>
        </w:tc>
        <w:tc>
          <w:tcPr>
            <w:tcW w:type="dxa" w:w="4703"/>
          </w:tcPr>
          <w:p>
            <w:r>
              <w:rPr>
                <w:rFonts w:ascii="Meiryo UI" w:hAnsi="Meiryo UI"/>
                <w:sz w:val="18"/>
              </w:rPr>
              <w:t>+15.3%</w:t>
            </w:r>
          </w:p>
        </w:tc>
      </w:tr>
      <w:tr>
        <w:tc>
          <w:tcPr>
            <w:tcW w:type="dxa" w:w="4703"/>
            <w:shd w:val="clear" w:color="auto" w:fill="DDEBF7"/>
          </w:tcPr>
          <w:p>
            <w:r>
              <w:rPr>
                <w:rFonts w:ascii="Meiryo UI" w:hAnsi="Meiryo UI"/>
                <w:sz w:val="18"/>
              </w:rPr>
              <w:t>上昇余地（FV比）</w:t>
            </w:r>
          </w:p>
        </w:tc>
        <w:tc>
          <w:tcPr>
            <w:tcW w:type="dxa" w:w="4703"/>
            <w:shd w:val="clear" w:color="auto" w:fill="DDEBF7"/>
          </w:tcPr>
          <w:p>
            <w:r>
              <w:rPr>
                <w:rFonts w:ascii="Meiryo UI" w:hAnsi="Meiryo UI"/>
                <w:sz w:val="18"/>
              </w:rPr>
              <w:t>+8.7%</w:t>
            </w:r>
          </w:p>
        </w:tc>
      </w:tr>
      <w:tr>
        <w:tc>
          <w:tcPr>
            <w:tcW w:type="dxa" w:w="4703"/>
          </w:tcPr>
          <w:p>
            <w:r>
              <w:rPr>
                <w:rFonts w:ascii="Meiryo UI" w:hAnsi="Meiryo UI"/>
                <w:sz w:val="18"/>
              </w:rPr>
              <w:t>SL設定水準</w:t>
            </w:r>
          </w:p>
        </w:tc>
        <w:tc>
          <w:tcPr>
            <w:tcW w:type="dxa" w:w="4703"/>
          </w:tcPr>
          <w:p>
            <w:r>
              <w:rPr>
                <w:rFonts w:ascii="Meiryo UI" w:hAnsi="Meiryo UI"/>
                <w:sz w:val="18"/>
              </w:rPr>
              <w:t>¥3,200（-11.1%）</w:t>
            </w:r>
          </w:p>
        </w:tc>
      </w:tr>
      <w:tr>
        <w:tc>
          <w:tcPr>
            <w:tcW w:type="dxa" w:w="4703"/>
            <w:shd w:val="clear" w:color="auto" w:fill="DDEBF7"/>
          </w:tcPr>
          <w:p>
            <w:r>
              <w:rPr>
                <w:rFonts w:ascii="Meiryo UI" w:hAnsi="Meiryo UI"/>
                <w:sz w:val="18"/>
              </w:rPr>
              <w:t>リスクリワード</w:t>
            </w:r>
          </w:p>
        </w:tc>
        <w:tc>
          <w:tcPr>
            <w:tcW w:type="dxa" w:w="4703"/>
            <w:shd w:val="clear" w:color="auto" w:fill="DDEBF7"/>
          </w:tcPr>
          <w:p>
            <w:r>
              <w:rPr>
                <w:rFonts w:ascii="Meiryo UI" w:hAnsi="Meiryo UI"/>
                <w:sz w:val="18"/>
              </w:rPr>
              <w:t>1.4x（TP到達+15.3% vs SL-11.1%）</w:t>
            </w:r>
          </w:p>
        </w:tc>
      </w:tr>
      <w:tr>
        <w:tc>
          <w:tcPr>
            <w:tcW w:type="dxa" w:w="4703"/>
          </w:tcPr>
          <w:p>
            <w:r>
              <w:rPr>
                <w:rFonts w:ascii="Meiryo UI" w:hAnsi="Meiryo UI"/>
                <w:sz w:val="18"/>
              </w:rPr>
              <w:t>浅井スコア</w:t>
            </w:r>
          </w:p>
        </w:tc>
        <w:tc>
          <w:tcPr>
            <w:tcW w:type="dxa" w:w="4703"/>
          </w:tcPr>
          <w:p>
            <w:r>
              <w:rPr>
                <w:rFonts w:ascii="Meiryo UI" w:hAnsi="Meiryo UI"/>
                <w:sz w:val="18"/>
              </w:rPr>
              <w:t>+76</w:t>
            </w:r>
          </w:p>
        </w:tc>
      </w:tr>
    </w:tbl>
    <w:p/>
    <w:p>
      <w:r>
        <w:rPr>
          <w:rFonts w:ascii="Meiryo UI" w:hAnsi="Meiryo UI"/>
          <w:sz w:val="20"/>
        </w:rPr>
        <w:t>格付根拠: Q1 OP+40.7%の大幅超過・通期ガイダンスの保守性・みずほ新規「1」TP整合・低β×純現金厚・上昇トレンド継続。下方リスクはSL¥3,200で管理可能。BUY推奨。</w:t>
      </w:r>
    </w:p>
    <w:p/>
    <w:p>
      <w:r>
        <w:t>──────────────────────────────────────────────────</w:t>
      </w:r>
    </w:p>
    <w:p/>
    <w:p>
      <w:r>
        <w:rPr>
          <w:rFonts w:ascii="Meiryo UI" w:hAnsi="Meiryo UI"/>
          <w:sz w:val="20"/>
        </w:rPr>
        <w:t>Deep Research by 深井 | キヤノンマーケティングジャパン（8060） | 2026-04-22</w:t>
      </w:r>
    </w:p>
    <w:p>
      <w:r>
        <w:rPr>
          <w:rFonts w:ascii="Meiryo UI" w:hAnsi="Meiryo UI"/>
          <w:sz w:val="20"/>
        </w:rPr>
        <w:t>データソース: yfinance（8060.T）, JGB10Y財務省CSV（2.392%/2026-04-21）, QUICK consensus, みずほ証券レポート（2026-04-16）</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