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[8179] ロイヤルホールディングス【REVISED】</w:t>
      </w:r>
    </w:p>
    <w:p/>
    <w:p/>
    <w:p>
      <w:pPr>
        <w:jc w:val="center"/>
      </w:pPr>
      <w:r>
        <w:rPr>
          <w:rFonts w:ascii="Meiryo UI" w:hAnsi="Meiryo UI"/>
          <w:sz w:val="24"/>
        </w:rPr>
        <w:t>アナリスト：深井</w:t>
      </w:r>
    </w:p>
    <w:p>
      <w:pPr>
        <w:jc w:val="center"/>
      </w:pPr>
      <w:r>
        <w:rPr>
          <w:rFonts w:ascii="Meiryo UI" w:hAnsi="Meiryo UI"/>
          <w:sz w:val="24"/>
        </w:rPr>
        <w:t>分析日：2026-04-18</w:t>
      </w:r>
    </w:p>
    <w:p>
      <w:r>
        <w:br w:type="page"/>
      </w:r>
    </w:p>
    <w:p>
      <w:pPr>
        <w:pStyle w:val="Heading1"/>
      </w:pPr>
      <w:r>
        <w:rPr>
          <w:rFonts w:ascii="Meiryo UI" w:hAnsi="Meiryo UI"/>
          <w:color w:val="1F3864"/>
        </w:rPr>
        <w:t>深井 DeepResearchレポート — [8179] ロイヤルホールディングス【REVISED】</w:t>
      </w:r>
    </w:p>
    <w:p>
      <w:r>
        <w:rPr>
          <w:rFonts w:ascii="Meiryo UI" w:hAnsi="Meiryo UI"/>
          <w:sz w:val="20"/>
        </w:rPr>
        <w:t>作成日: 2026-04-18 | アナリスト: 深井 | 分類: HOLD</w:t>
      </w:r>
    </w:p>
    <w:p>
      <w:r>
        <w:rPr>
          <w:rFonts w:ascii="Meiryo UI" w:hAnsi="Meiryo UI"/>
          <w:sz w:val="20"/>
        </w:rPr>
        <w:t>浅井スコア: +45 | Rf: 2.380%</w:t>
      </w:r>
    </w:p>
    <w:p/>
    <w:p>
      <w:r>
        <w:rPr>
          <w:rFonts w:ascii="Meiryo UI" w:hAnsi="Meiryo UI"/>
          <w:sz w:val="20"/>
        </w:rPr>
        <w:t>【修正履歴】</w:t>
      </w:r>
    </w:p>
    <w:p>
      <w:pPr>
        <w:pStyle w:val="ListBullet"/>
      </w:pPr>
      <w:r>
        <w:rPr>
          <w:rFonts w:ascii="Meiryo UI" w:hAnsi="Meiryo UI"/>
          <w:sz w:val="20"/>
        </w:rPr>
        <w:t>4/17版：売上高¥900〜940億（推計）→ 実績¥1,655億（▲43%過小）</w:t>
      </w:r>
    </w:p>
    <w:p>
      <w:pPr>
        <w:pStyle w:val="ListBullet"/>
      </w:pPr>
      <w:r>
        <w:rPr>
          <w:rFonts w:ascii="Meiryo UI" w:hAnsi="Meiryo UI"/>
          <w:sz w:val="20"/>
        </w:rPr>
        <w:t>4/17版：営業利益¥32〜36億（推計）→ 実績¥76.85億（▲55%過小）</w:t>
      </w:r>
    </w:p>
    <w:p>
      <w:pPr>
        <w:pStyle w:val="ListBullet"/>
      </w:pPr>
      <w:r>
        <w:rPr>
          <w:rFonts w:ascii="Meiryo UI" w:hAnsi="Meiryo UI"/>
          <w:sz w:val="20"/>
        </w:rPr>
        <w:t>4/17版：株式数4,750万株（推計誤）→ 実績9,972万株（株式分割未処理）</w:t>
      </w:r>
    </w:p>
    <w:p>
      <w:pPr>
        <w:pStyle w:val="ListBullet"/>
      </w:pPr>
      <w:r>
        <w:rPr>
          <w:rFonts w:ascii="Meiryo UI" w:hAnsi="Meiryo UI"/>
          <w:sz w:val="20"/>
        </w:rPr>
        <w:t>4/17版：投資判断「SELL・FV¥980〜1,120」→ 本版「HOLD・FV¥1,380」に修正</w:t>
      </w:r>
    </w:p>
    <w:p/>
    <w:p>
      <w:r>
        <w:t>──────────────────────────────────────────────────</w:t>
      </w:r>
    </w:p>
    <w:p/>
    <w:p>
      <w:pPr>
        <w:pStyle w:val="Heading2"/>
      </w:pPr>
      <w:r>
        <w:rPr>
          <w:rFonts w:ascii="Meiryo UI" w:hAnsi="Meiryo UI"/>
          <w:color w:val="2E74B5"/>
        </w:rPr>
        <w:t>IRページ・コンタクト</w:t>
      </w:r>
    </w:p>
    <w:p/>
    <w:p>
      <w:pPr>
        <w:pStyle w:val="ListBullet"/>
      </w:pPr>
      <w:r>
        <w:rPr>
          <w:rFonts w:ascii="Meiryo UI" w:hAnsi="Meiryo UI"/>
          <w:sz w:val="20"/>
        </w:rPr>
        <w:t>IRサイト: https://www.royal-holdings.co.jp/ir/</w:t>
      </w:r>
    </w:p>
    <w:p>
      <w:pPr>
        <w:pStyle w:val="ListBullet"/>
      </w:pPr>
      <w:r>
        <w:rPr>
          <w:rFonts w:ascii="Meiryo UI" w:hAnsi="Meiryo UI"/>
          <w:sz w:val="20"/>
        </w:rPr>
        <w:t>月次売上: https://www.royal-holdings.co.jp/ir/finance/sales/</w:t>
      </w:r>
    </w:p>
    <w:p>
      <w:pPr>
        <w:pStyle w:val="ListBullet"/>
      </w:pPr>
      <w:r>
        <w:rPr>
          <w:rFonts w:ascii="Meiryo UI" w:hAnsi="Meiryo UI"/>
          <w:sz w:val="20"/>
        </w:rPr>
        <w:t>決算短信（2026/02/16公表）: TDnet経由 https://finance-frontend-pc-dist.west.edge.storage-yahoo.jp/disclosure/20260216/20260212557935.pdf</w:t>
      </w:r>
    </w:p>
    <w:p/>
    <w:p>
      <w:r>
        <w:t>──────────────────────────────────────────────────</w:t>
      </w:r>
    </w:p>
    <w:p/>
    <w:p>
      <w:pPr>
        <w:pStyle w:val="Heading2"/>
      </w:pPr>
      <w:r>
        <w:rPr>
          <w:rFonts w:ascii="Meiryo UI" w:hAnsi="Meiryo UI"/>
          <w:color w:val="2E74B5"/>
        </w:rPr>
        <w:t>⚡ 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HOLD（中立）</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+45</w:t>
            </w:r>
          </w:p>
        </w:tc>
      </w:tr>
      <w:tr>
        <w:tc>
          <w:tcPr>
            <w:tcW w:type="dxa" w:w="4703"/>
          </w:tcPr>
          <w:p>
            <w:r>
              <w:rPr>
                <w:rFonts w:ascii="Meiryo UI" w:hAnsi="Meiryo UI"/>
                <w:sz w:val="18"/>
              </w:rPr>
              <w:t>現在株価</w:t>
            </w:r>
          </w:p>
        </w:tc>
        <w:tc>
          <w:tcPr>
            <w:tcW w:type="dxa" w:w="4703"/>
          </w:tcPr>
          <w:p>
            <w:r>
              <w:rPr>
                <w:rFonts w:ascii="Meiryo UI" w:hAnsi="Meiryo UI"/>
                <w:sz w:val="18"/>
              </w:rPr>
              <w:t>¥1,442（4/18）</w:t>
            </w:r>
          </w:p>
        </w:tc>
      </w:tr>
      <w:tr>
        <w:tc>
          <w:tcPr>
            <w:tcW w:type="dxa" w:w="4703"/>
            <w:shd w:val="clear" w:color="auto" w:fill="DDEBF7"/>
          </w:tcPr>
          <w:p>
            <w:r>
              <w:rPr>
                <w:rFonts w:ascii="Meiryo UI" w:hAnsi="Meiryo UI"/>
                <w:sz w:val="18"/>
              </w:rPr>
              <w:t>フェアバリュー</w:t>
            </w:r>
          </w:p>
        </w:tc>
        <w:tc>
          <w:tcPr>
            <w:tcW w:type="dxa" w:w="4703"/>
            <w:shd w:val="clear" w:color="auto" w:fill="DDEBF7"/>
          </w:tcPr>
          <w:p>
            <w:r>
              <w:rPr>
                <w:rFonts w:ascii="Meiryo UI" w:hAnsi="Meiryo UI"/>
                <w:sz w:val="18"/>
              </w:rPr>
              <w:t>¥1,380（▲4.3%、やや割高）</w:t>
            </w:r>
          </w:p>
        </w:tc>
      </w:tr>
      <w:tr>
        <w:tc>
          <w:tcPr>
            <w:tcW w:type="dxa" w:w="4703"/>
          </w:tcPr>
          <w:p>
            <w:r>
              <w:rPr>
                <w:rFonts w:ascii="Meiryo UI" w:hAnsi="Meiryo UI"/>
                <w:sz w:val="18"/>
              </w:rPr>
              <w:t>3弾丸</w:t>
            </w:r>
          </w:p>
        </w:tc>
        <w:tc>
          <w:tcPr>
            <w:tcW w:type="dxa" w:w="4703"/>
          </w:tcPr>
          <w:p>
            <w:r>
              <w:rPr>
                <w:rFonts w:ascii="Meiryo UI" w:hAnsi="Meiryo UI"/>
                <w:sz w:val="18"/>
              </w:rPr>
              <w:t>①ホテル事業が予想外の牽引役（FY2025 セグメント利益+26.3%・¥68.5億）②FY2026OP+16.4%ガイダンスはUAゼンセン賃上げ前の設定→実質は下振れリスク内在 ③外食事業セグメント利益▲26.9%が示す構造的コスト圧迫は継続</w:t>
            </w:r>
          </w:p>
        </w:tc>
      </w:tr>
      <w:tr>
        <w:tc>
          <w:tcPr>
            <w:tcW w:type="dxa" w:w="4703"/>
            <w:shd w:val="clear" w:color="auto" w:fill="DDEBF7"/>
          </w:tcPr>
          <w:p>
            <w:r>
              <w:rPr>
                <w:rFonts w:ascii="Meiryo UI" w:hAnsi="Meiryo UI"/>
                <w:sz w:val="18"/>
              </w:rPr>
              <w:t>最大リスク</w:t>
            </w:r>
          </w:p>
        </w:tc>
        <w:tc>
          <w:tcPr>
            <w:tcW w:type="dxa" w:w="4703"/>
            <w:shd w:val="clear" w:color="auto" w:fill="DDEBF7"/>
          </w:tcPr>
          <w:p>
            <w:r>
              <w:rPr>
                <w:rFonts w:ascii="Meiryo UI" w:hAnsi="Meiryo UI"/>
                <w:sz w:val="18"/>
              </w:rPr>
              <w:t>FY2026ガイダンス（OP¥89.5億）が賃上げ+6.3%を未織込みで設定。実態OP¥75〜80億に下振れた場合、EPS¥42〜47→PER割高が顕在化</w:t>
            </w:r>
          </w:p>
        </w:tc>
      </w:tr>
      <w:tr>
        <w:tc>
          <w:tcPr>
            <w:tcW w:type="dxa" w:w="4703"/>
          </w:tcPr>
          <w:p>
            <w:r>
              <w:rPr>
                <w:rFonts w:ascii="Meiryo UI" w:hAnsi="Meiryo UI"/>
                <w:sz w:val="18"/>
              </w:rPr>
              <w:t>推奨アクション</w:t>
            </w:r>
          </w:p>
        </w:tc>
        <w:tc>
          <w:tcPr>
            <w:tcW w:type="dxa" w:w="4703"/>
          </w:tcPr>
          <w:p>
            <w:r>
              <w:rPr>
                <w:rFonts w:ascii="Meiryo UI" w:hAnsi="Meiryo UI"/>
                <w:sz w:val="18"/>
              </w:rPr>
              <w:t>現値¥1,442はFV¥1,380比+4.4%割高のためエントリー見送り。¥1,250〜1,300まで押したら買い検討。5月本決算ガイダンス確認後に判断</w:t>
            </w:r>
          </w:p>
        </w:tc>
      </w:tr>
    </w:tbl>
    <w:p/>
    <w:p>
      <w:r>
        <w:t>──────────────────────────────────────────────────</w:t>
      </w:r>
    </w:p>
    <w:p/>
    <w:p>
      <w:pPr>
        <w:pStyle w:val="Heading2"/>
      </w:pPr>
      <w:r>
        <w:rPr>
          <w:rFonts w:ascii="Meiryo UI" w:hAnsi="Meiryo UI"/>
          <w:color w:val="2E74B5"/>
        </w:rPr>
        <w:t>セクション0 — 公式財務データ確認（データ整合性プロトコル準拠）</w:t>
      </w:r>
    </w:p>
    <w:p/>
    <w:p>
      <w:pPr>
        <w:pStyle w:val="Heading3"/>
      </w:pPr>
      <w:r>
        <w:rPr>
          <w:rFonts w:ascii="Meiryo UI" w:hAnsi="Meiryo UI"/>
          <w:color w:val="2E74B5"/>
        </w:rPr>
        <w:t>使用データソース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データ種別</w:t>
            </w:r>
          </w:p>
        </w:tc>
        <w:tc>
          <w:tcPr>
            <w:tcW w:type="dxa" w:w="3135"/>
            <w:shd w:val="clear" w:color="auto" w:fill="2E74B5"/>
          </w:tcPr>
          <w:p>
            <w:r>
              <w:rPr>
                <w:rFonts w:ascii="Meiryo UI" w:hAnsi="Meiryo UI"/>
                <w:b/>
                <w:color w:val="FFFFFF"/>
                <w:sz w:val="18"/>
              </w:rPr>
              <w:t>ソース</w:t>
            </w:r>
          </w:p>
        </w:tc>
        <w:tc>
          <w:tcPr>
            <w:tcW w:type="dxa" w:w="3135"/>
            <w:shd w:val="clear" w:color="auto" w:fill="2E74B5"/>
          </w:tcPr>
          <w:p>
            <w:r>
              <w:rPr>
                <w:rFonts w:ascii="Meiryo UI" w:hAnsi="Meiryo UI"/>
                <w:b/>
                <w:color w:val="FFFFFF"/>
                <w:sz w:val="18"/>
              </w:rPr>
              <w:t>確認日</w:t>
            </w:r>
          </w:p>
        </w:tc>
      </w:tr>
      <w:tr>
        <w:tc>
          <w:tcPr>
            <w:tcW w:type="dxa" w:w="3135"/>
          </w:tcPr>
          <w:p>
            <w:r>
              <w:rPr>
                <w:rFonts w:ascii="Meiryo UI" w:hAnsi="Meiryo UI"/>
                <w:sz w:val="18"/>
              </w:rPr>
              <w:t>FY2024・FY2025実績</w:t>
            </w:r>
          </w:p>
        </w:tc>
        <w:tc>
          <w:tcPr>
            <w:tcW w:type="dxa" w:w="3135"/>
          </w:tcPr>
          <w:p>
            <w:r>
              <w:rPr>
                <w:rFonts w:ascii="Meiryo UI" w:hAnsi="Meiryo UI"/>
                <w:sz w:val="18"/>
              </w:rPr>
              <w:t>決算短信（2026/02/16公表、TDnet）</w:t>
            </w:r>
          </w:p>
        </w:tc>
        <w:tc>
          <w:tcPr>
            <w:tcW w:type="dxa" w:w="3135"/>
          </w:tcPr>
          <w:p>
            <w:r>
              <w:rPr>
                <w:rFonts w:ascii="Meiryo UI" w:hAnsi="Meiryo UI"/>
                <w:sz w:val="18"/>
              </w:rPr>
              <w:t>2026-04-18</w:t>
            </w:r>
          </w:p>
        </w:tc>
      </w:tr>
      <w:tr>
        <w:tc>
          <w:tcPr>
            <w:tcW w:type="dxa" w:w="3135"/>
            <w:shd w:val="clear" w:color="auto" w:fill="DDEBF7"/>
          </w:tcPr>
          <w:p>
            <w:r>
              <w:rPr>
                <w:rFonts w:ascii="Meiryo UI" w:hAnsi="Meiryo UI"/>
                <w:sz w:val="18"/>
              </w:rPr>
              <w:t>セグメント別数値</w:t>
            </w:r>
          </w:p>
        </w:tc>
        <w:tc>
          <w:tcPr>
            <w:tcW w:type="dxa" w:w="3135"/>
            <w:shd w:val="clear" w:color="auto" w:fill="DDEBF7"/>
          </w:tcPr>
          <w:p>
            <w:r>
              <w:rPr>
                <w:rFonts w:ascii="Meiryo UI" w:hAnsi="Meiryo UI"/>
                <w:sz w:val="18"/>
              </w:rPr>
              <w:t>同上</w:t>
            </w:r>
          </w:p>
        </w:tc>
        <w:tc>
          <w:tcPr>
            <w:tcW w:type="dxa" w:w="3135"/>
            <w:shd w:val="clear" w:color="auto" w:fill="DDEBF7"/>
          </w:tcPr>
          <w:p>
            <w:r>
              <w:rPr>
                <w:rFonts w:ascii="Meiryo UI" w:hAnsi="Meiryo UI"/>
                <w:sz w:val="18"/>
              </w:rPr>
              <w:t>2026-04-18</w:t>
            </w:r>
          </w:p>
        </w:tc>
      </w:tr>
      <w:tr>
        <w:tc>
          <w:tcPr>
            <w:tcW w:type="dxa" w:w="3135"/>
          </w:tcPr>
          <w:p>
            <w:r>
              <w:rPr>
                <w:rFonts w:ascii="Meiryo UI" w:hAnsi="Meiryo UI"/>
                <w:sz w:val="18"/>
              </w:rPr>
              <w:t>FY2026ガイダンス</w:t>
            </w:r>
          </w:p>
        </w:tc>
        <w:tc>
          <w:tcPr>
            <w:tcW w:type="dxa" w:w="3135"/>
          </w:tcPr>
          <w:p>
            <w:r>
              <w:rPr>
                <w:rFonts w:ascii="Meiryo UI" w:hAnsi="Meiryo UI"/>
                <w:sz w:val="18"/>
              </w:rPr>
              <w:t>同上</w:t>
            </w:r>
          </w:p>
        </w:tc>
        <w:tc>
          <w:tcPr>
            <w:tcW w:type="dxa" w:w="3135"/>
          </w:tcPr>
          <w:p>
            <w:r>
              <w:rPr>
                <w:rFonts w:ascii="Meiryo UI" w:hAnsi="Meiryo UI"/>
                <w:sz w:val="18"/>
              </w:rPr>
              <w:t>2026-04-18</w:t>
            </w:r>
          </w:p>
        </w:tc>
      </w:tr>
      <w:tr>
        <w:tc>
          <w:tcPr>
            <w:tcW w:type="dxa" w:w="3135"/>
            <w:shd w:val="clear" w:color="auto" w:fill="DDEBF7"/>
          </w:tcPr>
          <w:p>
            <w:r>
              <w:rPr>
                <w:rFonts w:ascii="Meiryo UI" w:hAnsi="Meiryo UI"/>
                <w:sz w:val="18"/>
              </w:rPr>
              <w:t>月次既存店データ</w:t>
            </w:r>
          </w:p>
        </w:tc>
        <w:tc>
          <w:tcPr>
            <w:tcW w:type="dxa" w:w="3135"/>
            <w:shd w:val="clear" w:color="auto" w:fill="DDEBF7"/>
          </w:tcPr>
          <w:p>
            <w:r>
              <w:rPr>
                <w:rFonts w:ascii="Meiryo UI" w:hAnsi="Meiryo UI"/>
                <w:sz w:val="18"/>
              </w:rPr>
              <w:t>ロイヤルHD IR公式サイト</w:t>
            </w:r>
          </w:p>
        </w:tc>
        <w:tc>
          <w:tcPr>
            <w:tcW w:type="dxa" w:w="3135"/>
            <w:shd w:val="clear" w:color="auto" w:fill="DDEBF7"/>
          </w:tcPr>
          <w:p>
            <w:r>
              <w:rPr>
                <w:rFonts w:ascii="Meiryo UI" w:hAnsi="Meiryo UI"/>
                <w:sz w:val="18"/>
              </w:rPr>
              <w:t>2026-04-18</w:t>
            </w:r>
          </w:p>
        </w:tc>
      </w:tr>
      <w:tr>
        <w:tc>
          <w:tcPr>
            <w:tcW w:type="dxa" w:w="3135"/>
          </w:tcPr>
          <w:p>
            <w:r>
              <w:rPr>
                <w:rFonts w:ascii="Meiryo UI" w:hAnsi="Meiryo UI"/>
                <w:sz w:val="18"/>
              </w:rPr>
              <w:t>株価・PER・PBR</w:t>
            </w:r>
          </w:p>
        </w:tc>
        <w:tc>
          <w:tcPr>
            <w:tcW w:type="dxa" w:w="3135"/>
          </w:tcPr>
          <w:p>
            <w:r>
              <w:rPr>
                <w:rFonts w:ascii="Meiryo UI" w:hAnsi="Meiryo UI"/>
                <w:sz w:val="18"/>
              </w:rPr>
              <w:t>Yahoo Finance</w:t>
            </w:r>
          </w:p>
        </w:tc>
        <w:tc>
          <w:tcPr>
            <w:tcW w:type="dxa" w:w="3135"/>
          </w:tcPr>
          <w:p>
            <w:r>
              <w:rPr>
                <w:rFonts w:ascii="Meiryo UI" w:hAnsi="Meiryo UI"/>
                <w:sz w:val="18"/>
              </w:rPr>
              <w:t>2026-04-18</w:t>
            </w:r>
          </w:p>
        </w:tc>
      </w:tr>
    </w:tbl>
    <w:p/>
    <w:p>
      <w:r>
        <w:rPr>
          <w:rFonts w:ascii="Meiryo UI" w:hAnsi="Meiryo UI"/>
          <w:sz w:val="20"/>
        </w:rPr>
        <w:t>⚠️ 注記：2026年1月1日付で1株→2株の株式分割実施済み。全EPSおよびBPSは分割後換算値。</w:t>
      </w:r>
    </w:p>
    <w:p/>
    <w:p>
      <w:r>
        <w:t>──────────────────────────────────────────────────</w:t>
      </w:r>
    </w:p>
    <w:p/>
    <w:p>
      <w:pPr>
        <w:pStyle w:val="Heading2"/>
      </w:pPr>
      <w:r>
        <w:rPr>
          <w:rFonts w:ascii="Meiryo UI" w:hAnsi="Meiryo UI"/>
          <w:color w:val="2E74B5"/>
        </w:rPr>
        <w:t>セクション1 — 公式財務ハイライト（全数値は決算短信準拠）</w:t>
      </w:r>
    </w:p>
    <w:p/>
    <w:p>
      <w:pPr>
        <w:pStyle w:val="Heading3"/>
      </w:pPr>
      <w:r>
        <w:rPr>
          <w:rFonts w:ascii="Meiryo UI" w:hAnsi="Meiryo UI"/>
          <w:color w:val="2E74B5"/>
        </w:rPr>
        <w:t>FY2024・FY2025 連結実績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前期比</w:t>
            </w:r>
          </w:p>
        </w:tc>
      </w:tr>
      <w:tr>
        <w:tc>
          <w:tcPr>
            <w:tcW w:type="dxa" w:w="2351"/>
          </w:tcPr>
          <w:p>
            <w:r>
              <w:rPr>
                <w:rFonts w:ascii="Meiryo UI" w:hAnsi="Meiryo UI"/>
                <w:sz w:val="18"/>
              </w:rPr>
              <w:t>売上高</w:t>
            </w:r>
          </w:p>
        </w:tc>
        <w:tc>
          <w:tcPr>
            <w:tcW w:type="dxa" w:w="2351"/>
          </w:tcPr>
          <w:p>
            <w:r>
              <w:rPr>
                <w:rFonts w:ascii="Meiryo UI" w:hAnsi="Meiryo UI"/>
                <w:sz w:val="18"/>
              </w:rPr>
              <w:t>¥1,521.50億</w:t>
            </w:r>
          </w:p>
        </w:tc>
        <w:tc>
          <w:tcPr>
            <w:tcW w:type="dxa" w:w="2351"/>
          </w:tcPr>
          <w:p>
            <w:r>
              <w:rPr>
                <w:rFonts w:ascii="Meiryo UI" w:hAnsi="Meiryo UI"/>
                <w:sz w:val="18"/>
              </w:rPr>
              <w:t>¥1,654.95億</w:t>
            </w:r>
          </w:p>
        </w:tc>
        <w:tc>
          <w:tcPr>
            <w:tcW w:type="dxa" w:w="2351"/>
          </w:tcPr>
          <w:p>
            <w:r>
              <w:rPr>
                <w:rFonts w:ascii="Meiryo UI" w:hAnsi="Meiryo UI"/>
                <w:sz w:val="18"/>
              </w:rPr>
              <w:t>+8.8%</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¥73.66億</w:t>
            </w:r>
          </w:p>
        </w:tc>
        <w:tc>
          <w:tcPr>
            <w:tcW w:type="dxa" w:w="2351"/>
            <w:shd w:val="clear" w:color="auto" w:fill="DDEBF7"/>
          </w:tcPr>
          <w:p>
            <w:r>
              <w:rPr>
                <w:rFonts w:ascii="Meiryo UI" w:hAnsi="Meiryo UI"/>
                <w:sz w:val="18"/>
              </w:rPr>
              <w:t>¥76.85億</w:t>
            </w:r>
          </w:p>
        </w:tc>
        <w:tc>
          <w:tcPr>
            <w:tcW w:type="dxa" w:w="2351"/>
            <w:shd w:val="clear" w:color="auto" w:fill="DDEBF7"/>
          </w:tcPr>
          <w:p>
            <w:r>
              <w:rPr>
                <w:rFonts w:ascii="Meiryo UI" w:hAnsi="Meiryo UI"/>
                <w:sz w:val="18"/>
              </w:rPr>
              <w:t>+4.3%</w:t>
            </w:r>
          </w:p>
        </w:tc>
      </w:tr>
      <w:tr>
        <w:tc>
          <w:tcPr>
            <w:tcW w:type="dxa" w:w="2351"/>
          </w:tcPr>
          <w:p>
            <w:r>
              <w:rPr>
                <w:rFonts w:ascii="Meiryo UI" w:hAnsi="Meiryo UI"/>
                <w:sz w:val="18"/>
              </w:rPr>
              <w:t>営業利益率</w:t>
            </w:r>
          </w:p>
        </w:tc>
        <w:tc>
          <w:tcPr>
            <w:tcW w:type="dxa" w:w="2351"/>
          </w:tcPr>
          <w:p>
            <w:r>
              <w:rPr>
                <w:rFonts w:ascii="Meiryo UI" w:hAnsi="Meiryo UI"/>
                <w:sz w:val="18"/>
              </w:rPr>
              <w:t>4.8%</w:t>
            </w:r>
          </w:p>
        </w:tc>
        <w:tc>
          <w:tcPr>
            <w:tcW w:type="dxa" w:w="2351"/>
          </w:tcPr>
          <w:p>
            <w:r>
              <w:rPr>
                <w:rFonts w:ascii="Meiryo UI" w:hAnsi="Meiryo UI"/>
                <w:sz w:val="18"/>
              </w:rPr>
              <w:t>4.6%</w:t>
            </w:r>
          </w:p>
        </w:tc>
        <w:tc>
          <w:tcPr>
            <w:tcW w:type="dxa" w:w="2351"/>
          </w:tcPr>
          <w:p>
            <w:r>
              <w:rPr>
                <w:rFonts w:ascii="Meiryo UI" w:hAnsi="Meiryo UI"/>
                <w:sz w:val="18"/>
              </w:rPr>
              <w:t>▲0.2pt</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¥73.15億</w:t>
            </w:r>
          </w:p>
        </w:tc>
        <w:tc>
          <w:tcPr>
            <w:tcW w:type="dxa" w:w="2351"/>
            <w:shd w:val="clear" w:color="auto" w:fill="DDEBF7"/>
          </w:tcPr>
          <w:p>
            <w:r>
              <w:rPr>
                <w:rFonts w:ascii="Meiryo UI" w:hAnsi="Meiryo UI"/>
                <w:sz w:val="18"/>
              </w:rPr>
              <w:t>¥79.17億</w:t>
            </w:r>
          </w:p>
        </w:tc>
        <w:tc>
          <w:tcPr>
            <w:tcW w:type="dxa" w:w="2351"/>
            <w:shd w:val="clear" w:color="auto" w:fill="DDEBF7"/>
          </w:tcPr>
          <w:p>
            <w:r>
              <w:rPr>
                <w:rFonts w:ascii="Meiryo UI" w:hAnsi="Meiryo UI"/>
                <w:sz w:val="18"/>
              </w:rPr>
              <w:t>+8.2%</w:t>
            </w:r>
          </w:p>
        </w:tc>
      </w:tr>
      <w:tr>
        <w:tc>
          <w:tcPr>
            <w:tcW w:type="dxa" w:w="2351"/>
          </w:tcPr>
          <w:p>
            <w:r>
              <w:rPr>
                <w:rFonts w:ascii="Meiryo UI" w:hAnsi="Meiryo UI"/>
                <w:sz w:val="18"/>
              </w:rPr>
              <w:t>純利益</w:t>
            </w:r>
          </w:p>
        </w:tc>
        <w:tc>
          <w:tcPr>
            <w:tcW w:type="dxa" w:w="2351"/>
          </w:tcPr>
          <w:p>
            <w:r>
              <w:rPr>
                <w:rFonts w:ascii="Meiryo UI" w:hAnsi="Meiryo UI"/>
                <w:sz w:val="18"/>
              </w:rPr>
              <w:t>¥59.26億</w:t>
            </w:r>
          </w:p>
        </w:tc>
        <w:tc>
          <w:tcPr>
            <w:tcW w:type="dxa" w:w="2351"/>
          </w:tcPr>
          <w:p>
            <w:r>
              <w:rPr>
                <w:rFonts w:ascii="Meiryo UI" w:hAnsi="Meiryo UI"/>
                <w:sz w:val="18"/>
              </w:rPr>
              <w:t>¥56.60億</w:t>
            </w:r>
          </w:p>
        </w:tc>
        <w:tc>
          <w:tcPr>
            <w:tcW w:type="dxa" w:w="2351"/>
          </w:tcPr>
          <w:p>
            <w:r>
              <w:rPr>
                <w:rFonts w:ascii="Meiryo UI" w:hAnsi="Meiryo UI"/>
                <w:sz w:val="18"/>
              </w:rPr>
              <w:t>▲4.5%</w:t>
            </w:r>
          </w:p>
        </w:tc>
      </w:tr>
      <w:tr>
        <w:tc>
          <w:tcPr>
            <w:tcW w:type="dxa" w:w="2351"/>
            <w:shd w:val="clear" w:color="auto" w:fill="DDEBF7"/>
          </w:tcPr>
          <w:p>
            <w:r>
              <w:rPr>
                <w:rFonts w:ascii="Meiryo UI" w:hAnsi="Meiryo UI"/>
                <w:sz w:val="18"/>
              </w:rPr>
              <w:t>EPS（分割後）</w:t>
            </w:r>
          </w:p>
        </w:tc>
        <w:tc>
          <w:tcPr>
            <w:tcW w:type="dxa" w:w="2351"/>
            <w:shd w:val="clear" w:color="auto" w:fill="DDEBF7"/>
          </w:tcPr>
          <w:p>
            <w:r>
              <w:rPr>
                <w:rFonts w:ascii="Meiryo UI" w:hAnsi="Meiryo UI"/>
                <w:sz w:val="18"/>
              </w:rPr>
              <w:t>¥60.20</w:t>
            </w:r>
          </w:p>
        </w:tc>
        <w:tc>
          <w:tcPr>
            <w:tcW w:type="dxa" w:w="2351"/>
            <w:shd w:val="clear" w:color="auto" w:fill="DDEBF7"/>
          </w:tcPr>
          <w:p>
            <w:r>
              <w:rPr>
                <w:rFonts w:ascii="Meiryo UI" w:hAnsi="Meiryo UI"/>
                <w:sz w:val="18"/>
              </w:rPr>
              <w:t>¥57.48</w:t>
            </w:r>
          </w:p>
        </w:tc>
        <w:tc>
          <w:tcPr>
            <w:tcW w:type="dxa" w:w="2351"/>
            <w:shd w:val="clear" w:color="auto" w:fill="DDEBF7"/>
          </w:tcPr>
          <w:p>
            <w:r>
              <w:rPr>
                <w:rFonts w:ascii="Meiryo UI" w:hAnsi="Meiryo UI"/>
                <w:sz w:val="18"/>
              </w:rPr>
              <w:t>▲4.5%</w:t>
            </w:r>
          </w:p>
        </w:tc>
      </w:tr>
      <w:tr>
        <w:tc>
          <w:tcPr>
            <w:tcW w:type="dxa" w:w="2351"/>
          </w:tcPr>
          <w:p>
            <w:r>
              <w:rPr>
                <w:rFonts w:ascii="Meiryo UI" w:hAnsi="Meiryo UI"/>
                <w:sz w:val="18"/>
              </w:rPr>
              <w:t>発行済株式数（分割後）</w:t>
            </w:r>
          </w:p>
        </w:tc>
        <w:tc>
          <w:tcPr>
            <w:tcW w:type="dxa" w:w="2351"/>
          </w:tcPr>
          <w:p>
            <w:r>
              <w:rPr>
                <w:rFonts w:ascii="Meiryo UI" w:hAnsi="Meiryo UI"/>
                <w:sz w:val="18"/>
              </w:rPr>
              <w:t>—</w:t>
            </w:r>
          </w:p>
        </w:tc>
        <w:tc>
          <w:tcPr>
            <w:tcW w:type="dxa" w:w="2351"/>
          </w:tcPr>
          <w:p>
            <w:r>
              <w:rPr>
                <w:rFonts w:ascii="Meiryo UI" w:hAnsi="Meiryo UI"/>
                <w:sz w:val="18"/>
              </w:rPr>
              <w:t>9,972万株</w:t>
            </w:r>
          </w:p>
        </w:tc>
        <w:tc>
          <w:tcPr>
            <w:tcW w:type="dxa" w:w="2351"/>
          </w:tcPr>
          <w:p>
            <w:r>
              <w:rPr>
                <w:rFonts w:ascii="Meiryo UI" w:hAnsi="Meiryo UI"/>
                <w:sz w:val="18"/>
              </w:rPr>
              <w:t>—</w:t>
            </w:r>
          </w:p>
        </w:tc>
      </w:tr>
    </w:tbl>
    <w:p/>
    <w:p>
      <w:pPr>
        <w:pStyle w:val="Heading3"/>
      </w:pPr>
      <w:r>
        <w:rPr>
          <w:rFonts w:ascii="Meiryo UI" w:hAnsi="Meiryo UI"/>
          <w:color w:val="2E74B5"/>
        </w:rPr>
        <w:t>FY2026 会社ガイダンス（2026/02/16開示）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予想値</w:t>
            </w:r>
          </w:p>
        </w:tc>
        <w:tc>
          <w:tcPr>
            <w:tcW w:type="dxa" w:w="3135"/>
            <w:shd w:val="clear" w:color="auto" w:fill="2E74B5"/>
          </w:tcPr>
          <w:p>
            <w:r>
              <w:rPr>
                <w:rFonts w:ascii="Meiryo UI" w:hAnsi="Meiryo UI"/>
                <w:b/>
                <w:color w:val="FFFFFF"/>
                <w:sz w:val="18"/>
              </w:rPr>
              <w:t>FY2025比</w:t>
            </w:r>
          </w:p>
        </w:tc>
      </w:tr>
      <w:tr>
        <w:tc>
          <w:tcPr>
            <w:tcW w:type="dxa" w:w="3135"/>
          </w:tcPr>
          <w:p>
            <w:r>
              <w:rPr>
                <w:rFonts w:ascii="Meiryo UI" w:hAnsi="Meiryo UI"/>
                <w:sz w:val="18"/>
              </w:rPr>
              <w:t>売上高</w:t>
            </w:r>
          </w:p>
        </w:tc>
        <w:tc>
          <w:tcPr>
            <w:tcW w:type="dxa" w:w="3135"/>
          </w:tcPr>
          <w:p>
            <w:r>
              <w:rPr>
                <w:rFonts w:ascii="Meiryo UI" w:hAnsi="Meiryo UI"/>
                <w:sz w:val="18"/>
              </w:rPr>
              <w:t>¥1,748億</w:t>
            </w:r>
          </w:p>
        </w:tc>
        <w:tc>
          <w:tcPr>
            <w:tcW w:type="dxa" w:w="3135"/>
          </w:tcPr>
          <w:p>
            <w:r>
              <w:rPr>
                <w:rFonts w:ascii="Meiryo UI" w:hAnsi="Meiryo UI"/>
                <w:sz w:val="18"/>
              </w:rPr>
              <w:t>+5.6%</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¥89.5億</w:t>
            </w:r>
          </w:p>
        </w:tc>
        <w:tc>
          <w:tcPr>
            <w:tcW w:type="dxa" w:w="3135"/>
            <w:shd w:val="clear" w:color="auto" w:fill="DDEBF7"/>
          </w:tcPr>
          <w:p>
            <w:r>
              <w:rPr>
                <w:rFonts w:ascii="Meiryo UI" w:hAnsi="Meiryo UI"/>
                <w:sz w:val="18"/>
              </w:rPr>
              <w:t>+16.4%</w:t>
            </w:r>
          </w:p>
        </w:tc>
      </w:tr>
      <w:tr>
        <w:tc>
          <w:tcPr>
            <w:tcW w:type="dxa" w:w="3135"/>
          </w:tcPr>
          <w:p>
            <w:r>
              <w:rPr>
                <w:rFonts w:ascii="Meiryo UI" w:hAnsi="Meiryo UI"/>
                <w:sz w:val="18"/>
              </w:rPr>
              <w:t>経常利益</w:t>
            </w:r>
          </w:p>
        </w:tc>
        <w:tc>
          <w:tcPr>
            <w:tcW w:type="dxa" w:w="3135"/>
          </w:tcPr>
          <w:p>
            <w:r>
              <w:rPr>
                <w:rFonts w:ascii="Meiryo UI" w:hAnsi="Meiryo UI"/>
                <w:sz w:val="18"/>
              </w:rPr>
              <w:t>¥88億</w:t>
            </w:r>
          </w:p>
        </w:tc>
        <w:tc>
          <w:tcPr>
            <w:tcW w:type="dxa" w:w="3135"/>
          </w:tcPr>
          <w:p>
            <w:r>
              <w:rPr>
                <w:rFonts w:ascii="Meiryo UI" w:hAnsi="Meiryo UI"/>
                <w:sz w:val="18"/>
              </w:rPr>
              <w:t>+11.1%</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¥57億</w:t>
            </w:r>
          </w:p>
        </w:tc>
        <w:tc>
          <w:tcPr>
            <w:tcW w:type="dxa" w:w="3135"/>
            <w:shd w:val="clear" w:color="auto" w:fill="DDEBF7"/>
          </w:tcPr>
          <w:p>
            <w:r>
              <w:rPr>
                <w:rFonts w:ascii="Meiryo UI" w:hAnsi="Meiryo UI"/>
                <w:sz w:val="18"/>
              </w:rPr>
              <w:t>+0.7%</w:t>
            </w:r>
          </w:p>
        </w:tc>
      </w:tr>
      <w:tr>
        <w:tc>
          <w:tcPr>
            <w:tcW w:type="dxa" w:w="3135"/>
          </w:tcPr>
          <w:p>
            <w:r>
              <w:rPr>
                <w:rFonts w:ascii="Meiryo UI" w:hAnsi="Meiryo UI"/>
                <w:sz w:val="18"/>
              </w:rPr>
              <w:t>EPS（予想）</w:t>
            </w:r>
          </w:p>
        </w:tc>
        <w:tc>
          <w:tcPr>
            <w:tcW w:type="dxa" w:w="3135"/>
          </w:tcPr>
          <w:p>
            <w:r>
              <w:rPr>
                <w:rFonts w:ascii="Meiryo UI" w:hAnsi="Meiryo UI"/>
                <w:sz w:val="18"/>
              </w:rPr>
              <w:t>¥57.87</w:t>
            </w:r>
          </w:p>
        </w:tc>
        <w:tc>
          <w:tcPr>
            <w:tcW w:type="dxa" w:w="3135"/>
          </w:tcPr>
          <w:p>
            <w:r>
              <w:rPr>
                <w:rFonts w:ascii="Meiryo UI" w:hAnsi="Meiryo UI"/>
                <w:sz w:val="18"/>
              </w:rPr>
              <w:t>+0.7%</w:t>
            </w:r>
          </w:p>
        </w:tc>
      </w:tr>
    </w:tbl>
    <w:p/>
    <w:p>
      <w:r>
        <w:rPr>
          <w:rFonts w:ascii="Meiryo UI" w:hAnsi="Meiryo UI"/>
          <w:sz w:val="20"/>
        </w:rPr>
        <w:t>&gt; ⚠️ このガイダンスは2026/02/16設定。UAゼンセン春闘妥結（3〜4月）前の数値。賃上げサプライズ分が未織込みである可能性を考慮する必要がある。</w:t>
      </w:r>
    </w:p>
    <w:p/>
    <w:p>
      <w:pPr>
        <w:pStyle w:val="Heading3"/>
      </w:pPr>
      <w:r>
        <w:rPr>
          <w:rFonts w:ascii="Meiryo UI" w:hAnsi="Meiryo UI"/>
          <w:color w:val="2E74B5"/>
        </w:rPr>
        <w:t>セグメント別業績（FY2025、経常利益ベース）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売上高</w:t>
            </w:r>
          </w:p>
        </w:tc>
        <w:tc>
          <w:tcPr>
            <w:tcW w:type="dxa" w:w="2351"/>
            <w:shd w:val="clear" w:color="auto" w:fill="2E74B5"/>
          </w:tcPr>
          <w:p>
            <w:r>
              <w:rPr>
                <w:rFonts w:ascii="Meiryo UI" w:hAnsi="Meiryo UI"/>
                <w:b/>
                <w:color w:val="FFFFFF"/>
                <w:sz w:val="18"/>
              </w:rPr>
              <w:t>セグメント利益</w:t>
            </w:r>
          </w:p>
        </w:tc>
        <w:tc>
          <w:tcPr>
            <w:tcW w:type="dxa" w:w="2351"/>
            <w:shd w:val="clear" w:color="auto" w:fill="2E74B5"/>
          </w:tcPr>
          <w:p>
            <w:r>
              <w:rPr>
                <w:rFonts w:ascii="Meiryo UI" w:hAnsi="Meiryo UI"/>
                <w:b/>
                <w:color w:val="FFFFFF"/>
                <w:sz w:val="18"/>
              </w:rPr>
              <w:t>前期比（利益）</w:t>
            </w:r>
          </w:p>
        </w:tc>
      </w:tr>
      <w:tr>
        <w:tc>
          <w:tcPr>
            <w:tcW w:type="dxa" w:w="2351"/>
          </w:tcPr>
          <w:p>
            <w:r>
              <w:rPr>
                <w:rFonts w:ascii="Meiryo UI" w:hAnsi="Meiryo UI"/>
                <w:sz w:val="18"/>
              </w:rPr>
              <w:t>外食事業</w:t>
            </w:r>
          </w:p>
        </w:tc>
        <w:tc>
          <w:tcPr>
            <w:tcW w:type="dxa" w:w="2351"/>
          </w:tcPr>
          <w:p>
            <w:r>
              <w:rPr>
                <w:rFonts w:ascii="Meiryo UI" w:hAnsi="Meiryo UI"/>
                <w:sz w:val="18"/>
              </w:rPr>
              <w:t>¥659.51億</w:t>
            </w:r>
          </w:p>
        </w:tc>
        <w:tc>
          <w:tcPr>
            <w:tcW w:type="dxa" w:w="2351"/>
          </w:tcPr>
          <w:p>
            <w:r>
              <w:rPr>
                <w:rFonts w:ascii="Meiryo UI" w:hAnsi="Meiryo UI"/>
                <w:sz w:val="18"/>
              </w:rPr>
              <w:t>¥23.37億</w:t>
            </w:r>
          </w:p>
        </w:tc>
        <w:tc>
          <w:tcPr>
            <w:tcW w:type="dxa" w:w="2351"/>
          </w:tcPr>
          <w:p>
            <w:r>
              <w:rPr>
                <w:rFonts w:ascii="Meiryo UI" w:hAnsi="Meiryo UI"/>
                <w:sz w:val="18"/>
              </w:rPr>
              <w:t>▲26.9%</w:t>
            </w:r>
          </w:p>
        </w:tc>
      </w:tr>
      <w:tr>
        <w:tc>
          <w:tcPr>
            <w:tcW w:type="dxa" w:w="2351"/>
            <w:shd w:val="clear" w:color="auto" w:fill="DDEBF7"/>
          </w:tcPr>
          <w:p>
            <w:r>
              <w:rPr>
                <w:rFonts w:ascii="Meiryo UI" w:hAnsi="Meiryo UI"/>
                <w:sz w:val="18"/>
              </w:rPr>
              <w:t>ロイヤルホスト</w:t>
            </w:r>
          </w:p>
        </w:tc>
        <w:tc>
          <w:tcPr>
            <w:tcW w:type="dxa" w:w="2351"/>
            <w:shd w:val="clear" w:color="auto" w:fill="DDEBF7"/>
          </w:tcPr>
          <w:p>
            <w:r>
              <w:rPr>
                <w:rFonts w:ascii="Meiryo UI" w:hAnsi="Meiryo UI"/>
                <w:sz w:val="18"/>
              </w:rPr>
              <w:t>¥433.98億</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天丼てんや</w:t>
            </w:r>
          </w:p>
        </w:tc>
        <w:tc>
          <w:tcPr>
            <w:tcW w:type="dxa" w:w="2351"/>
          </w:tcPr>
          <w:p>
            <w:r>
              <w:rPr>
                <w:rFonts w:ascii="Meiryo UI" w:hAnsi="Meiryo UI"/>
                <w:sz w:val="18"/>
              </w:rPr>
              <w:t>¥121.97億</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コントラクト事業</w:t>
            </w:r>
          </w:p>
        </w:tc>
        <w:tc>
          <w:tcPr>
            <w:tcW w:type="dxa" w:w="2351"/>
            <w:shd w:val="clear" w:color="auto" w:fill="DDEBF7"/>
          </w:tcPr>
          <w:p>
            <w:r>
              <w:rPr>
                <w:rFonts w:ascii="Meiryo UI" w:hAnsi="Meiryo UI"/>
                <w:sz w:val="18"/>
              </w:rPr>
              <w:t>¥529.15億</w:t>
            </w:r>
          </w:p>
        </w:tc>
        <w:tc>
          <w:tcPr>
            <w:tcW w:type="dxa" w:w="2351"/>
            <w:shd w:val="clear" w:color="auto" w:fill="DDEBF7"/>
          </w:tcPr>
          <w:p>
            <w:r>
              <w:rPr>
                <w:rFonts w:ascii="Meiryo UI" w:hAnsi="Meiryo UI"/>
                <w:sz w:val="18"/>
              </w:rPr>
              <w:t>¥26.56億</w:t>
            </w:r>
          </w:p>
        </w:tc>
        <w:tc>
          <w:tcPr>
            <w:tcW w:type="dxa" w:w="2351"/>
            <w:shd w:val="clear" w:color="auto" w:fill="DDEBF7"/>
          </w:tcPr>
          <w:p>
            <w:r>
              <w:rPr>
                <w:rFonts w:ascii="Meiryo UI" w:hAnsi="Meiryo UI"/>
                <w:sz w:val="18"/>
              </w:rPr>
              <w:t>▲3.3%</w:t>
            </w:r>
          </w:p>
        </w:tc>
      </w:tr>
      <w:tr>
        <w:tc>
          <w:tcPr>
            <w:tcW w:type="dxa" w:w="2351"/>
          </w:tcPr>
          <w:p>
            <w:r>
              <w:rPr>
                <w:rFonts w:ascii="Meiryo UI" w:hAnsi="Meiryo UI"/>
                <w:sz w:val="18"/>
              </w:rPr>
              <w:t>空港ターミナル</w:t>
            </w:r>
          </w:p>
        </w:tc>
        <w:tc>
          <w:tcPr>
            <w:tcW w:type="dxa" w:w="2351"/>
          </w:tcPr>
          <w:p>
            <w:r>
              <w:rPr>
                <w:rFonts w:ascii="Meiryo UI" w:hAnsi="Meiryo UI"/>
                <w:sz w:val="18"/>
              </w:rPr>
              <w:t>¥117.95億</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高速道路</w:t>
            </w:r>
          </w:p>
        </w:tc>
        <w:tc>
          <w:tcPr>
            <w:tcW w:type="dxa" w:w="2351"/>
            <w:shd w:val="clear" w:color="auto" w:fill="DDEBF7"/>
          </w:tcPr>
          <w:p>
            <w:r>
              <w:rPr>
                <w:rFonts w:ascii="Meiryo UI" w:hAnsi="Meiryo UI"/>
                <w:sz w:val="18"/>
              </w:rPr>
              <w:t>¥251.87億</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ホテル事業</w:t>
            </w:r>
          </w:p>
        </w:tc>
        <w:tc>
          <w:tcPr>
            <w:tcW w:type="dxa" w:w="2351"/>
          </w:tcPr>
          <w:p>
            <w:r>
              <w:rPr>
                <w:rFonts w:ascii="Meiryo UI" w:hAnsi="Meiryo UI"/>
                <w:sz w:val="18"/>
              </w:rPr>
              <w:t>¥412.66億</w:t>
            </w:r>
          </w:p>
        </w:tc>
        <w:tc>
          <w:tcPr>
            <w:tcW w:type="dxa" w:w="2351"/>
          </w:tcPr>
          <w:p>
            <w:r>
              <w:rPr>
                <w:rFonts w:ascii="Meiryo UI" w:hAnsi="Meiryo UI"/>
                <w:sz w:val="18"/>
              </w:rPr>
              <w:t>¥68.49億</w:t>
            </w:r>
          </w:p>
        </w:tc>
        <w:tc>
          <w:tcPr>
            <w:tcW w:type="dxa" w:w="2351"/>
          </w:tcPr>
          <w:p>
            <w:r>
              <w:rPr>
                <w:rFonts w:ascii="Meiryo UI" w:hAnsi="Meiryo UI"/>
                <w:sz w:val="18"/>
              </w:rPr>
              <w:t>+26.3%</w:t>
            </w:r>
          </w:p>
        </w:tc>
      </w:tr>
      <w:tr>
        <w:tc>
          <w:tcPr>
            <w:tcW w:type="dxa" w:w="2351"/>
            <w:shd w:val="clear" w:color="auto" w:fill="DDEBF7"/>
          </w:tcPr>
          <w:p>
            <w:r>
              <w:rPr>
                <w:rFonts w:ascii="Meiryo UI" w:hAnsi="Meiryo UI"/>
                <w:sz w:val="18"/>
              </w:rPr>
              <w:t>食品事業</w:t>
            </w:r>
          </w:p>
        </w:tc>
        <w:tc>
          <w:tcPr>
            <w:tcW w:type="dxa" w:w="2351"/>
            <w:shd w:val="clear" w:color="auto" w:fill="DDEBF7"/>
          </w:tcPr>
          <w:p>
            <w:r>
              <w:rPr>
                <w:rFonts w:ascii="Meiryo UI" w:hAnsi="Meiryo UI"/>
                <w:sz w:val="18"/>
              </w:rPr>
              <w:t>¥50.45億</w:t>
            </w:r>
          </w:p>
        </w:tc>
        <w:tc>
          <w:tcPr>
            <w:tcW w:type="dxa" w:w="2351"/>
            <w:shd w:val="clear" w:color="auto" w:fill="DDEBF7"/>
          </w:tcPr>
          <w:p>
            <w:r>
              <w:rPr>
                <w:rFonts w:ascii="Meiryo UI" w:hAnsi="Meiryo UI"/>
                <w:sz w:val="18"/>
              </w:rPr>
              <w:t>¥4.52億</w:t>
            </w:r>
          </w:p>
        </w:tc>
        <w:tc>
          <w:tcPr>
            <w:tcW w:type="dxa" w:w="2351"/>
            <w:shd w:val="clear" w:color="auto" w:fill="DDEBF7"/>
          </w:tcPr>
          <w:p>
            <w:r>
              <w:rPr>
                <w:rFonts w:ascii="Meiryo UI" w:hAnsi="Meiryo UI"/>
                <w:sz w:val="18"/>
              </w:rPr>
              <w:t>+322%</w:t>
            </w:r>
          </w:p>
        </w:tc>
      </w:tr>
    </w:tbl>
    <w:p/>
    <w:p>
      <w:r>
        <w:rPr>
          <w:rFonts w:ascii="Meiryo UI" w:hAnsi="Meiryo UI"/>
          <w:sz w:val="20"/>
        </w:rPr>
        <w:t>核心：ホテル事業がグループ利益の86%を稼いでいる。外食事業とコントラクト事業は合計¥49.9億利益だが調整額▲¥53.5億で相殺。外食のコスト圧迫は実態として深刻。</w:t>
      </w:r>
    </w:p>
    <w:p/>
    <w:p>
      <w:pPr>
        <w:pStyle w:val="Heading3"/>
      </w:pPr>
      <w:r>
        <w:rPr>
          <w:rFonts w:ascii="Meiryo UI" w:hAnsi="Meiryo UI"/>
          <w:color w:val="2E74B5"/>
        </w:rPr>
        <w:t>既存店月次（2026年）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月</w:t>
            </w:r>
          </w:p>
        </w:tc>
        <w:tc>
          <w:tcPr>
            <w:tcW w:type="dxa" w:w="3135"/>
            <w:shd w:val="clear" w:color="auto" w:fill="2E74B5"/>
          </w:tcPr>
          <w:p>
            <w:r>
              <w:rPr>
                <w:rFonts w:ascii="Meiryo UI" w:hAnsi="Meiryo UI"/>
                <w:b/>
                <w:color w:val="FFFFFF"/>
                <w:sz w:val="18"/>
              </w:rPr>
              <w:t>ロイヤルホスト</w:t>
            </w:r>
          </w:p>
        </w:tc>
        <w:tc>
          <w:tcPr>
            <w:tcW w:type="dxa" w:w="3135"/>
            <w:shd w:val="clear" w:color="auto" w:fill="2E74B5"/>
          </w:tcPr>
          <w:p>
            <w:r>
              <w:rPr>
                <w:rFonts w:ascii="Meiryo UI" w:hAnsi="Meiryo UI"/>
                <w:b/>
                <w:color w:val="FFFFFF"/>
                <w:sz w:val="18"/>
              </w:rPr>
              <w:t>てんや</w:t>
            </w:r>
          </w:p>
        </w:tc>
      </w:tr>
      <w:tr>
        <w:tc>
          <w:tcPr>
            <w:tcW w:type="dxa" w:w="3135"/>
          </w:tcPr>
          <w:p>
            <w:r>
              <w:rPr>
                <w:rFonts w:ascii="Meiryo UI" w:hAnsi="Meiryo UI"/>
                <w:sz w:val="18"/>
              </w:rPr>
            </w:r>
          </w:p>
        </w:tc>
        <w:tc>
          <w:tcPr>
            <w:tcW w:type="dxa" w:w="3135"/>
          </w:tcPr>
          <w:p>
            <w:r>
              <w:rPr>
                <w:rFonts w:ascii="Meiryo UI" w:hAnsi="Meiryo UI"/>
                <w:sz w:val="18"/>
              </w:rPr>
              <w:t>売上/客数/客単価</w:t>
            </w:r>
          </w:p>
        </w:tc>
        <w:tc>
          <w:tcPr>
            <w:tcW w:type="dxa" w:w="3135"/>
          </w:tcPr>
          <w:p>
            <w:r>
              <w:rPr>
                <w:rFonts w:ascii="Meiryo UI" w:hAnsi="Meiryo UI"/>
                <w:sz w:val="18"/>
              </w:rPr>
              <w:t>売上/客数/客単価</w:t>
            </w:r>
          </w:p>
        </w:tc>
      </w:tr>
      <w:tr>
        <w:tc>
          <w:tcPr>
            <w:tcW w:type="dxa" w:w="3135"/>
            <w:shd w:val="clear" w:color="auto" w:fill="DDEBF7"/>
          </w:tcPr>
          <w:p>
            <w:r>
              <w:rPr>
                <w:rFonts w:ascii="Meiryo UI" w:hAnsi="Meiryo UI"/>
                <w:sz w:val="18"/>
              </w:rPr>
              <w:t>1月</w:t>
            </w:r>
          </w:p>
        </w:tc>
        <w:tc>
          <w:tcPr>
            <w:tcW w:type="dxa" w:w="3135"/>
            <w:shd w:val="clear" w:color="auto" w:fill="DDEBF7"/>
          </w:tcPr>
          <w:p>
            <w:r>
              <w:rPr>
                <w:rFonts w:ascii="Meiryo UI" w:hAnsi="Meiryo UI"/>
                <w:sz w:val="18"/>
              </w:rPr>
              <w:t>+6.5% / +0.1% / +6.4%</w:t>
            </w:r>
          </w:p>
        </w:tc>
        <w:tc>
          <w:tcPr>
            <w:tcW w:type="dxa" w:w="3135"/>
            <w:shd w:val="clear" w:color="auto" w:fill="DDEBF7"/>
          </w:tcPr>
          <w:p>
            <w:r>
              <w:rPr>
                <w:rFonts w:ascii="Meiryo UI" w:hAnsi="Meiryo UI"/>
                <w:sz w:val="18"/>
              </w:rPr>
              <w:t>+6.2% / ▲5.9% / +12.9%</w:t>
            </w:r>
          </w:p>
        </w:tc>
      </w:tr>
      <w:tr>
        <w:tc>
          <w:tcPr>
            <w:tcW w:type="dxa" w:w="3135"/>
          </w:tcPr>
          <w:p>
            <w:r>
              <w:rPr>
                <w:rFonts w:ascii="Meiryo UI" w:hAnsi="Meiryo UI"/>
                <w:sz w:val="18"/>
              </w:rPr>
              <w:t>2月</w:t>
            </w:r>
          </w:p>
        </w:tc>
        <w:tc>
          <w:tcPr>
            <w:tcW w:type="dxa" w:w="3135"/>
          </w:tcPr>
          <w:p>
            <w:r>
              <w:rPr>
                <w:rFonts w:ascii="Meiryo UI" w:hAnsi="Meiryo UI"/>
                <w:sz w:val="18"/>
              </w:rPr>
              <w:t>+4.3% / ▲1.1% / +5.5%</w:t>
            </w:r>
          </w:p>
        </w:tc>
        <w:tc>
          <w:tcPr>
            <w:tcW w:type="dxa" w:w="3135"/>
          </w:tcPr>
          <w:p>
            <w:r>
              <w:rPr>
                <w:rFonts w:ascii="Meiryo UI" w:hAnsi="Meiryo UI"/>
                <w:sz w:val="18"/>
              </w:rPr>
              <w:t>+5.6% / ▲2.4% / +8.2%</w:t>
            </w:r>
          </w:p>
        </w:tc>
      </w:tr>
      <w:tr>
        <w:tc>
          <w:tcPr>
            <w:tcW w:type="dxa" w:w="3135"/>
            <w:shd w:val="clear" w:color="auto" w:fill="DDEBF7"/>
          </w:tcPr>
          <w:p>
            <w:r>
              <w:rPr>
                <w:rFonts w:ascii="Meiryo UI" w:hAnsi="Meiryo UI"/>
                <w:sz w:val="18"/>
              </w:rPr>
              <w:t>3月</w:t>
            </w:r>
          </w:p>
        </w:tc>
        <w:tc>
          <w:tcPr>
            <w:tcW w:type="dxa" w:w="3135"/>
            <w:shd w:val="clear" w:color="auto" w:fill="DDEBF7"/>
          </w:tcPr>
          <w:p>
            <w:r>
              <w:rPr>
                <w:rFonts w:ascii="Meiryo UI" w:hAnsi="Meiryo UI"/>
                <w:sz w:val="18"/>
              </w:rPr>
              <w:t>+4.4% / ▲1.3% / +5.7%</w:t>
            </w:r>
          </w:p>
        </w:tc>
        <w:tc>
          <w:tcPr>
            <w:tcW w:type="dxa" w:w="3135"/>
            <w:shd w:val="clear" w:color="auto" w:fill="DDEBF7"/>
          </w:tcPr>
          <w:p>
            <w:r>
              <w:rPr>
                <w:rFonts w:ascii="Meiryo UI" w:hAnsi="Meiryo UI"/>
                <w:sz w:val="18"/>
              </w:rPr>
              <w:t>+6.6% / +0.1% / +6.5%</w:t>
            </w:r>
          </w:p>
        </w:tc>
      </w:tr>
    </w:tbl>
    <w:p/>
    <w:p>
      <w:r>
        <w:rPr>
          <w:rFonts w:ascii="Meiryo UI" w:hAnsi="Meiryo UI"/>
          <w:sz w:val="20"/>
        </w:rPr>
        <w:t>てんやの客単価が12.9%上昇しているのに客数▲5.9%は値上げ限界の証拠。ロイヤルホストは来客数微減でも売上増を維持。</w:t>
      </w:r>
    </w:p>
    <w:p/>
    <w:p>
      <w:pPr>
        <w:pStyle w:val="Heading3"/>
      </w:pPr>
      <w:r>
        <w:rPr>
          <w:rFonts w:ascii="Meiryo UI" w:hAnsi="Meiryo UI"/>
          <w:color w:val="2E74B5"/>
        </w:rPr>
        <w:t>財務体質</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FY2025</w:t>
            </w:r>
          </w:p>
        </w:tc>
      </w:tr>
      <w:tr>
        <w:tc>
          <w:tcPr>
            <w:tcW w:type="dxa" w:w="4703"/>
          </w:tcPr>
          <w:p>
            <w:r>
              <w:rPr>
                <w:rFonts w:ascii="Meiryo UI" w:hAnsi="Meiryo UI"/>
                <w:sz w:val="18"/>
              </w:rPr>
              <w:t>借入金合計</w:t>
            </w:r>
          </w:p>
        </w:tc>
        <w:tc>
          <w:tcPr>
            <w:tcW w:type="dxa" w:w="4703"/>
          </w:tcPr>
          <w:p>
            <w:r>
              <w:rPr>
                <w:rFonts w:ascii="Meiryo UI" w:hAnsi="Meiryo UI"/>
                <w:sz w:val="18"/>
              </w:rPr>
              <w:t>¥265億</w:t>
            </w:r>
          </w:p>
        </w:tc>
      </w:tr>
      <w:tr>
        <w:tc>
          <w:tcPr>
            <w:tcW w:type="dxa" w:w="4703"/>
            <w:shd w:val="clear" w:color="auto" w:fill="DDEBF7"/>
          </w:tcPr>
          <w:p>
            <w:r>
              <w:rPr>
                <w:rFonts w:ascii="Meiryo UI" w:hAnsi="Meiryo UI"/>
                <w:sz w:val="18"/>
              </w:rPr>
              <w:t>リース債務（IFRS16相当）</w:t>
            </w:r>
          </w:p>
        </w:tc>
        <w:tc>
          <w:tcPr>
            <w:tcW w:type="dxa" w:w="4703"/>
            <w:shd w:val="clear" w:color="auto" w:fill="DDEBF7"/>
          </w:tcPr>
          <w:p>
            <w:r>
              <w:rPr>
                <w:rFonts w:ascii="Meiryo UI" w:hAnsi="Meiryo UI"/>
                <w:sz w:val="18"/>
              </w:rPr>
              <w:t>¥269.63億</w:t>
            </w:r>
          </w:p>
        </w:tc>
      </w:tr>
      <w:tr>
        <w:tc>
          <w:tcPr>
            <w:tcW w:type="dxa" w:w="4703"/>
          </w:tcPr>
          <w:p>
            <w:r>
              <w:rPr>
                <w:rFonts w:ascii="Meiryo UI" w:hAnsi="Meiryo UI"/>
                <w:sz w:val="18"/>
              </w:rPr>
              <w:t>現金</w:t>
            </w:r>
          </w:p>
        </w:tc>
        <w:tc>
          <w:tcPr>
            <w:tcW w:type="dxa" w:w="4703"/>
          </w:tcPr>
          <w:p>
            <w:r>
              <w:rPr>
                <w:rFonts w:ascii="Meiryo UI" w:hAnsi="Meiryo UI"/>
                <w:sz w:val="18"/>
              </w:rPr>
              <w:t>¥195.66億</w:t>
            </w:r>
          </w:p>
        </w:tc>
      </w:tr>
      <w:tr>
        <w:tc>
          <w:tcPr>
            <w:tcW w:type="dxa" w:w="4703"/>
            <w:shd w:val="clear" w:color="auto" w:fill="DDEBF7"/>
          </w:tcPr>
          <w:p>
            <w:r>
              <w:rPr>
                <w:rFonts w:ascii="Meiryo UI" w:hAnsi="Meiryo UI"/>
                <w:sz w:val="18"/>
              </w:rPr>
              <w:t>Net Debt（借入金ベース）</w:t>
            </w:r>
          </w:p>
        </w:tc>
        <w:tc>
          <w:tcPr>
            <w:tcW w:type="dxa" w:w="4703"/>
            <w:shd w:val="clear" w:color="auto" w:fill="DDEBF7"/>
          </w:tcPr>
          <w:p>
            <w:r>
              <w:rPr>
                <w:rFonts w:ascii="Meiryo UI" w:hAnsi="Meiryo UI"/>
                <w:sz w:val="18"/>
              </w:rPr>
              <w:t>¥69.34億</w:t>
            </w:r>
          </w:p>
        </w:tc>
      </w:tr>
      <w:tr>
        <w:tc>
          <w:tcPr>
            <w:tcW w:type="dxa" w:w="4703"/>
          </w:tcPr>
          <w:p>
            <w:r>
              <w:rPr>
                <w:rFonts w:ascii="Meiryo UI" w:hAnsi="Meiryo UI"/>
                <w:sz w:val="18"/>
              </w:rPr>
              <w:t>自己資本</w:t>
            </w:r>
          </w:p>
        </w:tc>
        <w:tc>
          <w:tcPr>
            <w:tcW w:type="dxa" w:w="4703"/>
          </w:tcPr>
          <w:p>
            <w:r>
              <w:rPr>
                <w:rFonts w:ascii="Meiryo UI" w:hAnsi="Meiryo UI"/>
                <w:sz w:val="18"/>
              </w:rPr>
              <w:t>¥547.25億</w:t>
            </w:r>
          </w:p>
        </w:tc>
      </w:tr>
      <w:tr>
        <w:tc>
          <w:tcPr>
            <w:tcW w:type="dxa" w:w="4703"/>
            <w:shd w:val="clear" w:color="auto" w:fill="DDEBF7"/>
          </w:tcPr>
          <w:p>
            <w:r>
              <w:rPr>
                <w:rFonts w:ascii="Meiryo UI" w:hAnsi="Meiryo UI"/>
                <w:sz w:val="18"/>
              </w:rPr>
              <w:t>自己資本比率</w:t>
            </w:r>
          </w:p>
        </w:tc>
        <w:tc>
          <w:tcPr>
            <w:tcW w:type="dxa" w:w="4703"/>
            <w:shd w:val="clear" w:color="auto" w:fill="DDEBF7"/>
          </w:tcPr>
          <w:p>
            <w:r>
              <w:rPr>
                <w:rFonts w:ascii="Meiryo UI" w:hAnsi="Meiryo UI"/>
                <w:sz w:val="18"/>
              </w:rPr>
              <w:t>39.2%</w:t>
            </w:r>
          </w:p>
        </w:tc>
      </w:tr>
      <w:tr>
        <w:tc>
          <w:tcPr>
            <w:tcW w:type="dxa" w:w="4703"/>
          </w:tcPr>
          <w:p>
            <w:r>
              <w:rPr>
                <w:rFonts w:ascii="Meiryo UI" w:hAnsi="Meiryo UI"/>
                <w:sz w:val="18"/>
              </w:rPr>
              <w:t>D/E比率</w:t>
            </w:r>
          </w:p>
        </w:tc>
        <w:tc>
          <w:tcPr>
            <w:tcW w:type="dxa" w:w="4703"/>
          </w:tcPr>
          <w:p>
            <w:r>
              <w:rPr>
                <w:rFonts w:ascii="Meiryo UI" w:hAnsi="Meiryo UI"/>
                <w:sz w:val="18"/>
              </w:rPr>
              <w:t>0.48x（財務健全）</w:t>
            </w:r>
          </w:p>
        </w:tc>
      </w:tr>
    </w:tbl>
    <w:p/>
    <w:p>
      <w:r>
        <w:t>──────────────────────────────────────────────────</w:t>
      </w:r>
    </w:p>
    <w:p/>
    <w:p>
      <w:pPr>
        <w:pStyle w:val="Heading2"/>
      </w:pPr>
      <w:r>
        <w:rPr>
          <w:rFonts w:ascii="Meiryo UI" w:hAnsi="Meiryo UI"/>
          <w:color w:val="2E74B5"/>
        </w:rPr>
        <w:t>セクション2 — Good/Bad分析（正しい数値ベース）</w:t>
      </w:r>
    </w:p>
    <w:p/>
    <w:p>
      <w:pPr>
        <w:pStyle w:val="Heading3"/>
      </w:pPr>
      <w:r>
        <w:rPr>
          <w:rFonts w:ascii="Meiryo UI" w:hAnsi="Meiryo UI"/>
          <w:color w:val="2E74B5"/>
        </w:rPr>
        <w:t>薬と毒の仕分け</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区分</w:t>
            </w:r>
          </w:p>
        </w:tc>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定量</w:t>
            </w:r>
          </w:p>
        </w:tc>
        <w:tc>
          <w:tcPr>
            <w:tcW w:type="dxa" w:w="2351"/>
            <w:shd w:val="clear" w:color="auto" w:fill="2E74B5"/>
          </w:tcPr>
          <w:p>
            <w:r>
              <w:rPr>
                <w:rFonts w:ascii="Meiryo UI" w:hAnsi="Meiryo UI"/>
                <w:b/>
                <w:color w:val="FFFFFF"/>
                <w:sz w:val="18"/>
              </w:rPr>
              <w:t>性質</w:t>
            </w:r>
          </w:p>
        </w:tc>
      </w:tr>
      <w:tr>
        <w:tc>
          <w:tcPr>
            <w:tcW w:type="dxa" w:w="2351"/>
          </w:tcPr>
          <w:p>
            <w:r>
              <w:rPr>
                <w:rFonts w:ascii="Meiryo UI" w:hAnsi="Meiryo UI"/>
                <w:sz w:val="18"/>
              </w:rPr>
              <w:t>💊 薬①</w:t>
            </w:r>
          </w:p>
        </w:tc>
        <w:tc>
          <w:tcPr>
            <w:tcW w:type="dxa" w:w="2351"/>
          </w:tcPr>
          <w:p>
            <w:r>
              <w:rPr>
                <w:rFonts w:ascii="Meiryo UI" w:hAnsi="Meiryo UI"/>
                <w:sz w:val="18"/>
              </w:rPr>
              <w:t>ホテル事業の高成長</w:t>
            </w:r>
          </w:p>
        </w:tc>
        <w:tc>
          <w:tcPr>
            <w:tcW w:type="dxa" w:w="2351"/>
          </w:tcPr>
          <w:p>
            <w:r>
              <w:rPr>
                <w:rFonts w:ascii="Meiryo UI" w:hAnsi="Meiryo UI"/>
                <w:sz w:val="18"/>
              </w:rPr>
              <w:t>セグメント利益+26.3%（¥68.5億）、FY2025のグループ経常利益¥79.2億の86%を稼ぐ</w:t>
            </w:r>
          </w:p>
        </w:tc>
        <w:tc>
          <w:tcPr>
            <w:tcW w:type="dxa" w:w="2351"/>
          </w:tcPr>
          <w:p>
            <w:r>
              <w:rPr>
                <w:rFonts w:ascii="Meiryo UI" w:hAnsi="Meiryo UI"/>
                <w:sz w:val="18"/>
              </w:rPr>
              <w:t>構造的。インバウンド+リッチモンドHD好調</w:t>
            </w:r>
          </w:p>
        </w:tc>
      </w:tr>
      <w:tr>
        <w:tc>
          <w:tcPr>
            <w:tcW w:type="dxa" w:w="2351"/>
            <w:shd w:val="clear" w:color="auto" w:fill="DDEBF7"/>
          </w:tcPr>
          <w:p>
            <w:r>
              <w:rPr>
                <w:rFonts w:ascii="Meiryo UI" w:hAnsi="Meiryo UI"/>
                <w:sz w:val="18"/>
              </w:rPr>
              <w:t>💊 薬②</w:t>
            </w:r>
          </w:p>
        </w:tc>
        <w:tc>
          <w:tcPr>
            <w:tcW w:type="dxa" w:w="2351"/>
            <w:shd w:val="clear" w:color="auto" w:fill="DDEBF7"/>
          </w:tcPr>
          <w:p>
            <w:r>
              <w:rPr>
                <w:rFonts w:ascii="Meiryo UI" w:hAnsi="Meiryo UI"/>
                <w:sz w:val="18"/>
              </w:rPr>
              <w:t>ロイヤルホスト値上げ転嫁力</w:t>
            </w:r>
          </w:p>
        </w:tc>
        <w:tc>
          <w:tcPr>
            <w:tcW w:type="dxa" w:w="2351"/>
            <w:shd w:val="clear" w:color="auto" w:fill="DDEBF7"/>
          </w:tcPr>
          <w:p>
            <w:r>
              <w:rPr>
                <w:rFonts w:ascii="Meiryo UI" w:hAnsi="Meiryo UI"/>
                <w:sz w:val="18"/>
              </w:rPr>
              <w:t>客単価+5〜6%継続。来客数微減でも売上増を維持</w:t>
            </w:r>
          </w:p>
        </w:tc>
        <w:tc>
          <w:tcPr>
            <w:tcW w:type="dxa" w:w="2351"/>
            <w:shd w:val="clear" w:color="auto" w:fill="DDEBF7"/>
          </w:tcPr>
          <w:p>
            <w:r>
              <w:rPr>
                <w:rFonts w:ascii="Meiryo UI" w:hAnsi="Meiryo UI"/>
                <w:sz w:val="18"/>
              </w:rPr>
              <w:t>上位ファミレス業態の価格プレミアム</w:t>
            </w:r>
          </w:p>
        </w:tc>
      </w:tr>
      <w:tr>
        <w:tc>
          <w:tcPr>
            <w:tcW w:type="dxa" w:w="2351"/>
          </w:tcPr>
          <w:p>
            <w:r>
              <w:rPr>
                <w:rFonts w:ascii="Meiryo UI" w:hAnsi="Meiryo UI"/>
                <w:sz w:val="18"/>
              </w:rPr>
              <w:t>💊 薬③</w:t>
            </w:r>
          </w:p>
        </w:tc>
        <w:tc>
          <w:tcPr>
            <w:tcW w:type="dxa" w:w="2351"/>
          </w:tcPr>
          <w:p>
            <w:r>
              <w:rPr>
                <w:rFonts w:ascii="Meiryo UI" w:hAnsi="Meiryo UI"/>
                <w:sz w:val="18"/>
              </w:rPr>
              <w:t>コントラクト事業の安定性</w:t>
            </w:r>
          </w:p>
        </w:tc>
        <w:tc>
          <w:tcPr>
            <w:tcW w:type="dxa" w:w="2351"/>
          </w:tcPr>
          <w:p>
            <w:r>
              <w:rPr>
                <w:rFonts w:ascii="Meiryo UI" w:hAnsi="Meiryo UI"/>
                <w:sz w:val="18"/>
              </w:rPr>
              <w:t>売上¥529億・利益¥26.6億。空港+12.9%・事業所+16.9%</w:t>
            </w:r>
          </w:p>
        </w:tc>
        <w:tc>
          <w:tcPr>
            <w:tcW w:type="dxa" w:w="2351"/>
          </w:tcPr>
          <w:p>
            <w:r>
              <w:rPr>
                <w:rFonts w:ascii="Meiryo UI" w:hAnsi="Meiryo UI"/>
                <w:sz w:val="18"/>
              </w:rPr>
              <w:t>インバウンド回復+BtoB固定契約</w:t>
            </w:r>
          </w:p>
        </w:tc>
      </w:tr>
      <w:tr>
        <w:tc>
          <w:tcPr>
            <w:tcW w:type="dxa" w:w="2351"/>
            <w:shd w:val="clear" w:color="auto" w:fill="DDEBF7"/>
          </w:tcPr>
          <w:p>
            <w:r>
              <w:rPr>
                <w:rFonts w:ascii="Meiryo UI" w:hAnsi="Meiryo UI"/>
                <w:sz w:val="18"/>
              </w:rPr>
              <w:t>💊 薬④</w:t>
            </w:r>
          </w:p>
        </w:tc>
        <w:tc>
          <w:tcPr>
            <w:tcW w:type="dxa" w:w="2351"/>
            <w:shd w:val="clear" w:color="auto" w:fill="DDEBF7"/>
          </w:tcPr>
          <w:p>
            <w:r>
              <w:rPr>
                <w:rFonts w:ascii="Meiryo UI" w:hAnsi="Meiryo UI"/>
                <w:sz w:val="18"/>
              </w:rPr>
              <w:t>財務健全性</w:t>
            </w:r>
          </w:p>
        </w:tc>
        <w:tc>
          <w:tcPr>
            <w:tcW w:type="dxa" w:w="2351"/>
            <w:shd w:val="clear" w:color="auto" w:fill="DDEBF7"/>
          </w:tcPr>
          <w:p>
            <w:r>
              <w:rPr>
                <w:rFonts w:ascii="Meiryo UI" w:hAnsi="Meiryo UI"/>
                <w:sz w:val="18"/>
              </w:rPr>
              <w:t>D/E 0.48x・自己資本比率39.2%</w:t>
            </w:r>
          </w:p>
        </w:tc>
        <w:tc>
          <w:tcPr>
            <w:tcW w:type="dxa" w:w="2351"/>
            <w:shd w:val="clear" w:color="auto" w:fill="DDEBF7"/>
          </w:tcPr>
          <w:p>
            <w:r>
              <w:rPr>
                <w:rFonts w:ascii="Meiryo UI" w:hAnsi="Meiryo UI"/>
                <w:sz w:val="18"/>
              </w:rPr>
              <w:t>有利子負債少なく金利上昇耐性あり</w:t>
            </w:r>
          </w:p>
        </w:tc>
      </w:tr>
      <w:tr>
        <w:tc>
          <w:tcPr>
            <w:tcW w:type="dxa" w:w="2351"/>
          </w:tcPr>
          <w:p>
            <w:r>
              <w:rPr>
                <w:rFonts w:ascii="Meiryo UI" w:hAnsi="Meiryo UI"/>
                <w:sz w:val="18"/>
              </w:rPr>
              <w:t>☠️ 毒①</w:t>
            </w:r>
          </w:p>
        </w:tc>
        <w:tc>
          <w:tcPr>
            <w:tcW w:type="dxa" w:w="2351"/>
          </w:tcPr>
          <w:p>
            <w:r>
              <w:rPr>
                <w:rFonts w:ascii="Meiryo UI" w:hAnsi="Meiryo UI"/>
                <w:sz w:val="18"/>
              </w:rPr>
              <w:t>外食事業利益▲26.9%</w:t>
            </w:r>
          </w:p>
        </w:tc>
        <w:tc>
          <w:tcPr>
            <w:tcW w:type="dxa" w:w="2351"/>
          </w:tcPr>
          <w:p>
            <w:r>
              <w:rPr>
                <w:rFonts w:ascii="Meiryo UI" w:hAnsi="Meiryo UI"/>
                <w:sz w:val="18"/>
              </w:rPr>
              <w:t>セグメント利益¥23.4億（FY2024¥32.0億→▲¥8.6億）</w:t>
            </w:r>
          </w:p>
        </w:tc>
        <w:tc>
          <w:tcPr>
            <w:tcW w:type="dxa" w:w="2351"/>
          </w:tcPr>
          <w:p>
            <w:r>
              <w:rPr>
                <w:rFonts w:ascii="Meiryo UI" w:hAnsi="Meiryo UI"/>
                <w:sz w:val="18"/>
              </w:rPr>
              <w:t>構造的。人件費・食材費の構造増が直撃</w:t>
            </w:r>
          </w:p>
        </w:tc>
      </w:tr>
      <w:tr>
        <w:tc>
          <w:tcPr>
            <w:tcW w:type="dxa" w:w="2351"/>
            <w:shd w:val="clear" w:color="auto" w:fill="DDEBF7"/>
          </w:tcPr>
          <w:p>
            <w:r>
              <w:rPr>
                <w:rFonts w:ascii="Meiryo UI" w:hAnsi="Meiryo UI"/>
                <w:sz w:val="18"/>
              </w:rPr>
              <w:t>☠️ 毒②</w:t>
            </w:r>
          </w:p>
        </w:tc>
        <w:tc>
          <w:tcPr>
            <w:tcW w:type="dxa" w:w="2351"/>
            <w:shd w:val="clear" w:color="auto" w:fill="DDEBF7"/>
          </w:tcPr>
          <w:p>
            <w:r>
              <w:rPr>
                <w:rFonts w:ascii="Meiryo UI" w:hAnsi="Meiryo UI"/>
                <w:sz w:val="18"/>
              </w:rPr>
              <w:t>UAゼンセン+6.3%賃上げ（未織込みリスク）</w:t>
            </w:r>
          </w:p>
        </w:tc>
        <w:tc>
          <w:tcPr>
            <w:tcW w:type="dxa" w:w="2351"/>
            <w:shd w:val="clear" w:color="auto" w:fill="DDEBF7"/>
          </w:tcPr>
          <w:p>
            <w:r>
              <w:rPr>
                <w:rFonts w:ascii="Meiryo UI" w:hAnsi="Meiryo UI"/>
                <w:sz w:val="18"/>
              </w:rPr>
              <w:t>後述試算：グループ全体▲¥15〜20億OP影響</w:t>
            </w:r>
          </w:p>
        </w:tc>
        <w:tc>
          <w:tcPr>
            <w:tcW w:type="dxa" w:w="2351"/>
            <w:shd w:val="clear" w:color="auto" w:fill="DDEBF7"/>
          </w:tcPr>
          <w:p>
            <w:r>
              <w:rPr>
                <w:rFonts w:ascii="Meiryo UI" w:hAnsi="Meiryo UI"/>
                <w:sz w:val="18"/>
              </w:rPr>
              <w:t>FY2026ガイダンスが妥結前設定のため下振れリスク</w:t>
            </w:r>
          </w:p>
        </w:tc>
      </w:tr>
      <w:tr>
        <w:tc>
          <w:tcPr>
            <w:tcW w:type="dxa" w:w="2351"/>
          </w:tcPr>
          <w:p>
            <w:r>
              <w:rPr>
                <w:rFonts w:ascii="Meiryo UI" w:hAnsi="Meiryo UI"/>
                <w:sz w:val="18"/>
              </w:rPr>
              <w:t>☠️ 毒③</w:t>
            </w:r>
          </w:p>
        </w:tc>
        <w:tc>
          <w:tcPr>
            <w:tcW w:type="dxa" w:w="2351"/>
          </w:tcPr>
          <w:p>
            <w:r>
              <w:rPr>
                <w:rFonts w:ascii="Meiryo UI" w:hAnsi="Meiryo UI"/>
                <w:sz w:val="18"/>
              </w:rPr>
              <w:t>てんや客数弾性の高さ</w:t>
            </w:r>
          </w:p>
        </w:tc>
        <w:tc>
          <w:tcPr>
            <w:tcW w:type="dxa" w:w="2351"/>
          </w:tcPr>
          <w:p>
            <w:r>
              <w:rPr>
                <w:rFonts w:ascii="Meiryo UI" w:hAnsi="Meiryo UI"/>
                <w:sz w:val="18"/>
              </w:rPr>
              <w:t>1月客数▲5.9%（単価+12.9%）。値上げ余地が実質的に枯渇</w:t>
            </w:r>
          </w:p>
        </w:tc>
        <w:tc>
          <w:tcPr>
            <w:tcW w:type="dxa" w:w="2351"/>
          </w:tcPr>
          <w:p>
            <w:r>
              <w:rPr>
                <w:rFonts w:ascii="Meiryo UI" w:hAnsi="Meiryo UI"/>
                <w:sz w:val="18"/>
              </w:rPr>
              <w:t>構造的。競合（吉野家・松屋）の圧力</w:t>
            </w:r>
          </w:p>
        </w:tc>
      </w:tr>
      <w:tr>
        <w:tc>
          <w:tcPr>
            <w:tcW w:type="dxa" w:w="2351"/>
            <w:shd w:val="clear" w:color="auto" w:fill="DDEBF7"/>
          </w:tcPr>
          <w:p>
            <w:r>
              <w:rPr>
                <w:rFonts w:ascii="Meiryo UI" w:hAnsi="Meiryo UI"/>
                <w:sz w:val="18"/>
              </w:rPr>
              <w:t>☠️ 毒④</w:t>
            </w:r>
          </w:p>
        </w:tc>
        <w:tc>
          <w:tcPr>
            <w:tcW w:type="dxa" w:w="2351"/>
            <w:shd w:val="clear" w:color="auto" w:fill="DDEBF7"/>
          </w:tcPr>
          <w:p>
            <w:r>
              <w:rPr>
                <w:rFonts w:ascii="Meiryo UI" w:hAnsi="Meiryo UI"/>
                <w:sz w:val="18"/>
              </w:rPr>
              <w:t>外食PER割高感</w:t>
            </w:r>
          </w:p>
        </w:tc>
        <w:tc>
          <w:tcPr>
            <w:tcW w:type="dxa" w:w="2351"/>
            <w:shd w:val="clear" w:color="auto" w:fill="DDEBF7"/>
          </w:tcPr>
          <w:p>
            <w:r>
              <w:rPr>
                <w:rFonts w:ascii="Meiryo UI" w:hAnsi="Meiryo UI"/>
                <w:sz w:val="18"/>
              </w:rPr>
              <w:t>PER25.1x（現値¥1,442、EPS¥57.48）</w:t>
            </w:r>
          </w:p>
        </w:tc>
        <w:tc>
          <w:tcPr>
            <w:tcW w:type="dxa" w:w="2351"/>
            <w:shd w:val="clear" w:color="auto" w:fill="DDEBF7"/>
          </w:tcPr>
          <w:p>
            <w:r>
              <w:rPr>
                <w:rFonts w:ascii="Meiryo UI" w:hAnsi="Meiryo UI"/>
                <w:sz w:val="18"/>
              </w:rPr>
              <w:t>ホテル好調を外食株として評価→多少歪んだ倍率</w:t>
            </w:r>
          </w:p>
        </w:tc>
      </w:tr>
    </w:tbl>
    <w:p/>
    <w:p>
      <w:r>
        <w:t>──────────────────────────────────────────────────</w:t>
      </w:r>
    </w:p>
    <w:p/>
    <w:p>
      <w:pPr>
        <w:pStyle w:val="Heading2"/>
      </w:pPr>
      <w:r>
        <w:rPr>
          <w:rFonts w:ascii="Meiryo UI" w:hAnsi="Meiryo UI"/>
          <w:color w:val="2E74B5"/>
        </w:rPr>
        <w:t>セクション3 — UAゼンセン+6.3%賃上げ影響（正しい規模感で再試算）</w:t>
      </w:r>
    </w:p>
    <w:p/>
    <w:p>
      <w:pPr>
        <w:pStyle w:val="Heading3"/>
      </w:pPr>
      <w:r>
        <w:rPr>
          <w:rFonts w:ascii="Meiryo UI" w:hAnsi="Meiryo UI"/>
          <w:color w:val="2E74B5"/>
        </w:rPr>
        <w:t>前提（公式データ確認済み）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グループ全体売上</w:t>
            </w:r>
          </w:p>
        </w:tc>
        <w:tc>
          <w:tcPr>
            <w:tcW w:type="dxa" w:w="3135"/>
          </w:tcPr>
          <w:p>
            <w:r>
              <w:rPr>
                <w:rFonts w:ascii="Meiryo UI" w:hAnsi="Meiryo UI"/>
                <w:sz w:val="18"/>
              </w:rPr>
              <w:t>¥1,655億</w:t>
            </w:r>
          </w:p>
        </w:tc>
        <w:tc>
          <w:tcPr>
            <w:tcW w:type="dxa" w:w="3135"/>
          </w:tcPr>
          <w:p>
            <w:r>
              <w:rPr>
                <w:rFonts w:ascii="Meiryo UI" w:hAnsi="Meiryo UI"/>
                <w:sz w:val="18"/>
              </w:rPr>
              <w:t>FY2025決算短信</w:t>
            </w:r>
          </w:p>
        </w:tc>
      </w:tr>
      <w:tr>
        <w:tc>
          <w:tcPr>
            <w:tcW w:type="dxa" w:w="3135"/>
            <w:shd w:val="clear" w:color="auto" w:fill="DDEBF7"/>
          </w:tcPr>
          <w:p>
            <w:r>
              <w:rPr>
                <w:rFonts w:ascii="Meiryo UI" w:hAnsi="Meiryo UI"/>
                <w:sz w:val="18"/>
              </w:rPr>
              <w:t>外食+コントラクト人件費比率</w:t>
            </w:r>
          </w:p>
        </w:tc>
        <w:tc>
          <w:tcPr>
            <w:tcW w:type="dxa" w:w="3135"/>
            <w:shd w:val="clear" w:color="auto" w:fill="DDEBF7"/>
          </w:tcPr>
          <w:p>
            <w:r>
              <w:rPr>
                <w:rFonts w:ascii="Meiryo UI" w:hAnsi="Meiryo UI"/>
                <w:sz w:val="18"/>
              </w:rPr>
              <w:t>推定35〜38%</w:t>
            </w:r>
          </w:p>
        </w:tc>
        <w:tc>
          <w:tcPr>
            <w:tcW w:type="dxa" w:w="3135"/>
            <w:shd w:val="clear" w:color="auto" w:fill="DDEBF7"/>
          </w:tcPr>
          <w:p>
            <w:r>
              <w:rPr>
                <w:rFonts w:ascii="Meiryo UI" w:hAnsi="Meiryo UI"/>
                <w:sz w:val="18"/>
              </w:rPr>
              <w:t>業界標準（⚠️公式ソース未確認→以下は推計）</w:t>
            </w:r>
          </w:p>
        </w:tc>
      </w:tr>
    </w:tbl>
    <w:p/>
    <w:p>
      <w:r>
        <w:rPr>
          <w:rFonts w:ascii="Meiryo UI" w:hAnsi="Meiryo UI"/>
          <w:sz w:val="20"/>
        </w:rPr>
        <w:t>⚠️【データ整合性プロトコル適用】人件費総額の公式開示が決算短信に明示されていないため、以下は業界比率からの推計値として明示します。</w:t>
      </w:r>
    </w:p>
    <w:p/>
    <w:p>
      <w:pPr>
        <w:shd w:val="clear" w:color="auto" w:fill="F2F2F2"/>
      </w:pPr>
      <w:r>
        <w:rPr>
          <w:rFonts w:ascii="Courier New" w:hAnsi="Courier New"/>
          <w:sz w:val="16"/>
        </w:rPr>
        <w:t>【推計値・社長確認要】</w:t>
        <w:br/>
        <w:t>グループ外食＋コントラクト事業売上：¥1,189億</w:t>
        <w:br/>
        <w:t>人件費比率（推定35%）：¥416億</w:t>
        <w:br/>
        <w:t>パートタイマー比率60%：¥250億</w:t>
        <w:br/>
        <w:t>UAゼンセン+6.3%：▲¥15.7億（グロス）</w:t>
        <w:br/>
        <w:br/>
        <w:t>価格転嫁60%シナリオで吸収：▲¥6.3億（ネット）</w:t>
        <w:br/>
        <w:t>税引後EPS影響：▲¥6.3億×0.57÷9,972万株 = ▲¥3.6/株</w:t>
        <w:br/>
        <w:br/>
        <w:t>→ FY2026E調整後EPS：¥57.87 - ¥3.6 = ¥54.3</w:t>
      </w:r>
    </w:p>
    <w:p/>
    <w:p>
      <w:r>
        <w:rPr>
          <w:rFonts w:ascii="Meiryo UI" w:hAnsi="Meiryo UI"/>
          <w:sz w:val="20"/>
        </w:rPr>
        <w:t>3197（すかいらーく）の場合（パート比率75%・規模大）と比べると、8179の賃上げ影響は相対的に小さい。ただしFY2026ガイダンスが未織込みなら実態OP¥73〜83億にとどまるリスク。</w:t>
      </w:r>
    </w:p>
    <w:p/>
    <w:p>
      <w:r>
        <w:t>──────────────────────────────────────────────────</w:t>
      </w:r>
    </w:p>
    <w:p/>
    <w:p>
      <w:pPr>
        <w:pStyle w:val="Heading2"/>
      </w:pPr>
      <w:r>
        <w:rPr>
          <w:rFonts w:ascii="Meiryo UI" w:hAnsi="Meiryo UI"/>
          <w:color w:val="2E74B5"/>
        </w:rPr>
        <w:t>セクション4 — バリュエーション（正しい数値で再算出）</w:t>
      </w:r>
    </w:p>
    <w:p/>
    <w:p>
      <w:pPr>
        <w:pStyle w:val="Heading3"/>
      </w:pPr>
      <w:r>
        <w:rPr>
          <w:rFonts w:ascii="Meiryo UI" w:hAnsi="Meiryo UI"/>
          <w:color w:val="2E74B5"/>
        </w:rPr>
        <w:t>WACC（Rf = 2.380%固定）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パラメータ</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β</w:t>
            </w:r>
          </w:p>
        </w:tc>
        <w:tc>
          <w:tcPr>
            <w:tcW w:type="dxa" w:w="4703"/>
            <w:shd w:val="clear" w:color="auto" w:fill="DDEBF7"/>
          </w:tcPr>
          <w:p>
            <w:r>
              <w:rPr>
                <w:rFonts w:ascii="Meiryo UI" w:hAnsi="Meiryo UI"/>
                <w:sz w:val="18"/>
              </w:rPr>
              <w:t>0.161（Yahoo Finance実測値。低ベータ）</w:t>
            </w:r>
          </w:p>
        </w:tc>
      </w:tr>
      <w:tr>
        <w:tc>
          <w:tcPr>
            <w:tcW w:type="dxa" w:w="4703"/>
          </w:tcPr>
          <w:p>
            <w:r>
              <w:rPr>
                <w:rFonts w:ascii="Meiryo UI" w:hAnsi="Meiryo UI"/>
                <w:sz w:val="18"/>
              </w:rPr>
              <w:t>ERP</w:t>
            </w:r>
          </w:p>
        </w:tc>
        <w:tc>
          <w:tcPr>
            <w:tcW w:type="dxa" w:w="4703"/>
          </w:tcPr>
          <w:p>
            <w:r>
              <w:rPr>
                <w:rFonts w:ascii="Meiryo UI" w:hAnsi="Meiryo UI"/>
                <w:sz w:val="18"/>
              </w:rPr>
              <w:t>5.5%</w:t>
            </w:r>
          </w:p>
        </w:tc>
      </w:tr>
      <w:tr>
        <w:tc>
          <w:tcPr>
            <w:tcW w:type="dxa" w:w="4703"/>
            <w:shd w:val="clear" w:color="auto" w:fill="DDEBF7"/>
          </w:tcPr>
          <w:p>
            <w:r>
              <w:rPr>
                <w:rFonts w:ascii="Meiryo UI" w:hAnsi="Meiryo UI"/>
                <w:sz w:val="18"/>
              </w:rPr>
              <w:t>Re</w:t>
            </w:r>
          </w:p>
        </w:tc>
        <w:tc>
          <w:tcPr>
            <w:tcW w:type="dxa" w:w="4703"/>
            <w:shd w:val="clear" w:color="auto" w:fill="DDEBF7"/>
          </w:tcPr>
          <w:p>
            <w:r>
              <w:rPr>
                <w:rFonts w:ascii="Meiryo UI" w:hAnsi="Meiryo UI"/>
                <w:sz w:val="18"/>
              </w:rPr>
              <w:t>2.380% + 0.161 × 5.5% = 3.266%</w:t>
            </w:r>
          </w:p>
        </w:tc>
      </w:tr>
      <w:tr>
        <w:tc>
          <w:tcPr>
            <w:tcW w:type="dxa" w:w="4703"/>
          </w:tcPr>
          <w:p>
            <w:r>
              <w:rPr>
                <w:rFonts w:ascii="Meiryo UI" w:hAnsi="Meiryo UI"/>
                <w:sz w:val="18"/>
              </w:rPr>
              <w:t>Rd</w:t>
            </w:r>
          </w:p>
        </w:tc>
        <w:tc>
          <w:tcPr>
            <w:tcW w:type="dxa" w:w="4703"/>
          </w:tcPr>
          <w:p>
            <w:r>
              <w:rPr>
                <w:rFonts w:ascii="Meiryo UI" w:hAnsi="Meiryo UI"/>
                <w:sz w:val="18"/>
              </w:rPr>
              <w:t>1.5%（D/E低く借入金利低位）</w:t>
            </w:r>
          </w:p>
        </w:tc>
      </w:tr>
      <w:tr>
        <w:tc>
          <w:tcPr>
            <w:tcW w:type="dxa" w:w="4703"/>
            <w:shd w:val="clear" w:color="auto" w:fill="DDEBF7"/>
          </w:tcPr>
          <w:p>
            <w:r>
              <w:rPr>
                <w:rFonts w:ascii="Meiryo UI" w:hAnsi="Meiryo UI"/>
                <w:sz w:val="18"/>
              </w:rPr>
              <w:t>E/(D+E)</w:t>
            </w:r>
          </w:p>
        </w:tc>
        <w:tc>
          <w:tcPr>
            <w:tcW w:type="dxa" w:w="4703"/>
            <w:shd w:val="clear" w:color="auto" w:fill="DDEBF7"/>
          </w:tcPr>
          <w:p>
            <w:r>
              <w:rPr>
                <w:rFonts w:ascii="Meiryo UI" w:hAnsi="Meiryo UI"/>
                <w:sz w:val="18"/>
              </w:rPr>
              <w:t>72%</w:t>
            </w:r>
          </w:p>
        </w:tc>
      </w:tr>
      <w:tr>
        <w:tc>
          <w:tcPr>
            <w:tcW w:type="dxa" w:w="4703"/>
          </w:tcPr>
          <w:p>
            <w:r>
              <w:rPr>
                <w:rFonts w:ascii="Meiryo UI" w:hAnsi="Meiryo UI"/>
                <w:sz w:val="18"/>
              </w:rPr>
              <w:t>WACC</w:t>
            </w:r>
          </w:p>
        </w:tc>
        <w:tc>
          <w:tcPr>
            <w:tcW w:type="dxa" w:w="4703"/>
          </w:tcPr>
          <w:p>
            <w:r>
              <w:rPr>
                <w:rFonts w:ascii="Meiryo UI" w:hAnsi="Meiryo UI"/>
                <w:sz w:val="18"/>
              </w:rPr>
              <w:t>72% × 3.266% + 28% × 1.5% × 0.7 = 2.352% + 0.294% = 2.646%</w:t>
            </w:r>
          </w:p>
        </w:tc>
      </w:tr>
    </w:tbl>
    <w:p/>
    <w:p>
      <w:r>
        <w:rPr>
          <w:rFonts w:ascii="Meiryo UI" w:hAnsi="Meiryo UI"/>
          <w:sz w:val="20"/>
        </w:rPr>
        <w:t>&gt; 注：β=0.161は極めて低い。外食・ホテル複合業態の防衛的性格を反映。低WACCはDCF上プラスに働く。</w:t>
      </w:r>
    </w:p>
    <w:p/>
    <w:p>
      <w:pPr>
        <w:pStyle w:val="Heading3"/>
      </w:pPr>
      <w:r>
        <w:rPr>
          <w:rFonts w:ascii="Meiryo UI" w:hAnsi="Meiryo UI"/>
          <w:color w:val="2E74B5"/>
        </w:rPr>
        <w:t>EPS成長モデル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w:t>
            </w:r>
          </w:p>
        </w:tc>
        <w:tc>
          <w:tcPr>
            <w:tcW w:type="dxa" w:w="3135"/>
            <w:shd w:val="clear" w:color="auto" w:fill="2E74B5"/>
          </w:tcPr>
          <w:p>
            <w:r>
              <w:rPr>
                <w:rFonts w:ascii="Meiryo UI" w:hAnsi="Meiryo UI"/>
                <w:b/>
                <w:color w:val="FFFFFF"/>
                <w:sz w:val="18"/>
              </w:rPr>
              <w:t>EPS</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FY2025実績</w:t>
            </w:r>
          </w:p>
        </w:tc>
        <w:tc>
          <w:tcPr>
            <w:tcW w:type="dxa" w:w="3135"/>
          </w:tcPr>
          <w:p>
            <w:r>
              <w:rPr>
                <w:rFonts w:ascii="Meiryo UI" w:hAnsi="Meiryo UI"/>
                <w:sz w:val="18"/>
              </w:rPr>
              <w:t>¥57.48</w:t>
            </w:r>
          </w:p>
        </w:tc>
        <w:tc>
          <w:tcPr>
            <w:tcW w:type="dxa" w:w="3135"/>
          </w:tcPr>
          <w:p>
            <w:r>
              <w:rPr>
                <w:rFonts w:ascii="Meiryo UI" w:hAnsi="Meiryo UI"/>
                <w:sz w:val="18"/>
              </w:rPr>
              <w:t>決算短信（公式）</w:t>
            </w:r>
          </w:p>
        </w:tc>
      </w:tr>
      <w:tr>
        <w:tc>
          <w:tcPr>
            <w:tcW w:type="dxa" w:w="3135"/>
            <w:shd w:val="clear" w:color="auto" w:fill="DDEBF7"/>
          </w:tcPr>
          <w:p>
            <w:r>
              <w:rPr>
                <w:rFonts w:ascii="Meiryo UI" w:hAnsi="Meiryo UI"/>
                <w:sz w:val="18"/>
              </w:rPr>
              <w:t>FY2026E（会社ガイダンス）</w:t>
            </w:r>
          </w:p>
        </w:tc>
        <w:tc>
          <w:tcPr>
            <w:tcW w:type="dxa" w:w="3135"/>
            <w:shd w:val="clear" w:color="auto" w:fill="DDEBF7"/>
          </w:tcPr>
          <w:p>
            <w:r>
              <w:rPr>
                <w:rFonts w:ascii="Meiryo UI" w:hAnsi="Meiryo UI"/>
                <w:sz w:val="18"/>
              </w:rPr>
              <w:t>¥57.87</w:t>
            </w:r>
          </w:p>
        </w:tc>
        <w:tc>
          <w:tcPr>
            <w:tcW w:type="dxa" w:w="3135"/>
            <w:shd w:val="clear" w:color="auto" w:fill="DDEBF7"/>
          </w:tcPr>
          <w:p>
            <w:r>
              <w:rPr>
                <w:rFonts w:ascii="Meiryo UI" w:hAnsi="Meiryo UI"/>
                <w:sz w:val="18"/>
              </w:rPr>
              <w:t>決算短信（公式）</w:t>
            </w:r>
          </w:p>
        </w:tc>
      </w:tr>
      <w:tr>
        <w:tc>
          <w:tcPr>
            <w:tcW w:type="dxa" w:w="3135"/>
          </w:tcPr>
          <w:p>
            <w:r>
              <w:rPr>
                <w:rFonts w:ascii="Meiryo UI" w:hAnsi="Meiryo UI"/>
                <w:sz w:val="18"/>
              </w:rPr>
              <w:t>FY2026E（賃上げ調整後）</w:t>
            </w:r>
          </w:p>
        </w:tc>
        <w:tc>
          <w:tcPr>
            <w:tcW w:type="dxa" w:w="3135"/>
          </w:tcPr>
          <w:p>
            <w:r>
              <w:rPr>
                <w:rFonts w:ascii="Meiryo UI" w:hAnsi="Meiryo UI"/>
                <w:sz w:val="18"/>
              </w:rPr>
              <w:t>¥54.3</w:t>
            </w:r>
          </w:p>
        </w:tc>
        <w:tc>
          <w:tcPr>
            <w:tcW w:type="dxa" w:w="3135"/>
          </w:tcPr>
          <w:p>
            <w:r>
              <w:rPr>
                <w:rFonts w:ascii="Meiryo UI" w:hAnsi="Meiryo UI"/>
                <w:sz w:val="18"/>
              </w:rPr>
              <w:t>ガイダンス▲賃上げ未織込み推計¥3.6</w:t>
            </w:r>
          </w:p>
        </w:tc>
      </w:tr>
      <w:tr>
        <w:tc>
          <w:tcPr>
            <w:tcW w:type="dxa" w:w="3135"/>
            <w:shd w:val="clear" w:color="auto" w:fill="DDEBF7"/>
          </w:tcPr>
          <w:p>
            <w:r>
              <w:rPr>
                <w:rFonts w:ascii="Meiryo UI" w:hAnsi="Meiryo UI"/>
                <w:sz w:val="18"/>
              </w:rPr>
              <w:t>FY2027E</w:t>
            </w:r>
          </w:p>
        </w:tc>
        <w:tc>
          <w:tcPr>
            <w:tcW w:type="dxa" w:w="3135"/>
            <w:shd w:val="clear" w:color="auto" w:fill="DDEBF7"/>
          </w:tcPr>
          <w:p>
            <w:r>
              <w:rPr>
                <w:rFonts w:ascii="Meiryo UI" w:hAnsi="Meiryo UI"/>
                <w:sz w:val="18"/>
              </w:rPr>
              <w:t>¥65</w:t>
            </w:r>
          </w:p>
        </w:tc>
        <w:tc>
          <w:tcPr>
            <w:tcW w:type="dxa" w:w="3135"/>
            <w:shd w:val="clear" w:color="auto" w:fill="DDEBF7"/>
          </w:tcPr>
          <w:p>
            <w:r>
              <w:rPr>
                <w:rFonts w:ascii="Meiryo UI" w:hAnsi="Meiryo UI"/>
                <w:sz w:val="18"/>
              </w:rPr>
              <w:t>ホテル継続成長+外食コスト正常化</w:t>
            </w:r>
          </w:p>
        </w:tc>
      </w:tr>
    </w:tbl>
    <w:p/>
    <w:p>
      <w:pPr>
        <w:pStyle w:val="Heading3"/>
      </w:pPr>
      <w:r>
        <w:rPr>
          <w:rFonts w:ascii="Meiryo UI" w:hAnsi="Meiryo UI"/>
          <w:color w:val="2E74B5"/>
        </w:rPr>
        <w:t>フェアバリュー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FV</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FY2026E EPS¥54.3 × PER 22x</w:t>
            </w:r>
          </w:p>
        </w:tc>
        <w:tc>
          <w:tcPr>
            <w:tcW w:type="dxa" w:w="3135"/>
          </w:tcPr>
          <w:p>
            <w:r>
              <w:rPr>
                <w:rFonts w:ascii="Meiryo UI" w:hAnsi="Meiryo UI"/>
                <w:sz w:val="18"/>
              </w:rPr>
              <w:t>¥1,195</w:t>
            </w:r>
          </w:p>
        </w:tc>
        <w:tc>
          <w:tcPr>
            <w:tcW w:type="dxa" w:w="3135"/>
          </w:tcPr>
          <w:p>
            <w:r>
              <w:rPr>
                <w:rFonts w:ascii="Meiryo UI" w:hAnsi="Meiryo UI"/>
                <w:sz w:val="18"/>
              </w:rPr>
              <w:t>コスト増環境での適正倍率</w:t>
            </w:r>
          </w:p>
        </w:tc>
      </w:tr>
      <w:tr>
        <w:tc>
          <w:tcPr>
            <w:tcW w:type="dxa" w:w="3135"/>
            <w:shd w:val="clear" w:color="auto" w:fill="DDEBF7"/>
          </w:tcPr>
          <w:p>
            <w:r>
              <w:rPr>
                <w:rFonts w:ascii="Meiryo UI" w:hAnsi="Meiryo UI"/>
                <w:sz w:val="18"/>
              </w:rPr>
              <w:t>FY2026E EPS¥54.3 × PER 25x（現状）</w:t>
            </w:r>
          </w:p>
        </w:tc>
        <w:tc>
          <w:tcPr>
            <w:tcW w:type="dxa" w:w="3135"/>
            <w:shd w:val="clear" w:color="auto" w:fill="DDEBF7"/>
          </w:tcPr>
          <w:p>
            <w:r>
              <w:rPr>
                <w:rFonts w:ascii="Meiryo UI" w:hAnsi="Meiryo UI"/>
                <w:sz w:val="18"/>
              </w:rPr>
              <w:t>¥1,358</w:t>
            </w:r>
          </w:p>
        </w:tc>
        <w:tc>
          <w:tcPr>
            <w:tcW w:type="dxa" w:w="3135"/>
            <w:shd w:val="clear" w:color="auto" w:fill="DDEBF7"/>
          </w:tcPr>
          <w:p>
            <w:r>
              <w:rPr>
                <w:rFonts w:ascii="Meiryo UI" w:hAnsi="Meiryo UI"/>
                <w:sz w:val="18"/>
              </w:rPr>
              <w:t>ホテル成長プレミアム込みの現状倍率</w:t>
            </w:r>
          </w:p>
        </w:tc>
      </w:tr>
      <w:tr>
        <w:tc>
          <w:tcPr>
            <w:tcW w:type="dxa" w:w="3135"/>
          </w:tcPr>
          <w:p>
            <w:r>
              <w:rPr>
                <w:rFonts w:ascii="Meiryo UI" w:hAnsi="Meiryo UI"/>
                <w:sz w:val="18"/>
              </w:rPr>
              <w:t>FY2027E EPS¥65 × PER 22x × 割引6.5%</w:t>
            </w:r>
          </w:p>
        </w:tc>
        <w:tc>
          <w:tcPr>
            <w:tcW w:type="dxa" w:w="3135"/>
          </w:tcPr>
          <w:p>
            <w:r>
              <w:rPr>
                <w:rFonts w:ascii="Meiryo UI" w:hAnsi="Meiryo UI"/>
                <w:sz w:val="18"/>
              </w:rPr>
              <w:t>¥1,345</w:t>
            </w:r>
          </w:p>
        </w:tc>
        <w:tc>
          <w:tcPr>
            <w:tcW w:type="dxa" w:w="3135"/>
          </w:tcPr>
          <w:p>
            <w:r>
              <w:rPr>
                <w:rFonts w:ascii="Meiryo UI" w:hAnsi="Meiryo UI"/>
                <w:sz w:val="18"/>
              </w:rPr>
              <w:t>1年先業績現在価値</w:t>
            </w:r>
          </w:p>
        </w:tc>
      </w:tr>
      <w:tr>
        <w:tc>
          <w:tcPr>
            <w:tcW w:type="dxa" w:w="3135"/>
            <w:shd w:val="clear" w:color="auto" w:fill="DDEBF7"/>
          </w:tcPr>
          <w:p>
            <w:r>
              <w:rPr>
                <w:rFonts w:ascii="Meiryo UI" w:hAnsi="Meiryo UI"/>
                <w:sz w:val="18"/>
              </w:rPr>
              <w:t>GGM（ROE 10.8%・Re 3.27%・g1%）</w:t>
            </w:r>
          </w:p>
        </w:tc>
        <w:tc>
          <w:tcPr>
            <w:tcW w:type="dxa" w:w="3135"/>
            <w:shd w:val="clear" w:color="auto" w:fill="DDEBF7"/>
          </w:tcPr>
          <w:p>
            <w:r>
              <w:rPr>
                <w:rFonts w:ascii="Meiryo UI" w:hAnsi="Meiryo UI"/>
                <w:sz w:val="18"/>
              </w:rPr>
              <w:t>¥1,422</w:t>
            </w:r>
          </w:p>
        </w:tc>
        <w:tc>
          <w:tcPr>
            <w:tcW w:type="dxa" w:w="3135"/>
            <w:shd w:val="clear" w:color="auto" w:fill="DDEBF7"/>
          </w:tcPr>
          <w:p>
            <w:r>
              <w:rPr>
                <w:rFonts w:ascii="Meiryo UI" w:hAnsi="Meiryo UI"/>
                <w:sz w:val="18"/>
              </w:rPr>
              <w:t>BPS¥555.56 × PBR理論2.56x</w:t>
            </w:r>
          </w:p>
        </w:tc>
      </w:tr>
      <w:tr>
        <w:tc>
          <w:tcPr>
            <w:tcW w:type="dxa" w:w="3135"/>
          </w:tcPr>
          <w:p>
            <w:r>
              <w:rPr>
                <w:rFonts w:ascii="Meiryo UI" w:hAnsi="Meiryo UI"/>
                <w:sz w:val="18"/>
              </w:rPr>
              <w:t>加重平均FV</w:t>
            </w:r>
          </w:p>
        </w:tc>
        <w:tc>
          <w:tcPr>
            <w:tcW w:type="dxa" w:w="3135"/>
          </w:tcPr>
          <w:p>
            <w:r>
              <w:rPr>
                <w:rFonts w:ascii="Meiryo UI" w:hAnsi="Meiryo UI"/>
                <w:sz w:val="18"/>
              </w:rPr>
              <w:t>¥1,380</w:t>
            </w:r>
          </w:p>
        </w:tc>
        <w:tc>
          <w:tcPr>
            <w:tcW w:type="dxa" w:w="3135"/>
          </w:tcPr>
          <w:p>
            <w:r>
              <w:rPr>
                <w:rFonts w:ascii="Meiryo UI" w:hAnsi="Meiryo UI"/>
                <w:sz w:val="18"/>
              </w:rPr>
            </w:r>
          </w:p>
        </w:tc>
      </w:tr>
    </w:tbl>
    <w:p/>
    <w:p>
      <w:r>
        <w:rPr>
          <w:rFonts w:ascii="Meiryo UI" w:hAnsi="Meiryo UI"/>
          <w:sz w:val="20"/>
        </w:rPr>
        <w:t>GGM（ゴードン成長モデル）：</w:t>
      </w:r>
    </w:p>
    <w:p>
      <w:pPr>
        <w:shd w:val="clear" w:color="auto" w:fill="F2F2F2"/>
      </w:pPr>
      <w:r>
        <w:rPr>
          <w:rFonts w:ascii="Courier New" w:hAnsi="Courier New"/>
          <w:sz w:val="16"/>
        </w:rPr>
        <w:t>PBR理論値 = (ROE - g) / (Re - g)</w:t>
        <w:br/>
        <w:t>= (10.8% - 1.0%) / (3.266% - 1.0%)</w:t>
        <w:br/>
        <w:t>= 9.8% / 2.266%</w:t>
        <w:br/>
        <w:t>= 4.33倍</w:t>
        <w:br/>
        <w:br/>
        <w:t>→ ただしβ=0.161の低リスク株として Re=3.27%は低水準。</w:t>
        <w:br/>
        <w:t xml:space="preserve">  より市場平均的なRe=6.5%で計算すると：</w:t>
        <w:br/>
        <w:t xml:space="preserve">  (10.8% - 1.0%) / (6.5% - 1.0%) = 9.8% / 5.5% = 1.78倍</w:t>
        <w:br/>
        <w:t xml:space="preserve">  → ¥555.56 × 1.78 = ¥988（保守的FV）</w:t>
        <w:br/>
        <w:br/>
        <w:t>→ 実態はRe=3.27%〜6.5%の間。中央値Re=4.9%：</w:t>
        <w:br/>
        <w:t xml:space="preserve">  9.8% / 3.9% = 2.51倍 → ¥1,394</w:t>
      </w:r>
    </w:p>
    <w:p/>
    <w:p>
      <w:pPr>
        <w:pStyle w:val="Heading3"/>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条件</w:t>
            </w:r>
          </w:p>
        </w:tc>
      </w:tr>
      <w:tr>
        <w:tc>
          <w:tcPr>
            <w:tcW w:type="dxa" w:w="2351"/>
          </w:tcPr>
          <w:p>
            <w:r>
              <w:rPr>
                <w:rFonts w:ascii="Meiryo UI" w:hAnsi="Meiryo UI"/>
                <w:sz w:val="18"/>
              </w:rPr>
              <w:t>強気（ガイダンス達成+ホテル続伸）</w:t>
            </w:r>
          </w:p>
        </w:tc>
        <w:tc>
          <w:tcPr>
            <w:tcW w:type="dxa" w:w="2351"/>
          </w:tcPr>
          <w:p>
            <w:r>
              <w:rPr>
                <w:rFonts w:ascii="Meiryo UI" w:hAnsi="Meiryo UI"/>
                <w:sz w:val="18"/>
              </w:rPr>
              <w:t>¥1,650</w:t>
            </w:r>
          </w:p>
        </w:tc>
        <w:tc>
          <w:tcPr>
            <w:tcW w:type="dxa" w:w="2351"/>
          </w:tcPr>
          <w:p>
            <w:r>
              <w:rPr>
                <w:rFonts w:ascii="Meiryo UI" w:hAnsi="Meiryo UI"/>
                <w:sz w:val="18"/>
              </w:rPr>
              <w:t>25%</w:t>
            </w:r>
          </w:p>
        </w:tc>
        <w:tc>
          <w:tcPr>
            <w:tcW w:type="dxa" w:w="2351"/>
          </w:tcPr>
          <w:p>
            <w:r>
              <w:rPr>
                <w:rFonts w:ascii="Meiryo UI" w:hAnsi="Meiryo UI"/>
                <w:sz w:val="18"/>
              </w:rPr>
              <w:t>OP¥89.5億達成・ホテル+15%継続</w:t>
            </w:r>
          </w:p>
        </w:tc>
      </w:tr>
      <w:tr>
        <w:tc>
          <w:tcPr>
            <w:tcW w:type="dxa" w:w="2351"/>
            <w:shd w:val="clear" w:color="auto" w:fill="DDEBF7"/>
          </w:tcPr>
          <w:p>
            <w:r>
              <w:rPr>
                <w:rFonts w:ascii="Meiryo UI" w:hAnsi="Meiryo UI"/>
                <w:sz w:val="18"/>
              </w:rPr>
              <w:t>基本（賃上げ▲¥3.6/EPS・外食苦戦継続）</w:t>
            </w:r>
          </w:p>
        </w:tc>
        <w:tc>
          <w:tcPr>
            <w:tcW w:type="dxa" w:w="2351"/>
            <w:shd w:val="clear" w:color="auto" w:fill="DDEBF7"/>
          </w:tcPr>
          <w:p>
            <w:r>
              <w:rPr>
                <w:rFonts w:ascii="Meiryo UI" w:hAnsi="Meiryo UI"/>
                <w:sz w:val="18"/>
              </w:rPr>
              <w:t>¥1,380</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OP¥75〜80億・EPS¥54前後</w:t>
            </w:r>
          </w:p>
        </w:tc>
      </w:tr>
      <w:tr>
        <w:tc>
          <w:tcPr>
            <w:tcW w:type="dxa" w:w="2351"/>
          </w:tcPr>
          <w:p>
            <w:r>
              <w:rPr>
                <w:rFonts w:ascii="Meiryo UI" w:hAnsi="Meiryo UI"/>
                <w:sz w:val="18"/>
              </w:rPr>
              <w:t>弱気（外食悪化+てんや客数失速）</w:t>
            </w:r>
          </w:p>
        </w:tc>
        <w:tc>
          <w:tcPr>
            <w:tcW w:type="dxa" w:w="2351"/>
          </w:tcPr>
          <w:p>
            <w:r>
              <w:rPr>
                <w:rFonts w:ascii="Meiryo UI" w:hAnsi="Meiryo UI"/>
                <w:sz w:val="18"/>
              </w:rPr>
              <w:t>¥1,050</w:t>
            </w:r>
          </w:p>
        </w:tc>
        <w:tc>
          <w:tcPr>
            <w:tcW w:type="dxa" w:w="2351"/>
          </w:tcPr>
          <w:p>
            <w:r>
              <w:rPr>
                <w:rFonts w:ascii="Meiryo UI" w:hAnsi="Meiryo UI"/>
                <w:sz w:val="18"/>
              </w:rPr>
              <w:t>25%</w:t>
            </w:r>
          </w:p>
        </w:tc>
        <w:tc>
          <w:tcPr>
            <w:tcW w:type="dxa" w:w="2351"/>
          </w:tcPr>
          <w:p>
            <w:r>
              <w:rPr>
                <w:rFonts w:ascii="Meiryo UI" w:hAnsi="Meiryo UI"/>
                <w:sz w:val="18"/>
              </w:rPr>
              <w:t>OP¥60〜65億・外食赤字転落</w:t>
            </w:r>
          </w:p>
        </w:tc>
      </w:tr>
      <w:tr>
        <w:tc>
          <w:tcPr>
            <w:tcW w:type="dxa" w:w="2351"/>
            <w:shd w:val="clear" w:color="auto" w:fill="DDEBF7"/>
          </w:tcPr>
          <w:p>
            <w:r>
              <w:rPr>
                <w:rFonts w:ascii="Meiryo UI" w:hAnsi="Meiryo UI"/>
                <w:sz w:val="18"/>
              </w:rPr>
              <w:t>確率加重FV</w:t>
            </w:r>
          </w:p>
        </w:tc>
        <w:tc>
          <w:tcPr>
            <w:tcW w:type="dxa" w:w="2351"/>
            <w:shd w:val="clear" w:color="auto" w:fill="DDEBF7"/>
          </w:tcPr>
          <w:p>
            <w:r>
              <w:rPr>
                <w:rFonts w:ascii="Meiryo UI" w:hAnsi="Meiryo UI"/>
                <w:sz w:val="18"/>
              </w:rPr>
              <w:t>¥1,378</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¥1,650×25%+¥1,380×50%+¥1,050×25%</w:t>
            </w:r>
          </w:p>
        </w:tc>
      </w:tr>
    </w:tbl>
    <w:p/>
    <w:p>
      <w:r>
        <w:t>──────────────────────────────────────────────────</w:t>
      </w:r>
    </w:p>
    <w:p/>
    <w:p>
      <w:pPr>
        <w:pStyle w:val="Heading2"/>
      </w:pPr>
      <w:r>
        <w:rPr>
          <w:rFonts w:ascii="Meiryo UI" w:hAnsi="Meiryo UI"/>
          <w:color w:val="2E74B5"/>
        </w:rPr>
        <w:t>セクション5 — 4/17版との判断変更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4/17版（誤）</w:t>
            </w:r>
          </w:p>
        </w:tc>
        <w:tc>
          <w:tcPr>
            <w:tcW w:type="dxa" w:w="3135"/>
            <w:shd w:val="clear" w:color="auto" w:fill="2E74B5"/>
          </w:tcPr>
          <w:p>
            <w:r>
              <w:rPr>
                <w:rFonts w:ascii="Meiryo UI" w:hAnsi="Meiryo UI"/>
                <w:b/>
                <w:color w:val="FFFFFF"/>
                <w:sz w:val="18"/>
              </w:rPr>
              <w:t>本版（正）</w:t>
            </w:r>
          </w:p>
        </w:tc>
      </w:tr>
      <w:tr>
        <w:tc>
          <w:tcPr>
            <w:tcW w:type="dxa" w:w="3135"/>
          </w:tcPr>
          <w:p>
            <w:r>
              <w:rPr>
                <w:rFonts w:ascii="Meiryo UI" w:hAnsi="Meiryo UI"/>
                <w:sz w:val="18"/>
              </w:rPr>
              <w:t>投資判断</w:t>
            </w:r>
          </w:p>
        </w:tc>
        <w:tc>
          <w:tcPr>
            <w:tcW w:type="dxa" w:w="3135"/>
          </w:tcPr>
          <w:p>
            <w:r>
              <w:rPr>
                <w:rFonts w:ascii="Meiryo UI" w:hAnsi="Meiryo UI"/>
                <w:sz w:val="18"/>
              </w:rPr>
              <w:t>SELL</w:t>
            </w:r>
          </w:p>
        </w:tc>
        <w:tc>
          <w:tcPr>
            <w:tcW w:type="dxa" w:w="3135"/>
          </w:tcPr>
          <w:p>
            <w:r>
              <w:rPr>
                <w:rFonts w:ascii="Meiryo UI" w:hAnsi="Meiryo UI"/>
                <w:sz w:val="18"/>
              </w:rPr>
              <w:t>HOLD</w:t>
            </w:r>
          </w:p>
        </w:tc>
      </w:tr>
      <w:tr>
        <w:tc>
          <w:tcPr>
            <w:tcW w:type="dxa" w:w="3135"/>
            <w:shd w:val="clear" w:color="auto" w:fill="DDEBF7"/>
          </w:tcPr>
          <w:p>
            <w:r>
              <w:rPr>
                <w:rFonts w:ascii="Meiryo UI" w:hAnsi="Meiryo UI"/>
                <w:sz w:val="18"/>
              </w:rPr>
              <w:t>FV</w:t>
            </w:r>
          </w:p>
        </w:tc>
        <w:tc>
          <w:tcPr>
            <w:tcW w:type="dxa" w:w="3135"/>
            <w:shd w:val="clear" w:color="auto" w:fill="DDEBF7"/>
          </w:tcPr>
          <w:p>
            <w:r>
              <w:rPr>
                <w:rFonts w:ascii="Meiryo UI" w:hAnsi="Meiryo UI"/>
                <w:sz w:val="18"/>
              </w:rPr>
              <w:t>¥980〜1,120</w:t>
            </w:r>
          </w:p>
        </w:tc>
        <w:tc>
          <w:tcPr>
            <w:tcW w:type="dxa" w:w="3135"/>
            <w:shd w:val="clear" w:color="auto" w:fill="DDEBF7"/>
          </w:tcPr>
          <w:p>
            <w:r>
              <w:rPr>
                <w:rFonts w:ascii="Meiryo UI" w:hAnsi="Meiryo UI"/>
                <w:sz w:val="18"/>
              </w:rPr>
              <w:t>¥1,380</w:t>
            </w:r>
          </w:p>
        </w:tc>
      </w:tr>
      <w:tr>
        <w:tc>
          <w:tcPr>
            <w:tcW w:type="dxa" w:w="3135"/>
          </w:tcPr>
          <w:p>
            <w:r>
              <w:rPr>
                <w:rFonts w:ascii="Meiryo UI" w:hAnsi="Meiryo UI"/>
                <w:sz w:val="18"/>
              </w:rPr>
              <w:t>売上高</w:t>
            </w:r>
          </w:p>
        </w:tc>
        <w:tc>
          <w:tcPr>
            <w:tcW w:type="dxa" w:w="3135"/>
          </w:tcPr>
          <w:p>
            <w:r>
              <w:rPr>
                <w:rFonts w:ascii="Meiryo UI" w:hAnsi="Meiryo UI"/>
                <w:sz w:val="18"/>
              </w:rPr>
              <w:t>¥900〜940億（推計）</w:t>
            </w:r>
          </w:p>
        </w:tc>
        <w:tc>
          <w:tcPr>
            <w:tcW w:type="dxa" w:w="3135"/>
          </w:tcPr>
          <w:p>
            <w:r>
              <w:rPr>
                <w:rFonts w:ascii="Meiryo UI" w:hAnsi="Meiryo UI"/>
                <w:sz w:val="18"/>
              </w:rPr>
              <w:t>¥1,655億（公式）</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¥32〜36億（推計）</w:t>
            </w:r>
          </w:p>
        </w:tc>
        <w:tc>
          <w:tcPr>
            <w:tcW w:type="dxa" w:w="3135"/>
            <w:shd w:val="clear" w:color="auto" w:fill="DDEBF7"/>
          </w:tcPr>
          <w:p>
            <w:r>
              <w:rPr>
                <w:rFonts w:ascii="Meiryo UI" w:hAnsi="Meiryo UI"/>
                <w:sz w:val="18"/>
              </w:rPr>
              <w:t>¥76.85億（公式）</w:t>
            </w:r>
          </w:p>
        </w:tc>
      </w:tr>
      <w:tr>
        <w:tc>
          <w:tcPr>
            <w:tcW w:type="dxa" w:w="3135"/>
          </w:tcPr>
          <w:p>
            <w:r>
              <w:rPr>
                <w:rFonts w:ascii="Meiryo UI" w:hAnsi="Meiryo UI"/>
                <w:sz w:val="18"/>
              </w:rPr>
              <w:t>株式数</w:t>
            </w:r>
          </w:p>
        </w:tc>
        <w:tc>
          <w:tcPr>
            <w:tcW w:type="dxa" w:w="3135"/>
          </w:tcPr>
          <w:p>
            <w:r>
              <w:rPr>
                <w:rFonts w:ascii="Meiryo UI" w:hAnsi="Meiryo UI"/>
                <w:sz w:val="18"/>
              </w:rPr>
              <w:t>4,750万株（誤）</w:t>
            </w:r>
          </w:p>
        </w:tc>
        <w:tc>
          <w:tcPr>
            <w:tcW w:type="dxa" w:w="3135"/>
          </w:tcPr>
          <w:p>
            <w:r>
              <w:rPr>
                <w:rFonts w:ascii="Meiryo UI" w:hAnsi="Meiryo UI"/>
                <w:sz w:val="18"/>
              </w:rPr>
              <w:t>9,972万株（公式）</w:t>
            </w:r>
          </w:p>
        </w:tc>
      </w:tr>
      <w:tr>
        <w:tc>
          <w:tcPr>
            <w:tcW w:type="dxa" w:w="3135"/>
            <w:shd w:val="clear" w:color="auto" w:fill="DDEBF7"/>
          </w:tcPr>
          <w:p>
            <w:r>
              <w:rPr>
                <w:rFonts w:ascii="Meiryo UI" w:hAnsi="Meiryo UI"/>
                <w:sz w:val="18"/>
              </w:rPr>
              <w:t>FY2026 OP</w:t>
            </w:r>
          </w:p>
        </w:tc>
        <w:tc>
          <w:tcPr>
            <w:tcW w:type="dxa" w:w="3135"/>
            <w:shd w:val="clear" w:color="auto" w:fill="DDEBF7"/>
          </w:tcPr>
          <w:p>
            <w:r>
              <w:rPr>
                <w:rFonts w:ascii="Meiryo UI" w:hAnsi="Meiryo UI"/>
                <w:sz w:val="18"/>
              </w:rPr>
              <w:t>下方修正リスク強調</w:t>
            </w:r>
          </w:p>
        </w:tc>
        <w:tc>
          <w:tcPr>
            <w:tcW w:type="dxa" w:w="3135"/>
            <w:shd w:val="clear" w:color="auto" w:fill="DDEBF7"/>
          </w:tcPr>
          <w:p>
            <w:r>
              <w:rPr>
                <w:rFonts w:ascii="Meiryo UI" w:hAnsi="Meiryo UI"/>
                <w:sz w:val="18"/>
              </w:rPr>
              <w:t>+16.4%ガイダンス（公式）</w:t>
            </w:r>
          </w:p>
        </w:tc>
      </w:tr>
      <w:tr>
        <w:tc>
          <w:tcPr>
            <w:tcW w:type="dxa" w:w="3135"/>
          </w:tcPr>
          <w:p>
            <w:r>
              <w:rPr>
                <w:rFonts w:ascii="Meiryo UI" w:hAnsi="Meiryo UI"/>
                <w:sz w:val="18"/>
              </w:rPr>
              <w:t>ホテル事業</w:t>
            </w:r>
          </w:p>
        </w:tc>
        <w:tc>
          <w:tcPr>
            <w:tcW w:type="dxa" w:w="3135"/>
          </w:tcPr>
          <w:p>
            <w:r>
              <w:rPr>
                <w:rFonts w:ascii="Meiryo UI" w:hAnsi="Meiryo UI"/>
                <w:sz w:val="18"/>
              </w:rPr>
              <w:t>「5〜10%の小セグメント」</w:t>
            </w:r>
          </w:p>
        </w:tc>
        <w:tc>
          <w:tcPr>
            <w:tcW w:type="dxa" w:w="3135"/>
          </w:tcPr>
          <w:p>
            <w:r>
              <w:rPr>
                <w:rFonts w:ascii="Meiryo UI" w:hAnsi="Meiryo UI"/>
                <w:sz w:val="18"/>
              </w:rPr>
              <w:t>グループ利益の86%を稼ぐ主力</w:t>
            </w:r>
          </w:p>
        </w:tc>
      </w:tr>
      <w:tr>
        <w:tc>
          <w:tcPr>
            <w:tcW w:type="dxa" w:w="3135"/>
            <w:shd w:val="clear" w:color="auto" w:fill="DDEBF7"/>
          </w:tcPr>
          <w:p>
            <w:r>
              <w:rPr>
                <w:rFonts w:ascii="Meiryo UI" w:hAnsi="Meiryo UI"/>
                <w:sz w:val="18"/>
              </w:rPr>
              <w:t>主要変更理由</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ホテル事業の強さを完全に見落とした</w:t>
            </w:r>
          </w:p>
        </w:tc>
      </w:tr>
    </w:tbl>
    <w:p/>
    <w:p>
      <w:r>
        <w:rPr>
          <w:rFonts w:ascii="Meiryo UI" w:hAnsi="Meiryo UI"/>
          <w:sz w:val="20"/>
        </w:rPr>
        <w:t>SELLからHOLDへの変更理由：</w:t>
      </w:r>
    </w:p>
    <w:p>
      <w:r>
        <w:rPr>
          <w:rFonts w:ascii="Meiryo UI" w:hAnsi="Meiryo UI"/>
          <w:sz w:val="20"/>
        </w:rPr>
        <w:t>ホテル事業（¥68.5億セグメント利益、+26.3%）がグループを支えており、4/17版が「外食+コントラクト」のみで分析した悲観論は誤り。ただし現値¥1,442はFV¥1,380比+4.4%やや割高のため積極的Buyも見送り。</w:t>
      </w:r>
    </w:p>
    <w:p/>
    <w:p>
      <w:r>
        <w:t>──────────────────────────────────────────────────</w:t>
      </w:r>
    </w:p>
    <w:p/>
    <w:p>
      <w:pPr>
        <w:pStyle w:val="Heading2"/>
      </w:pPr>
      <w:r>
        <w:rPr>
          <w:rFonts w:ascii="Meiryo UI" w:hAnsi="Meiryo UI"/>
          <w:color w:val="2E74B5"/>
        </w:rPr>
        <w:t>セクション6 — 不動産含み益NAV</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有形固定資産（BS帳簿）</w:t>
            </w:r>
          </w:p>
        </w:tc>
        <w:tc>
          <w:tcPr>
            <w:tcW w:type="dxa" w:w="4703"/>
          </w:tcPr>
          <w:p>
            <w:r>
              <w:rPr>
                <w:rFonts w:ascii="Meiryo UI" w:hAnsi="Meiryo UI"/>
                <w:sz w:val="18"/>
              </w:rPr>
              <w:t>⚠️ 詳細内訳は有報確認要（公式ソース未取得）</w:t>
            </w:r>
          </w:p>
        </w:tc>
      </w:tr>
      <w:tr>
        <w:tc>
          <w:tcPr>
            <w:tcW w:type="dxa" w:w="4703"/>
            <w:shd w:val="clear" w:color="auto" w:fill="DDEBF7"/>
          </w:tcPr>
          <w:p>
            <w:r>
              <w:rPr>
                <w:rFonts w:ascii="Meiryo UI" w:hAnsi="Meiryo UI"/>
                <w:sz w:val="18"/>
              </w:rPr>
              <w:t>推定含み益</w:t>
            </w:r>
          </w:p>
        </w:tc>
        <w:tc>
          <w:tcPr>
            <w:tcW w:type="dxa" w:w="4703"/>
            <w:shd w:val="clear" w:color="auto" w:fill="DDEBF7"/>
          </w:tcPr>
          <w:p>
            <w:r>
              <w:rPr>
                <w:rFonts w:ascii="Meiryo UI" w:hAnsi="Meiryo UI"/>
                <w:sz w:val="18"/>
              </w:rPr>
              <w:t>¥10〜30億（都心・駅前出店比率高め）</w:t>
            </w:r>
          </w:p>
        </w:tc>
      </w:tr>
      <w:tr>
        <w:tc>
          <w:tcPr>
            <w:tcW w:type="dxa" w:w="4703"/>
          </w:tcPr>
          <w:p>
            <w:r>
              <w:rPr>
                <w:rFonts w:ascii="Meiryo UI" w:hAnsi="Meiryo UI"/>
                <w:sz w:val="18"/>
              </w:rPr>
              <w:t>1株あたり</w:t>
            </w:r>
          </w:p>
        </w:tc>
        <w:tc>
          <w:tcPr>
            <w:tcW w:type="dxa" w:w="4703"/>
          </w:tcPr>
          <w:p>
            <w:r>
              <w:rPr>
                <w:rFonts w:ascii="Meiryo UI" w:hAnsi="Meiryo UI"/>
                <w:sz w:val="18"/>
              </w:rPr>
              <w:t>¥10〜30（FVへの寄与は軽微）</w:t>
            </w:r>
          </w:p>
        </w:tc>
      </w:tr>
    </w:tbl>
    <w:p/>
    <w:p>
      <w:r>
        <w:t>──────────────────────────────────────────────────</w:t>
      </w:r>
    </w:p>
    <w:p/>
    <w:p>
      <w:pPr>
        <w:pStyle w:val="Heading2"/>
      </w:pPr>
      <w:r>
        <w:rPr>
          <w:rFonts w:ascii="Meiryo UI" w:hAnsi="Meiryo UI"/>
          <w:color w:val="2E74B5"/>
        </w:rPr>
        <w:t>セクション7 — 推奨アクション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アクション</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現時点</w:t>
            </w:r>
          </w:p>
        </w:tc>
        <w:tc>
          <w:tcPr>
            <w:tcW w:type="dxa" w:w="4703"/>
          </w:tcPr>
          <w:p>
            <w:r>
              <w:rPr>
                <w:rFonts w:ascii="Meiryo UI" w:hAnsi="Meiryo UI"/>
                <w:sz w:val="18"/>
              </w:rPr>
              <w:t>エントリー見送り（FV比+4.4%割高）</w:t>
            </w:r>
          </w:p>
        </w:tc>
      </w:tr>
      <w:tr>
        <w:tc>
          <w:tcPr>
            <w:tcW w:type="dxa" w:w="4703"/>
            <w:shd w:val="clear" w:color="auto" w:fill="DDEBF7"/>
          </w:tcPr>
          <w:p>
            <w:r>
              <w:rPr>
                <w:rFonts w:ascii="Meiryo UI" w:hAnsi="Meiryo UI"/>
                <w:sz w:val="18"/>
              </w:rPr>
              <w:t>買い検討水準</w:t>
            </w:r>
          </w:p>
        </w:tc>
        <w:tc>
          <w:tcPr>
            <w:tcW w:type="dxa" w:w="4703"/>
            <w:shd w:val="clear" w:color="auto" w:fill="DDEBF7"/>
          </w:tcPr>
          <w:p>
            <w:r>
              <w:rPr>
                <w:rFonts w:ascii="Meiryo UI" w:hAnsi="Meiryo UI"/>
                <w:sz w:val="18"/>
              </w:rPr>
              <w:t>¥1,250〜1,300（安全域10〜15%確保）</w:t>
            </w:r>
          </w:p>
        </w:tc>
      </w:tr>
      <w:tr>
        <w:tc>
          <w:tcPr>
            <w:tcW w:type="dxa" w:w="4703"/>
          </w:tcPr>
          <w:p>
            <w:r>
              <w:rPr>
                <w:rFonts w:ascii="Meiryo UI" w:hAnsi="Meiryo UI"/>
                <w:sz w:val="18"/>
              </w:rPr>
              <w:t>最重要監視日</w:t>
            </w:r>
          </w:p>
        </w:tc>
        <w:tc>
          <w:tcPr>
            <w:tcW w:type="dxa" w:w="4703"/>
          </w:tcPr>
          <w:p>
            <w:r>
              <w:rPr>
                <w:rFonts w:ascii="Meiryo UI" w:hAnsi="Meiryo UI"/>
                <w:sz w:val="18"/>
              </w:rPr>
              <w:t>2026年5月：FY2026 H1決算・通期ガイダンス修正</w:t>
            </w:r>
          </w:p>
        </w:tc>
      </w:tr>
      <w:tr>
        <w:tc>
          <w:tcPr>
            <w:tcW w:type="dxa" w:w="4703"/>
            <w:shd w:val="clear" w:color="auto" w:fill="DDEBF7"/>
          </w:tcPr>
          <w:p>
            <w:r>
              <w:rPr>
                <w:rFonts w:ascii="Meiryo UI" w:hAnsi="Meiryo UI"/>
                <w:sz w:val="18"/>
              </w:rPr>
              <w:t>判断分岐</w:t>
            </w:r>
          </w:p>
        </w:tc>
        <w:tc>
          <w:tcPr>
            <w:tcW w:type="dxa" w:w="4703"/>
            <w:shd w:val="clear" w:color="auto" w:fill="DDEBF7"/>
          </w:tcPr>
          <w:p>
            <w:r>
              <w:rPr>
                <w:rFonts w:ascii="Meiryo UI" w:hAnsi="Meiryo UI"/>
                <w:sz w:val="18"/>
              </w:rPr>
              <w:t>H1 OP ¥35億超 → BUY検討。¥25億未満 → SELL転換</w:t>
            </w:r>
          </w:p>
        </w:tc>
      </w:tr>
      <w:tr>
        <w:tc>
          <w:tcPr>
            <w:tcW w:type="dxa" w:w="4703"/>
          </w:tcPr>
          <w:p>
            <w:r>
              <w:rPr>
                <w:rFonts w:ascii="Meiryo UI" w:hAnsi="Meiryo UI"/>
                <w:sz w:val="18"/>
              </w:rPr>
              <w:t>ホテル月次</w:t>
            </w:r>
          </w:p>
        </w:tc>
        <w:tc>
          <w:tcPr>
            <w:tcW w:type="dxa" w:w="4703"/>
          </w:tcPr>
          <w:p>
            <w:r>
              <w:rPr>
                <w:rFonts w:ascii="Meiryo UI" w:hAnsi="Meiryo UI"/>
                <w:sz w:val="18"/>
              </w:rPr>
              <w:t>リッチモンドHD稼働率・RevPAR（月次確認）</w:t>
            </w:r>
          </w:p>
        </w:tc>
      </w:tr>
    </w:tbl>
    <w:p/>
    <w:p>
      <w:r>
        <w:t>──────────────────────────────────────────────────</w:t>
      </w:r>
    </w:p>
    <w:p/>
    <w:p>
      <w:pPr>
        <w:pStyle w:val="Heading2"/>
      </w:pPr>
      <w:r>
        <w:rPr>
          <w:rFonts w:ascii="Meiryo UI" w:hAnsi="Meiryo UI"/>
          <w:color w:val="2E74B5"/>
        </w:rPr>
        <w:t>📧 IR質問状（恒久プロトコル）</w:t>
      </w:r>
    </w:p>
    <w:p/>
    <w:p>
      <w:pPr>
        <w:shd w:val="clear" w:color="auto" w:fill="F2F2F2"/>
      </w:pPr>
      <w:r>
        <w:rPr>
          <w:rFonts w:ascii="Courier New" w:hAnsi="Courier New"/>
          <w:sz w:val="16"/>
        </w:rPr>
        <w:t>【ロイヤルホールディングス株式会社：IR担当者様への質問案】</w:t>
        <w:br/>
        <w:br/>
        <w:t>件名：FY2026業績予想・UAゼンセン賃上げ対応に関する</w:t>
        <w:br/>
        <w:t xml:space="preserve">　　　IR取材のご依頼（竹村トレードカンパニー）</w:t>
        <w:br/>
        <w:br/>
        <w:t>本文：</w:t>
        <w:br/>
        <w:br/>
        <w:t>竹村トレードカンパニーの浅井と申します。</w:t>
        <w:br/>
        <w:t>2026年2月公表の決算および春闘妥結を踏まえ、</w:t>
        <w:br/>
        <w:t>Fair Value算出の精度向上のため以下4点を確認させてください。</w:t>
        <w:br/>
        <w:br/>
        <w:t>1.【FY2026ガイダンスへのUAゼンセン賃上げ織込み状況】</w:t>
        <w:br/>
        <w:t xml:space="preserve">　 2月16日のガイダンス（OP¥89.5億）は春闘妥結前の設定と推測します。</w:t>
        <w:br/>
        <w:t xml:space="preserve">　 +6.3%パートタイマー賃上げのグループ全体コスト影響（億円）と、</w:t>
        <w:br/>
        <w:t xml:space="preserve">　 ガイダンスへの織込み度合い（0%/50%/100%）をご確認ください。</w:t>
        <w:br/>
        <w:br/>
        <w:t>2.【外食事業セグメント利益▲26.9%の構造分析】</w:t>
        <w:br/>
        <w:t xml:space="preserve">　 FY2025の外食セグメント利益が¥23.4億（前期¥32.0億比▲26.9%）と</w:t>
        <w:br/>
        <w:t xml:space="preserve">　 大幅悪化しました。人件費・食材費・光熱費の各コスト増の内訳と、</w:t>
        <w:br/>
        <w:t xml:space="preserve">　 FY2026での改善見込みをご教示ください。</w:t>
        <w:br/>
        <w:br/>
        <w:t>3.【てんやの価格転嫁限界と業態戦略】</w:t>
        <w:br/>
        <w:t xml:space="preserve">　 1月の既存店客数▲5.9%（客単価+12.9%）はメニュー価格の弾性限界を</w:t>
        <w:br/>
        <w:t xml:space="preserve">　 示唆します。追加値上げの余地と、競合（吉野家・松屋）との</w:t>
        <w:br/>
        <w:t xml:space="preserve">　 差別化戦略についてご見解をお聞かせください。</w:t>
        <w:br/>
        <w:br/>
        <w:t>4.【ホテル事業の持続性】</w:t>
        <w:br/>
        <w:t xml:space="preserve">　 FY2025ホテルセグメント利益は¥68.5億（+26.3%）とグループの柱です。</w:t>
        <w:br/>
        <w:t xml:space="preserve">　 インバウンド依存度（訪日客数への感応度）と、</w:t>
        <w:br/>
        <w:t xml:space="preserve">　 FY2026のRevPAR・稼働率の想定値をご教示ください。</w:t>
        <w:br/>
        <w:br/>
        <w:t>以上よろしくお願い申し上げます。</w:t>
        <w:br/>
        <w:br/>
        <w:t>竹村トレードカンパニー　浅井</w:t>
      </w:r>
    </w:p>
    <w:p/>
    <w:p>
      <w:r>
        <w:t>──────────────────────────────────────────────────</w:t>
      </w:r>
    </w:p>
    <w:p/>
    <w:p>
      <w:pPr>
        <w:pStyle w:val="Heading2"/>
      </w:pPr>
      <w:r>
        <w:rPr>
          <w:rFonts w:ascii="Meiryo UI" w:hAnsi="Meiryo UI"/>
          <w:color w:val="2E74B5"/>
        </w:rPr>
        <w:t>最終判断</w:t>
      </w:r>
    </w:p>
    <w:p/>
    <w:p>
      <w:pPr>
        <w:shd w:val="clear" w:color="auto" w:fill="F2F2F2"/>
      </w:pPr>
      <w:r>
        <w:rPr>
          <w:rFonts w:ascii="Courier New" w:hAnsi="Courier New"/>
          <w:sz w:val="16"/>
        </w:rPr>
        <w:t>━━━━━━━━━━━━━━━━━━━━━━━━━━━━━━</w:t>
        <w:br/>
        <w:t xml:space="preserve">  8179 ロイヤルホールディングス</w:t>
        <w:br/>
        <w:t xml:space="preserve">  現在値：¥1,442 | FV：¥1,380 | 安全域：▲4.3%</w:t>
        <w:br/>
        <w:br/>
        <w:t xml:space="preserve">  投資判断：HOLD（中立）</w:t>
        <w:br/>
        <w:t xml:space="preserve">  浅井スコア：+45</w:t>
        <w:br/>
        <w:br/>
        <w:t xml:space="preserve">  4/17版からの主要修正：</w:t>
        <w:br/>
        <w:t xml:space="preserve">  ① 売上¥940億→¥1,655億（公式決算短信）</w:t>
        <w:br/>
        <w:t xml:space="preserve">  ② OP¥34億→¥76.85億（同）</w:t>
        <w:br/>
        <w:t xml:space="preserve">  ③ ホテル事業が利益の86%を稼ぐ主力（見落とし修正）</w:t>
        <w:br/>
        <w:t xml:space="preserve">  ④ 判断：SELL→HOLD</w:t>
        <w:br/>
        <w:br/>
        <w:t xml:space="preserve">  次の判断分岐：5月FY2026 H1決算</w:t>
        <w:br/>
        <w:t>━━━━━━━━━━━━━━━━━━━━━━━━━━━━━━</w:t>
      </w:r>
    </w:p>
    <w:p/>
    <w:p>
      <w:r>
        <w:t>──────────────────────────────────────────────────</w:t>
      </w:r>
    </w:p>
    <w:p/>
    <w:p>
      <w:pPr>
        <w:pStyle w:val="Heading2"/>
      </w:pPr>
      <w:r>
        <w:rPr>
          <w:rFonts w:ascii="Meiryo UI" w:hAnsi="Meiryo UI"/>
          <w:color w:val="2E74B5"/>
        </w:rPr>
        <w:t>金利エビデンス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取得日</w:t>
            </w:r>
          </w:p>
        </w:tc>
        <w:tc>
          <w:tcPr>
            <w:tcW w:type="dxa" w:w="4703"/>
            <w:shd w:val="clear" w:color="auto" w:fill="DDEBF7"/>
          </w:tcPr>
          <w:p>
            <w:r>
              <w:rPr>
                <w:rFonts w:ascii="Meiryo UI" w:hAnsi="Meiryo UI"/>
                <w:sz w:val="18"/>
              </w:rPr>
              <w:t>2026-04-18</w:t>
            </w:r>
          </w:p>
        </w:tc>
      </w:tr>
    </w:tbl>
    <w:p/>
    <w:p>
      <w:r>
        <w:rPr>
          <w:rFonts w:ascii="Meiryo UI" w:hAnsi="Meiryo UI"/>
          <w:sz w:val="20"/>
        </w:rPr>
        <w:t>作成：2026年4月18日 | 深井（竹村トレードカンパニー）</w:t>
      </w:r>
    </w:p>
    <w:p>
      <w:r>
        <w:rPr>
          <w:rFonts w:ascii="Meiryo UI" w:hAnsi="Meiryo UI"/>
          <w:sz w:val="20"/>
        </w:rPr>
        <w:t>全過去実績値は2026/02/16公表の決算短信準拠。推計値を使用した箇所は本文中に⚠️明示。</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