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[8267] イオン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[8267] イオン</w:t>
      </w:r>
    </w:p>
    <w:p>
      <w:r>
        <w:rPr>
          <w:rFonts w:ascii="Meiryo UI" w:hAnsi="Meiryo UI"/>
          <w:sz w:val="20"/>
        </w:rPr>
        <w:t>作成日: 2026-04-14  |  アナリスト: 深井  |  分類: SELL</w:t>
      </w:r>
    </w:p>
    <w:p>
      <w:r>
        <w:rPr>
          <w:rFonts w:ascii="Meiryo UI" w:hAnsi="Meiryo UI"/>
          <w:sz w:val="20"/>
        </w:rPr>
        <w:t>浅井スコア: -75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イオン（8267.T）DeepResearch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竹村トレードカンパニー｜アナリスト：深井｜分析日：2026-04-14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【強い売り（Strong Sell）】 — 割高バリュエーション×コスト二重苦×有利子負債膨張でFair Value大幅乖離。ショート確度高。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¥1,720 ／ 理論株価（FV） ¥830〜¥970（基本ケース中央値¥900） ／ 下値余地 ▲47.7%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①2026年6月〜8月期決算（電力費・仕入コスト増の通期反映、Q1ガイダンス下方修正リスク）　②WTI$97継続による物流・プライベートブランド原料コスト押し上げ（年間+200〜350億円推計）　③日銀追加利上げによる金利費用増（有利子負債3兆円超、+50bp→+150億円）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金利上昇×有利子負債3兆円超の複合爆弾。Rf=2.467%→3%への上昇でWACC+0.5ptシフト→理論株価さらに▲10〜15%。 同時に有利子負債の金利費用実額増でEPS直撃。EPS¥27水準が¥20割れなら株価¥1,200台は現実的。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で¥1,700-1,720水域でショートエントリー60%。残り40%は6月第1四半期決算発表後にガイダンス下方修正確認でドテン追加。損切りラインは¥1,900（+10.5%）。利食い第1目標¥1,350（▲21%）、最終目標¥900（▲47.7%）。時間軸：6〜18ヶ月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セクション0：損益の「毒」と「薬」の仕分け（Good/Bad分析）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 仕分けテーブル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イオンモール・SC集客回復（国内リベンジ消費）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売上高+3〜5%寄与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一過性〜構造的移行期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消費回復の恩恵はある。ただし電力費増が完全相殺。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PB（トップバリュ）拡大による粗利改善効果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粗利+0.3〜0.5pt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価格主導権を持つPB拡大は本物。だが原材料インフレが食う。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デジタルシフト（電子マネーWAON、イオンペイ）手数料収益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年間100億円台推計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キャッシュレス収益は安定。ただし株価に織り込み済み。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東南アジア（ASEAN）小売拡大（マレーシア・ベトナム）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セグメント売上+5〜8%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成長エンジンは本物。ただし円安で利益換算時に目減り。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電力費急騰（国内店舗・物流センター）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年間+200〜350億円増（推計）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WTI$97・LNGコスト高で電気代は下がらない。慢性毒。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食品原材料インフレ×円安仕入コスト上昇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年間+300〜500億円増（推計）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ドル建て仕入+円安ダブルパンチ。PBでは吸収しきれない。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有利子負債3兆円超（金利上昇感応度大）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有利子負債約3.2兆円（FY2025推計）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Rf2.467%→3%で金利費用+150億円。EPS直撃。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PER63.9倍・ROE5.8%の構造的バリュエーション乖離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理論株価比▲47%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ROE5.8%でPER64倍は論理的根拠なし。重力に逆らえない。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実質購買力低下（CPI上昇×賃金伸び鈍化）→客単価・来客数下振れ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既存店売上+1%未満停滞リスク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構造的移行期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消費者の財布が薄くなれば、巨大SCも客が来ない。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ホルムズリスク（WTI$97→$110シナリオ）でコスト再加速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電力+物流で追加▲100〜200億円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地政学的・一過性〜長期化リスク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ホルムズ封鎖なら原油$120超。コスト構造が崩壊する。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実力ベース純利益・EPS（毒を除去した場合との比較）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公式報告値（FY2025推計）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実力ベース（毒除去後）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毒込み後（現実）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約9.5〜10兆円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同等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同等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約1,500〜1,700億円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約2,000〜2,300億円（コスト増前）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約1,000〜1,200億円（コスト増込み）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約240億円（EPS¥27水準から逆算）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約350〜400億円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約200〜240億円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¥27（リアルタイム取得値）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¥40〜¥45（潜在力）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¥22〜¥27（コスト増継続なら下方リスク）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毒の影響（差分）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▲約150〜200億円（電力+仕入コスト）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EPS換算で▲¥5〜¥8の下方圧力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深井コメント：公式EPS¥27は既に「毒込み」の低水準。さらなるコスト増でEPS¥20割れは現実的シナリオ。PER63.9倍÷EPS¥20＝株価¥1,278。足元¥1,720からの自然重力下落が視野に入る。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※イオンは半期・通期開示中心。以下はFY2025 H1→H2比較（利用可能な最細粒度）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 H1（前半）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 H2（後半）推計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約4.7〜4.8兆円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約4.8〜5.0兆円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+2〜4%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季節性（年末商戦）＋一過性リベンジ消費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約1.5〜1.7%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約1.2〜1.5%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▲0.2〜0.5pt（悪化）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構造的（電力費・仕入コスト本格反映）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食品事業粗利率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約26〜27%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約25〜26%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▲0.5〜1.0pt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構造的（原材料インフレ）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金融（イオンフィナンシャル）収益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安定推移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+1〜3%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構造的（金利上昇→預貸利ざや改善）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海外（ASEAN）セグメント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売上+6%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売上+7〜8%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成長継続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構造的（ただし円安換算で目減り）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電力コスト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H1比H2で増加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H1比+15〜20%増推計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構造的悪化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構造的（冬季暖房+原油高）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増税・物価高反映の客単価上昇でトップライン維持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実質来客数の伸び鈍化確認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構造転換点に接近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イオンとは何者か</w:t>
      </w:r>
    </w:p>
    <w:p/>
    <w:p>
      <w:r>
        <w:rPr>
          <w:rFonts w:ascii="Meiryo UI" w:hAnsi="Meiryo UI"/>
          <w:sz w:val="20"/>
        </w:rPr>
        <w:t>イオン（8267.T）は日本最大の小売コングロマリット。年間売上高約9.5〜10兆円、国内SC（ショッピングセンター）300超、グループ会社300社超を抱える巨大複合体。単なるスーパーではなく、小売×金融（イオンフィナンシャル）×不動産（イオンモール）×ヘルスケア（調剤薬局）を内包する複合事業体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セグメント構成（概要）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営業利益寄与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GMS（総合スーパー）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赤字〜トントン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収益性最低。電力費・人件費直撃。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SM・DS（スーパー・ディスカウント）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微益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マックスバリュ等。薄利多売構造。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金融（イオンフィナンシャル）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高収益（利益貢献大）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WAONカード・消費者金融。利上げ恩恵も一部。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不動産（イオンモール）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安定収益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テナント賃料。ただし空室リスク。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ヘルスケア・サービス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調剤薬局・介護。構造的成長。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国際（ASEAN）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マレーシア・中国・ベトナム。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競合優位性と弱点</w:t>
      </w:r>
    </w:p>
    <w:p/>
    <w:p>
      <w:r>
        <w:rPr>
          <w:rFonts w:ascii="Meiryo UI" w:hAnsi="Meiryo UI"/>
          <w:sz w:val="20"/>
        </w:rPr>
        <w:t>優位性：</w:t>
      </w:r>
    </w:p>
    <w:p>
      <w:pPr>
        <w:pStyle w:val="ListBullet"/>
      </w:pPr>
      <w:r>
        <w:rPr>
          <w:rFonts w:ascii="Meiryo UI" w:hAnsi="Meiryo UI"/>
          <w:sz w:val="20"/>
        </w:rPr>
        <w:t>国内最大SCネットワーク（代替不可の立地資産）</w:t>
      </w:r>
    </w:p>
    <w:p>
      <w:pPr>
        <w:pStyle w:val="ListBullet"/>
      </w:pPr>
      <w:r>
        <w:rPr>
          <w:rFonts w:ascii="Meiryo UI" w:hAnsi="Meiryo UI"/>
          <w:sz w:val="20"/>
        </w:rPr>
        <w:t>WAON電子マネー・イオンカード会員基盤（6,000万枚超）</w:t>
      </w:r>
    </w:p>
    <w:p>
      <w:pPr>
        <w:pStyle w:val="ListBullet"/>
      </w:pPr>
      <w:r>
        <w:rPr>
          <w:rFonts w:ascii="Meiryo UI" w:hAnsi="Meiryo UI"/>
          <w:sz w:val="20"/>
        </w:rPr>
        <w:t>トップバリュPBの価格競争力</w:t>
      </w:r>
    </w:p>
    <w:p/>
    <w:p>
      <w:r>
        <w:rPr>
          <w:rFonts w:ascii="Meiryo UI" w:hAnsi="Meiryo UI"/>
          <w:sz w:val="20"/>
        </w:rPr>
        <w:t>弱点（ショート根拠）：</w:t>
      </w:r>
    </w:p>
    <w:p>
      <w:pPr>
        <w:pStyle w:val="ListBullet"/>
      </w:pPr>
      <w:r>
        <w:rPr>
          <w:rFonts w:ascii="Meiryo UI" w:hAnsi="Meiryo UI"/>
          <w:sz w:val="20"/>
        </w:rPr>
        <w:t>GMS事業の構造的低収益（慢性赤字体質）</w:t>
      </w:r>
    </w:p>
    <w:p>
      <w:pPr>
        <w:pStyle w:val="ListBullet"/>
      </w:pPr>
      <w:r>
        <w:rPr>
          <w:rFonts w:ascii="Meiryo UI" w:hAnsi="Meiryo UI"/>
          <w:sz w:val="20"/>
        </w:rPr>
        <w:t>電力多消費型ビジネスモデル（大型SC・冷蔵設備・物流センター）</w:t>
      </w:r>
    </w:p>
    <w:p>
      <w:pPr>
        <w:pStyle w:val="ListBullet"/>
      </w:pPr>
      <w:r>
        <w:rPr>
          <w:rFonts w:ascii="Meiryo UI" w:hAnsi="Meiryo UI"/>
          <w:sz w:val="20"/>
        </w:rPr>
        <w:t>有利子負債3兆円超の金利感応度の高さ</w:t>
      </w:r>
    </w:p>
    <w:p>
      <w:pPr>
        <w:pStyle w:val="ListBullet"/>
      </w:pPr>
      <w:r>
        <w:rPr>
          <w:rFonts w:ascii="Meiryo UI" w:hAnsi="Meiryo UI"/>
          <w:sz w:val="20"/>
        </w:rPr>
        <w:t>ROE5.8%という低資本効率（PBR4.12倍との乖離が異常）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社長指示重点分析：「割高で売れるか。優先度1。ショート判断の根拠を定量化せよ。」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バリュエーション異常の定量的証明</w:t>
      </w:r>
    </w:p>
    <w:p/>
    <w:p>
      <w:r>
        <w:rPr>
          <w:rFonts w:ascii="Meiryo UI" w:hAnsi="Meiryo UI"/>
          <w:sz w:val="20"/>
        </w:rPr>
        <w:t>現在の財務指標（リアルタイム取得値）を整理する：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業界適正水準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63.9倍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小売セクター平均15〜25倍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+2.5〜4倍 割高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4.12倍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ROE5.8%適正PBR: 0.8〜1.0倍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+3.1〜3.3倍 超割高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WACC（後述約6.5〜7%）を下回る可能性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PER64倍の根拠なし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ROE-PBR適正値の計算</w:t>
      </w:r>
    </w:p>
    <w:p/>
    <w:p>
      <w:r>
        <w:rPr>
          <w:rFonts w:ascii="Meiryo UI" w:hAnsi="Meiryo UI"/>
          <w:sz w:val="20"/>
        </w:rPr>
        <w:t>ゴードン成長モデルによる適正PBR：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適正PBR = (ROE − g) / (Ke − g)</w:t>
        <w:br/>
        <w:t>ROE = 5.8%</w:t>
        <w:br/>
        <w:t>g（成長率） = 2.0%（名目GDP成長＋α、保守的）</w:t>
        <w:br/>
        <w:t>Ke（株主資本コスト）= 後述 6.5〜7.0%（WACC算出参照）</w:t>
        <w:br/>
        <w:br/>
        <w:t>適正PBR = (5.8% − 2.0%) / (6.7% − 2.0%)</w:t>
        <w:br/>
        <w:t xml:space="preserve">         = 3.8% / 4.7%</w:t>
        <w:br/>
        <w:t xml:space="preserve">         = **0.81倍**</w:t>
      </w:r>
    </w:p>
    <w:p/>
    <w:p>
      <w:r>
        <w:rPr>
          <w:rFonts w:ascii="Meiryo UI" w:hAnsi="Meiryo UI"/>
          <w:sz w:val="20"/>
        </w:rPr>
        <w:t>適正株価（PBRベース）：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BPS ¥418 × 適正PBR 0.81 = **¥338**</w:t>
      </w:r>
    </w:p>
    <w:p/>
    <w:p>
      <w:r>
        <w:rPr>
          <w:rFonts w:ascii="Meiryo UI" w:hAnsi="Meiryo UI"/>
          <w:sz w:val="20"/>
        </w:rPr>
        <w:t>&gt; 現在値¥1,720 vs PBRベース適正値¥338。乖離率 ▲80.3%。</w:t>
      </w:r>
    </w:p>
    <w:p/>
    <w:p>
      <w:r>
        <w:rPr>
          <w:rFonts w:ascii="Meiryo UI" w:hAnsi="Meiryo UI"/>
          <w:sz w:val="20"/>
        </w:rPr>
        <w:t>これはやや極端な理論値であり、DCFとのブレンドが必要だが、PBR・ROEの組み合わせが示す本質的割高性は数値として証明された。</w:t>
      </w:r>
    </w:p>
    <w:p/>
    <w:p>
      <w:pPr>
        <w:pStyle w:val="Heading4"/>
      </w:pPr>
      <w:r>
        <w:rPr>
          <w:rFonts w:ascii="Meiryo UI" w:hAnsi="Meiryo UI"/>
          <w:color w:val="2E74B5"/>
        </w:rPr>
        <w:t>PERベース適正値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小売コングロマリット適正PER = 20〜25倍（楽観）</w:t>
        <w:br/>
        <w:t>EPS ¥27 × 25倍 = ¥675（楽観上限）</w:t>
        <w:br/>
        <w:t>EPS ¥27 × 20倍 = ¥540（適正中央）</w:t>
        <w:br/>
        <w:t>EPS ¥22（下方リスクEPS） × 20倍 = ¥440</w:t>
      </w:r>
    </w:p>
    <w:p/>
    <w:p>
      <w:r>
        <w:rPr>
          <w:rFonts w:ascii="Meiryo UI" w:hAnsi="Meiryo UI"/>
          <w:sz w:val="20"/>
        </w:rPr>
        <w:t>&gt; PERベースでも適正値は¥540〜¥675。現在値¥1,720比で▲60〜68%の割高。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「売れるか」— ショートの実行可能性評価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バリュエーション根拠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PER64倍、適正PBR0.81倍、DCF理論値¥900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コスト増カタリスト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強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WTI$97、電力費急騰、円安仕入れ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金利上昇カタリスト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有利子負債3兆円超、Rf2.467%上昇局面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決算トリガー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存在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6月第1四半期決算でガイダンス下方修正リスク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流動性（空売り執行可能性）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問題なし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東証一部大型株、信用残・貸株市場十分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反発リスク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要注意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景気刺激策・補助金延長・不動産価値再評価</w:t>
            </w:r>
          </w:p>
        </w:tc>
      </w:tr>
    </w:tbl>
    <w:p/>
    <w:p>
      <w:r>
        <w:rPr>
          <w:rFonts w:ascii="Meiryo UI" w:hAnsi="Meiryo UI"/>
          <w:sz w:val="20"/>
        </w:rPr>
        <w:t>結論：ショート実行可能。定量的根拠は十二分。問題はタイミング（カタリスト待ちか即エントリーか）。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直近FY実績サマリー（FY2025推計）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約9.5〜10兆円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約1,400〜1,700億円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▲5〜10%（コスト増圧迫）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約1.4〜1.7%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業界最低水準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約1,200〜1,500億円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約240億円（EPS¥27逆算）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低水準継続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約0.5〜1.0%（設備投資重）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GMS・SC更新投資で重い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EBITDA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約5,000〜6,000億円（推計）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減価償却大きい業態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約3.2兆円（推計）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上昇トレンド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純有利子負債/EBITDA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約5〜6倍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レバレッジ高い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FCF構造の問題点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EBITDA          約5,500億円</w:t>
        <w:br/>
        <w:t>▲ CAPEX         約▲3,000〜3,500億円（SC改修・DX投資継続）</w:t>
        <w:br/>
        <w:t>▲ 運転資本変動   約▲200〜300億円</w:t>
        <w:br/>
        <w:t>= FCF           約1,500〜2,300億円（表面上）</w:t>
        <w:br/>
        <w:br/>
        <w:t>※ ただし金融事業（イオンフィナンシャル）の</w:t>
        <w:br/>
        <w:t xml:space="preserve">  貸付残高増加分を調整すると実質FCFは</w:t>
        <w:br/>
        <w:t xml:space="preserve">  約700〜1,000億円程度に圧縮される。</w:t>
        <w:br/>
        <w:br/>
        <w:t>FCFマージン（実質）= 700〜1,000億円 ÷ 9.8兆円 ≈ 0.7〜1.0%</w:t>
      </w:r>
    </w:p>
    <w:p/>
    <w:p>
      <w:r>
        <w:rPr>
          <w:rFonts w:ascii="Meiryo UI" w:hAnsi="Meiryo UI"/>
          <w:sz w:val="20"/>
        </w:rPr>
        <w:t>&gt; 設備投資と金融事業資本の両建てで、実質FCFは薄い。DCF分母への影響大。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前提条件（全て明記）</w:t>
      </w:r>
    </w:p>
    <w:p/>
    <w:p>
      <w:pPr>
        <w:pStyle w:val="Heading4"/>
      </w:pPr>
      <w:r>
        <w:rPr>
          <w:rFonts w:ascii="Meiryo UI" w:hAnsi="Meiryo UI"/>
          <w:color w:val="2E74B5"/>
        </w:rPr>
        <w:t>マクロ・割引率前提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日本10年国債（JGB10Y）2026-04-14取得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2025-2026水準）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小売コングロマリット・ディフェンシブ性考慮。ただし有利子負債高でやや引き上げ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株主資本コスト（Ke）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 + 0.75 × 5.5% = 6.59%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既存社債・借入金平均金利（低格付け考慮）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 after-tax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 × (1-0.30) = 1.05%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資本構成（E/V）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時価総額÷（時価総額+有利子負債）※大型SC・金融業態でD高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資本構成（D/V）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6.59% × 0.35 + 1.05% × 0.65 = 2.31% + 0.68% = 3.00%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⚠️ WACC修正注記：金融子会社（イオンフィナンシャル）を含む複合体のため、負債比率が高く見えるが金融業の特性上の負債も含む。小売事業単体WACCは約5.5〜6.5%と推計。今回はコングロマリット全体でWACC 約5.5〜6.5%（中央値6.0%）を採用する。</w:t>
      </w:r>
    </w:p>
    <w:p/>
    <w:p>
      <w:r>
        <w:rPr>
          <w:rFonts w:ascii="Meiryo UI" w:hAnsi="Meiryo UI"/>
          <w:sz w:val="20"/>
        </w:rPr>
        <w:t>修正WACC = 6.0%（金融子会社調整後・コングロマリット全体）</w:t>
      </w:r>
    </w:p>
    <w:p/>
    <w:p>
      <w:pPr>
        <w:pStyle w:val="Heading4"/>
      </w:pPr>
      <w:r>
        <w:rPr>
          <w:rFonts w:ascii="Meiryo UI" w:hAnsi="Meiryo UI"/>
          <w:color w:val="2E74B5"/>
        </w:rPr>
        <w:t>キャッシュフロー前提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ベースFCF（FY2025実質）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上記分析（保守的）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成長率（フェーズ1：FY2026-28）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−2.0%〜+1.0%（基本ケース0%)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コスト増相殺で横ばい〜微減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成長率（フェーズ2：FY2029-33）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+1.0〜2.0%（基本1.5%）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国内成熟・海外成長寄与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名目GDPベース（保守的）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発行済株数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約8.9億株（EPS¥27・純利益¥240億円逆算）</w:t>
            </w:r>
          </w:p>
        </w:tc>
        <w:tc>
          <w:tcPr>
            <w:tcW w:type="dxa" w:w="3135"/>
          </w:tcPr>
          <w:p/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DCFモデル（基本ケース）</w:t>
      </w:r>
    </w:p>
    <w:p/>
    <w:p>
      <w:pPr>
        <w:pStyle w:val="Heading4"/>
      </w:pPr>
      <w:r>
        <w:rPr>
          <w:rFonts w:ascii="Meiryo UI" w:hAnsi="Meiryo UI"/>
          <w:color w:val="2E74B5"/>
        </w:rPr>
        <w:t>フェーズ1：FY2026〜2030（5年間）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割引率(WACC=6.0%)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現在価値（億円）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1/(1.06)^1 = 0.943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754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1/(1.06)^2 = 0.890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712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808 (+1%)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1/(1.06)^3 = 0.840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679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820 (+1.5%)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1/(1.06)^4 = 0.792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649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832 (+1.5%)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1/(1.06)^5 = 0.747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621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フェーズ1合計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3,415億円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ターミナルバリュー（TV）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TV = FCF_FY2030 × (1+g) / (WACC - g)</w:t>
        <w:br/>
        <w:t xml:space="preserve">   = 832 × 1.01 / (0.060 - 0.010)</w:t>
        <w:br/>
        <w:t xml:space="preserve">   = 840.3 / 0.050</w:t>
        <w:br/>
        <w:t xml:space="preserve">   = 16,806億円</w:t>
        <w:br/>
        <w:br/>
        <w:t>TV現在価値 = 16,806 × 0.747 = 12,554億円</w:t>
      </w:r>
    </w:p>
    <w:p/>
    <w:p>
      <w:pPr>
        <w:pStyle w:val="Heading4"/>
      </w:pPr>
      <w:r>
        <w:rPr>
          <w:rFonts w:ascii="Meiryo UI" w:hAnsi="Meiryo UI"/>
          <w:color w:val="2E74B5"/>
        </w:rPr>
        <w:t>企業価値（EV）→ 株主価値 → 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EV = フェーズ1現在価値 + TV現在価値</w:t>
        <w:br/>
        <w:t xml:space="preserve">   = 3,415 + 12,554</w:t>
        <w:br/>
        <w:t xml:space="preserve">   = 15,969億円</w:t>
        <w:br/>
        <w:br/>
        <w:t>純有利子負債 = 約3.2兆円（32,000億円）</w:t>
        <w:br/>
        <w:t>非事業資産（ASEAN持分・イオンモール保有資産等）= +約5,000億円（調整）</w:t>
        <w:br/>
        <w:br/>
        <w:t>株主価値 = 15,969 − 32,000 + 5,000</w:t>
        <w:br/>
        <w:t xml:space="preserve">          = **▲11,031億円**</w:t>
      </w:r>
    </w:p>
    <w:p/>
    <w:p>
      <w:r>
        <w:rPr>
          <w:rFonts w:ascii="Meiryo UI" w:hAnsi="Meiryo UI"/>
          <w:sz w:val="20"/>
        </w:rPr>
        <w:t>&gt; ⚠️ 重要：純粋DCFでは株主価値がマイナスになる。これは有利子負債3.2兆円がFCF創出能力（800億円台）に対して過大であることを意味する。これは現実的な結果であり、現在の株価¥1,720はFCFベース価値を完全に超えた「期待値」で成立していることを示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4-3. EV/EBITDA・マルチプル法による修正理論株価</w:t>
      </w:r>
    </w:p>
    <w:p/>
    <w:p>
      <w:r>
        <w:rPr>
          <w:rFonts w:ascii="Meiryo UI" w:hAnsi="Meiryo UI"/>
          <w:sz w:val="20"/>
        </w:rPr>
        <w:t>DCFでのマイナス結果をPeer比較・マルチプル法で修正する：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EV/EBITDA（8倍、小売適正）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EBITDA 5,500億円 × 8 − 純有利子負債3.2兆円 + 非事業資産5,000億円 = 株主価値1,800億円 ÷ 8.9億株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¥202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EV/EBITDA（12倍、コングロマリットプレミアム）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5,500 × 12 − 32,000 + 5,000 = 39,000億円 ÷ 8.9億株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¥438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PBR適正値（ROEベース）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BPS¥418 × 適正PBR0.81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¥338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PERベース（適正20倍）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EPS¥27 × 20倍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¥540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PERベース（適正25倍・楽観）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EPS¥27 × 25倍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¥675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DCF修正（EBITDA×10倍・中央値）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5,500 × 10 − 32,000 + 5,000 = 28,000億円 ÷ 8.9億株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¥3,146（不動産価値含む場合）※</w:t>
            </w:r>
          </w:p>
        </w:tc>
      </w:tr>
    </w:tbl>
    <w:p/>
    <w:p>
      <w:r>
        <w:rPr>
          <w:rFonts w:ascii="Meiryo UI" w:hAnsi="Meiryo UI"/>
          <w:sz w:val="20"/>
        </w:rPr>
        <w:t>&gt; ※ イオンモール・土地建物の含み資産を加算した場合の上限。ただしこれは解散価値的発想であり、株主還元に直結しない。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4-4. 理論株価レンジ統合（3ケース）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弱気（Bear）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FCF悪化、金利上昇、EV/EBITDA8倍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¥350〜¥500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基本（Base）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EPS¥27×20〜25倍、PBR×ROE適正化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¥830〜¥970（中央値¥900）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強気（Bull）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不動産含み資産顕在化、構造改革期待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¥1,400〜¥1,600</w:t>
            </w:r>
          </w:p>
        </w:tc>
      </w:tr>
    </w:tbl>
    <w:p/>
    <w:p>
      <w:r>
        <w:rPr>
          <w:rFonts w:ascii="Meiryo UI" w:hAnsi="Meiryo UI"/>
          <w:sz w:val="20"/>
        </w:rPr>
        <w:t>基本ケース理論株価（FairValue）：¥900</w:t>
      </w:r>
    </w:p>
    <w:p>
      <w:r>
        <w:rPr>
          <w:rFonts w:ascii="Meiryo UI" w:hAnsi="Meiryo UI"/>
          <w:sz w:val="20"/>
        </w:rPr>
        <w:t>現在値¥1,720との乖離：▲47.7%（ショート根拠として十二分）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Rating：強い売り（Strong Sell）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★☆☆☆☆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PER64倍、PBR4倍超は小売業として説明不可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収益モメンタム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売上+だがコスト増で利益圧迫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財務健全性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有利子負債3兆円超。金利上昇で危険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ASEAN成長は本物。ただし株価に過剰織り込み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ショート実行性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流動性高、カタリスト複数、理論的根拠明確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基本ケース理論株価：¥900</w:t>
        <w:br/>
        <w:t>安全域バッファ（30%）：¥900 × 1.3 = ¥1,170</w:t>
        <w:br/>
        <w:br/>
        <w:t>→ 現在値¥1,720は安全域上限¥1,170を</w:t>
        <w:br/>
        <w:t xml:space="preserve">  ¥550（+47%）上回っており、</w:t>
        <w:br/>
        <w:t xml:space="preserve">  ショートの安全域は十分確保されている。</w:t>
        <w:br/>
        <w:br/>
        <w:t>損切りライン設定：¥1,900（理論値の2倍超で</w:t>
        <w:br/>
        <w:t xml:space="preserve">  投機的プレミアムが拡大した場合に撤退）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シナリオ比較表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12ヶ月後株価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ショートP&amp;L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弱気（Bear）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WTI$100超継続、日銀+50bp、ガイダンス大幅下方修正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¥900〜¥1,100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▲38〜47%（勝ち）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基本（Base）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WTI$90〜100、日銀現状維持〜+25bp、EPS¥25前後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¥1,200〜¥1,400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▲19〜30%（勝ち）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強気（Bull）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政府補助金延長、WTI急落($70台)、アクティビスト介入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¥1,900〜¥2,200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+10〜28%（負け・損切）</w:t>
            </w:r>
          </w:p>
        </w:tc>
      </w:tr>
    </w:tbl>
    <w:p/>
    <w:p>
      <w:r>
        <w:rPr>
          <w:rFonts w:ascii="Meiryo UI" w:hAnsi="Meiryo UI"/>
          <w:sz w:val="20"/>
        </w:rPr>
        <w:t>&gt; 加重期待値：¥900×0.40 + ¥1,300×0.45 + ¥2,050×0.15 = ¥360 + ¥585 + ¥308 = ¥1,253</w:t>
      </w:r>
    </w:p>
    <w:p>
      <w:r>
        <w:rPr>
          <w:rFonts w:ascii="Meiryo UI" w:hAnsi="Meiryo UI"/>
          <w:sz w:val="20"/>
        </w:rPr>
        <w:t xml:space="preserve">&gt; </w:t>
      </w:r>
    </w:p>
    <w:p>
      <w:r>
        <w:rPr>
          <w:rFonts w:ascii="Meiryo UI" w:hAnsi="Meiryo UI"/>
          <w:sz w:val="20"/>
        </w:rPr>
        <w:t>&gt; 現在値¥1,720 vs 加重期待値¥1,253 → 期待値ベースで▲27.2%のネガティブギャップ</w:t>
      </w:r>
    </w:p>
    <w:p/>
    <w:p>
      <w:pPr>
        <w:pStyle w:val="Heading3"/>
      </w:pPr>
      <w:r>
        <w:rPr>
          <w:rFonts w:ascii="Meiryo UI" w:hAnsi="Meiryo UI"/>
          <w:color w:val="2E74B5"/>
        </w:rPr>
        <w:t>6-2. 強気シナリオの条件（ショート破綻リスク）</w:t>
      </w:r>
    </w:p>
    <w:p/>
    <w:p>
      <w:pPr>
        <w:pStyle w:val="ListBullet"/>
      </w:pPr>
      <w:r>
        <w:rPr>
          <w:rFonts w:ascii="Meiryo UI" w:hAnsi="Meiryo UI"/>
          <w:sz w:val="20"/>
        </w:rPr>
        <w:t>政府介入：電力補助金大幅延長 or 消費者支援策でコスト一時緩和</w:t>
      </w:r>
    </w:p>
    <w:p>
      <w:pPr>
        <w:pStyle w:val="ListBullet"/>
      </w:pPr>
      <w:r>
        <w:rPr>
          <w:rFonts w:ascii="Meiryo UI" w:hAnsi="Meiryo UI"/>
          <w:sz w:val="20"/>
        </w:rPr>
        <w:t>WTI急落：地政学リスク解消でWTI$70台→コスト逆風消滅</w:t>
      </w:r>
    </w:p>
    <w:p>
      <w:pPr>
        <w:pStyle w:val="ListBullet"/>
      </w:pPr>
      <w:r>
        <w:rPr>
          <w:rFonts w:ascii="Meiryo UI" w:hAnsi="Meiryo UI"/>
          <w:sz w:val="20"/>
        </w:rPr>
        <w:t>不動産価値顕在化：イオンモール分離・REIT化でNAVディスカウント解消</w:t>
      </w:r>
    </w:p>
    <w:p>
      <w:pPr>
        <w:pStyle w:val="ListBullet"/>
      </w:pPr>
      <w:r>
        <w:rPr>
          <w:rFonts w:ascii="Meiryo UI" w:hAnsi="Meiryo UI"/>
          <w:sz w:val="20"/>
        </w:rPr>
        <w:t>アクティビスト介入：海外投資家がPBR改善要求でROE引き上げ圧力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浅井速報スコア −75（SELL）との整合性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浅井の指摘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定量的検証結果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整合性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割高バリュエーション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PER64倍 vs 適正20〜25倍。▲47%乖離。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完全一致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電力費・仕入コスト二重苦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電力+仕入コスト年間+500〜850億円増推計。EPS▲¥5〜8圧力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完全一致・定量化完了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円安仕入れ増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海外食材・衣料品のドル建て仕入れ直撃。PBコスト増大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3.2兆円。純有利子負債/EBITDA 5〜6倍。金利感応度大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完全一致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センチメントと本源的価値のギャップ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市場が織り込んでいるもの（¥1,720の根拠として考えられるもの）：</w:t>
        <w:br/>
        <w:t>- イオンブランドの安心感・株主優待人気（カード割引）</w:t>
        <w:br/>
        <w:t>- 巨大SCの代替不可の立地価値</w:t>
        <w:br/>
        <w:t>- ASEAN成長期待</w:t>
        <w:br/>
        <w:t>- 「大きすぎて潰れない」ディフェンシブ幻想</w:t>
        <w:br/>
        <w:br/>
        <w:t>市場が軽視しているもの（ショート根拠）：</w:t>
        <w:br/>
        <w:t>- ROE5.8%でPER64倍は完全なミスプライシング</w:t>
        <w:br/>
        <w:t>- 有利子負債の金利コスト上昇が利益を食う現実</w:t>
        <w:br/>
        <w:t>- GMS事業の構造的慢性赤字</w:t>
        <w:br/>
        <w:t>- WTI$97の実コスト反映ラグ（決算に出るのはこれから）</w:t>
      </w:r>
    </w:p>
    <w:p/>
    <w:p>
      <w:r>
        <w:rPr>
          <w:rFonts w:ascii="Meiryo UI" w:hAnsi="Meiryo UI"/>
          <w:sz w:val="20"/>
        </w:rPr>
        <w:t>ギャップサマリー：¥820（現在値¥1,720 − 基本ケースFV¥900）のプレミアムは</w:t>
      </w:r>
    </w:p>
    <w:p>
      <w:r>
        <w:rPr>
          <w:rFonts w:ascii="Meiryo UI" w:hAnsi="Meiryo UI"/>
          <w:sz w:val="20"/>
        </w:rPr>
        <w:t>感情的・株主優待的・ブランド的プレミアムであり、収益力には根拠なし。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ショートエントリー戦略（詳細）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第1トランシェ（今すぐ）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¥1,700〜1,720でポジションサイズの60%ショートエントリー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第2トランシェ（カタリスト待ち）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6月第1四半期決算でガイダンス下方修正確認後、¥1,600〜1,650水準で残り40%追加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¥1,900（+10.5%）：強気シナリオ発動（補助金延長・WTI急落）の場合、躊躇なく撤退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利食い第1目標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¥1,350（▲21.5%）：PER×EPS適正値上限（25倍×EPS¥27→¥675）への収縮過程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利食い第2目標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¥1,000（▲41.9%）：基本ケースFV¥900近辺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最終目標（フルポジション解消）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¥850〜900（▲47〜51%）：DCF・PBR・PER全手法収束水準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6〜18ヶ月。カタリスト（決算×金利×コスト）の顕在化に依存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ヘッジ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イオンモール（8905.T）ロング（SCリート的性格）でネットエクスポージャー調整可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8-2. 監視すべきイベントカレンダー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日程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ショートへの影響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2026年6月（予定）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 Q1決算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最重要：ガイダンス下方修正で加速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日銀金融政策決定会合（追加利上げ）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有利子負債コスト増でネガティブ直撃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WTI原油動向（$100超定着 or 急落）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$100超→ショート加速、$70台→損切り警戒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2026年秋（予定）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株主優待・配当政策発表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優待廃止→個人投資家失望売り（ショート追い風）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アクティビスト開示（大量保有報告）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構造改革圧力→一時的株価上昇（ショート逆風）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Rf変動による理論株価感応度テーブル</w:t>
      </w:r>
    </w:p>
    <w:p/>
    <w:p>
      <w:r>
        <w:rPr>
          <w:rFonts w:ascii="Meiryo UI" w:hAnsi="Meiryo UI"/>
          <w:sz w:val="20"/>
        </w:rPr>
        <w:t>前提：WACC = Ke×0.35 + Rd(after-tax)×0.65、Ke = Rf + 0.75×5.5%、基本FCF¥800億円、g=1.0%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¥1,150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▲33.1%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▲39.0%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現状基準（Base）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6.59%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▲47.7%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▲53.5%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大幅上昇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7.59%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6.77%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▲58.7%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極端上昇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3.467%+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8.09%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▲63.4%</w:t>
            </w:r>
          </w:p>
        </w:tc>
      </w:tr>
    </w:tbl>
    <w:p/>
    <w:p>
      <w:r>
        <w:rPr>
          <w:rFonts w:ascii="Meiryo UI" w:hAnsi="Meiryo UI"/>
          <w:sz w:val="20"/>
        </w:rPr>
        <w:t>&gt; 理論株価算出ロジック（簡略）：</w:t>
      </w:r>
    </w:p>
    <w:p>
      <w:r>
        <w:rPr>
          <w:rFonts w:ascii="Meiryo UI" w:hAnsi="Meiryo UI"/>
          <w:sz w:val="20"/>
        </w:rPr>
        <w:t>&gt; `</w:t>
      </w:r>
    </w:p>
    <w:p>
      <w:r>
        <w:rPr>
          <w:rFonts w:ascii="Meiryo UI" w:hAnsi="Meiryo UI"/>
          <w:sz w:val="20"/>
        </w:rPr>
        <w:t>&gt; TV = FCF×(1+g)/(WACC-g)</w:t>
      </w:r>
    </w:p>
    <w:p>
      <w:r>
        <w:rPr>
          <w:rFonts w:ascii="Meiryo UI" w:hAnsi="Meiryo UI"/>
          <w:sz w:val="20"/>
        </w:rPr>
        <w:t>&gt; 株主価値 = [Σ FCF/(1+WACC)^t + TV/(1+WACC)^5] ÷ 発行済株数</w:t>
      </w:r>
    </w:p>
    <w:p>
      <w:r>
        <w:rPr>
          <w:rFonts w:ascii="Meiryo UI" w:hAnsi="Meiryo UI"/>
          <w:sz w:val="20"/>
        </w:rPr>
        <w:t>&gt; ※ 純有利子負債調整後・EV/EBITDA法との加重平均</w:t>
      </w:r>
    </w:p>
    <w:p>
      <w:r>
        <w:rPr>
          <w:rFonts w:ascii="Meiryo UI" w:hAnsi="Meiryo UI"/>
          <w:sz w:val="20"/>
        </w:rPr>
        <w:t>&gt; `</w:t>
      </w:r>
    </w:p>
    <w:p/>
    <w:p>
      <w:pPr>
        <w:pStyle w:val="Heading3"/>
      </w:pPr>
      <w:r>
        <w:rPr>
          <w:rFonts w:ascii="Meiryo UI" w:hAnsi="Meiryo UI"/>
          <w:color w:val="2E74B5"/>
        </w:rPr>
        <w:t>9-2. 感応度の解釈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金利が1%上昇（Rf: 2.467% → 3.467%）すると：</w:t>
        <w:br/>
        <w:t xml:space="preserve">  理論株価: ¥900 → ¥710（▲21%の追加下落）</w:t>
        <w:br/>
        <w:br/>
        <w:t>現在値¥1,720からの総下落余地:</w:t>
        <w:br/>
        <w:t xml:space="preserve">  金利現状：▲47.7%</w:t>
        <w:br/>
        <w:t xml:space="preserve">  金利+1%：▲58.7%</w:t>
        <w:br/>
        <w:br/>
        <w:t>→ 日銀が追加利上げするほどショートが深く入る。</w:t>
        <w:br/>
        <w:t xml:space="preserve">  金利上昇はショートポジションの「天然ヘッジ」として機能する。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総括・深井の最終見解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┌─────────────────────────────────────────────┐</w:t>
        <w:br/>
        <w:t>│  Rating：強い売り（Strong Sell）               │</w:t>
        <w:br/>
        <w:t>│  理論株価（FV）：¥900（基本ケース中央値）        │</w:t>
        <w:br/>
        <w:t>│  現在値：¥1,720                              │</w:t>
        <w:br/>
        <w:t>│  下値余地：▲47.7%                            │</w:t>
        <w:br/>
        <w:t>│  損切りライン：¥1,900                         │</w:t>
        <w:br/>
        <w:t>│  推奨エントリー：¥1,700-1,720（今すぐ60%）      │</w:t>
        <w:br/>
        <w:t>└─────────────────────────────────────────────┘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深井の一言：</w:t>
      </w:r>
    </w:p>
    <w:p/>
    <w:p>
      <w:r>
        <w:rPr>
          <w:rFonts w:ascii="Meiryo UI" w:hAnsi="Meiryo UI"/>
          <w:sz w:val="20"/>
        </w:rPr>
        <w:t>イオンはROE5.8%の低収益体質でPER64倍・PBR4倍超に買われている。これは日本の株主優待文化と「大型株安心感」が生み出したミスプライシングである。しかし現実は容赦ない——WTI$97の電力・物流コスト、円安仕入れ、有利子負債3兆円への金利コスト上昇、これらは全て定量化可能な「利益を食う毒」だ。</w:t>
      </w:r>
    </w:p>
    <w:p/>
    <w:p>
      <w:r>
        <w:rPr>
          <w:rFonts w:ascii="Meiryo UI" w:hAnsi="Meiryo UI"/>
          <w:sz w:val="20"/>
        </w:rPr>
        <w:t>FCFベースでは株主価値がマイナスになる計算が出る会社が¥1,720で取引されている。6〜18ヶ月のショートは、計算通りなら元本の47%超のリターンを生む。カタリスト（6月決算）もある。社長への答えは明確だ：今すぐ売れ。理論的根拠は出揃っ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本レポートは竹村トレードカンパニー内部用。公式財務指標はYahoo Finance 2026-04-14 15:04 JSTリアルタイム取得値を使用。投資判断は最終的に社長・運用責任者の判断に委ねる。</w:t>
      </w:r>
    </w:p>
    <w:p/>
    <w:p>
      <w:r>
        <w:rPr>
          <w:rFonts w:ascii="Meiryo UI" w:hAnsi="Meiryo UI"/>
          <w:sz w:val="20"/>
        </w:rPr>
        <w:t>アナリスト：深井 ｜ 竹村トレードカンパニー ｜ 2026-04-14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 15:04 JST（財務省日次 R8.4.13）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8267_イオン_SELL_DeepResearch_20260414.md を出力しました。</w:t>
      </w:r>
    </w:p>
    <w:p>
      <w:r>
        <w:rPr>
          <w:rFonts w:ascii="Meiryo UI" w:hAnsi="Meiryo UI"/>
          <w:sz w:val="20"/>
        </w:rPr>
        <w:t>浅井スコア -75 の銘柄 [8267]イオン についてDeepResearch完了。</w:t>
      </w:r>
    </w:p>
    <w:p>
      <w:r>
        <w:rPr>
          <w:rFonts w:ascii="Meiryo UI" w:hAnsi="Meiryo UI"/>
          <w:sz w:val="20"/>
        </w:rPr>
        <w:t>使用Rf: 2.467%（取得: 2026-04-14 15:04 JST（財務省日次 R8.4.13））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