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8285 三谷産業 — Deep Research</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8285 三谷産業 — Deep Research</w:t>
      </w:r>
    </w:p>
    <w:p>
      <w:r>
        <w:rPr>
          <w:rFonts w:ascii="Meiryo UI" w:hAnsi="Meiryo UI"/>
          <w:sz w:val="20"/>
        </w:rPr>
        <w:t>作成日: 2026-04-22 | 担当: 深井 | 優先度: 1 | 決算: 2026-04-26（4日後）</w:t>
      </w:r>
    </w:p>
    <w:p/>
    <w:p>
      <w:r>
        <w:t>──────────────────────────────────────────────────</w:t>
      </w:r>
    </w:p>
    <w:p/>
    <w:p>
      <w:pPr>
        <w:pStyle w:val="Heading2"/>
      </w:pPr>
      <w:r>
        <w:rPr>
          <w:rFonts w:ascii="Meiryo UI" w:hAnsi="Meiryo UI"/>
          <w:color w:val="2E74B5"/>
        </w:rPr>
        <w:t>⚡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小口BUY（決算前30-40%エントリー）</w:t>
            </w:r>
          </w:p>
        </w:tc>
      </w:tr>
      <w:tr>
        <w:tc>
          <w:tcPr>
            <w:tcW w:type="dxa" w:w="4703"/>
            <w:shd w:val="clear" w:color="auto" w:fill="DDEBF7"/>
          </w:tcPr>
          <w:p>
            <w:r>
              <w:rPr>
                <w:rFonts w:ascii="Meiryo UI" w:hAnsi="Meiryo UI"/>
                <w:sz w:val="18"/>
              </w:rPr>
              <w:t>FV（ベース）</w:t>
            </w:r>
          </w:p>
        </w:tc>
        <w:tc>
          <w:tcPr>
            <w:tcW w:type="dxa" w:w="4703"/>
            <w:shd w:val="clear" w:color="auto" w:fill="DDEBF7"/>
          </w:tcPr>
          <w:p>
            <w:r>
              <w:rPr>
                <w:rFonts w:ascii="Meiryo UI" w:hAnsi="Meiryo UI"/>
                <w:sz w:val="18"/>
              </w:rPr>
              <w:t>¥943（PBR 1.0x回帰、+19.5%）</w:t>
            </w:r>
          </w:p>
        </w:tc>
      </w:tr>
      <w:tr>
        <w:tc>
          <w:tcPr>
            <w:tcW w:type="dxa" w:w="4703"/>
          </w:tcPr>
          <w:p>
            <w:r>
              <w:rPr>
                <w:rFonts w:ascii="Meiryo UI" w:hAnsi="Meiryo UI"/>
                <w:sz w:val="18"/>
              </w:rPr>
              <w:t>FV（ブル）</w:t>
            </w:r>
          </w:p>
        </w:tc>
        <w:tc>
          <w:tcPr>
            <w:tcW w:type="dxa" w:w="4703"/>
          </w:tcPr>
          <w:p>
            <w:r>
              <w:rPr>
                <w:rFonts w:ascii="Meiryo UI" w:hAnsi="Meiryo UI"/>
                <w:sz w:val="18"/>
              </w:rPr>
              <w:t>¥1,271（+61.1%、増配＋自社株買い＋ROE改善）</w:t>
            </w:r>
          </w:p>
        </w:tc>
      </w:tr>
      <w:tr>
        <w:tc>
          <w:tcPr>
            <w:tcW w:type="dxa" w:w="4703"/>
            <w:shd w:val="clear" w:color="auto" w:fill="DDEBF7"/>
          </w:tcPr>
          <w:p>
            <w:r>
              <w:rPr>
                <w:rFonts w:ascii="Meiryo UI" w:hAnsi="Meiryo UI"/>
                <w:sz w:val="18"/>
              </w:rPr>
              <w:t>FV（ベア）</w:t>
            </w:r>
          </w:p>
        </w:tc>
        <w:tc>
          <w:tcPr>
            <w:tcW w:type="dxa" w:w="4703"/>
            <w:shd w:val="clear" w:color="auto" w:fill="DDEBF7"/>
          </w:tcPr>
          <w:p>
            <w:r>
              <w:rPr>
                <w:rFonts w:ascii="Meiryo UI" w:hAnsi="Meiryo UI"/>
                <w:sz w:val="18"/>
              </w:rPr>
              <w:t>¥616（▲21.9%、減益＋ROE悪化）</w:t>
            </w:r>
          </w:p>
        </w:tc>
      </w:tr>
      <w:tr>
        <w:tc>
          <w:tcPr>
            <w:tcW w:type="dxa" w:w="4703"/>
          </w:tcPr>
          <w:p>
            <w:r>
              <w:rPr>
                <w:rFonts w:ascii="Meiryo UI" w:hAnsi="Meiryo UI"/>
                <w:sz w:val="18"/>
              </w:rPr>
              <w:t>Gordon FV</w:t>
            </w:r>
          </w:p>
        </w:tc>
        <w:tc>
          <w:tcPr>
            <w:tcW w:type="dxa" w:w="4703"/>
          </w:tcPr>
          <w:p>
            <w:r>
              <w:rPr>
                <w:rFonts w:ascii="Meiryo UI" w:hAnsi="Meiryo UI"/>
                <w:sz w:val="18"/>
              </w:rPr>
              <w:t>¥871（+10.4%、ROE/WACC理論値）</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¥740（MA25付近、PBR 0.78x）</w:t>
            </w:r>
          </w:p>
        </w:tc>
      </w:tr>
      <w:tr>
        <w:tc>
          <w:tcPr>
            <w:tcW w:type="dxa" w:w="4703"/>
          </w:tcPr>
          <w:p>
            <w:r>
              <w:rPr>
                <w:rFonts w:ascii="Meiryo UI" w:hAnsi="Meiryo UI"/>
                <w:sz w:val="18"/>
              </w:rPr>
              <w:t>次回決算</w:t>
            </w:r>
          </w:p>
        </w:tc>
        <w:tc>
          <w:tcPr>
            <w:tcW w:type="dxa" w:w="4703"/>
          </w:tcPr>
          <w:p>
            <w:r>
              <w:rPr>
                <w:rFonts w:ascii="Meiryo UI" w:hAnsi="Meiryo UI"/>
                <w:sz w:val="18"/>
              </w:rPr>
              <w:t>2026-04-26（月）14:00</w:t>
            </w:r>
          </w:p>
        </w:tc>
      </w:tr>
    </w:tbl>
    <w:p/>
    <w:p>
      <w:r>
        <w:rPr>
          <w:rFonts w:ascii="Meiryo UI" w:hAnsi="Meiryo UI"/>
          <w:sz w:val="20"/>
        </w:rPr>
        <w:t>3弾丸：</w:t>
      </w:r>
    </w:p>
    <w:p>
      <w:pPr>
        <w:pStyle w:val="ListNumber"/>
      </w:pPr>
      <w:r>
        <w:rPr>
          <w:rFonts w:ascii="Meiryo UI" w:hAnsi="Meiryo UI"/>
          <w:sz w:val="20"/>
        </w:rPr>
        <w:t>BPS ¥943に対して株価¥789 = 16.3%のPBRディスカウント。解散価値への回帰余地は明確</w:t>
      </w:r>
    </w:p>
    <w:p>
      <w:pPr>
        <w:pStyle w:val="ListNumber"/>
      </w:pPr>
      <w:r>
        <w:rPr>
          <w:rFonts w:ascii="Meiryo UI" w:hAnsi="Meiryo UI"/>
          <w:sz w:val="20"/>
        </w:rPr>
        <w:t>1年リターン+140.5%・3M+30.4%でモメンタム継続中。RSI 67・MA乖離+5.8%は許容範囲</w:t>
      </w:r>
    </w:p>
    <w:p>
      <w:pPr>
        <w:pStyle w:val="ListNumber"/>
      </w:pPr>
      <w:r>
        <w:rPr>
          <w:rFonts w:ascii="Meiryo UI" w:hAnsi="Meiryo UI"/>
          <w:sz w:val="20"/>
        </w:rPr>
        <w:t>配当性向26.4%（低い）= 増配余地あり。4/26での増配・自社株買い発表が最大カタリスト</w:t>
      </w:r>
    </w:p>
    <w:p/>
    <w:p>
      <w:r>
        <w:rPr>
          <w:rFonts w:ascii="Meiryo UI" w:hAnsi="Meiryo UI"/>
          <w:sz w:val="20"/>
        </w:rPr>
        <w:t>最大リスク： ROE 6.53% &lt; WACC 7.07%。構造的に収益が資本コストを下回っており、PBR&lt;1は「理論上は正当」。資本効率改善の具体策なしでは持続的なPBR1.0x維持は難しい。</w:t>
      </w:r>
    </w:p>
    <w:p/>
    <w:p>
      <w:r>
        <w:rPr>
          <w:rFonts w:ascii="Meiryo UI" w:hAnsi="Meiryo UI"/>
          <w:sz w:val="20"/>
        </w:rPr>
        <w:t>推奨アクション： 4/26決算前に小口（30-40%）先行エントリー。決算で①EPS上振れ②増配/自社株買い③ROE改善コミットのいずれかが出たら残りを追加。なければ決算後に改めて判断。</w:t>
      </w:r>
    </w:p>
    <w:p/>
    <w:p>
      <w:r>
        <w:t>──────────────────────────────────────────────────</w:t>
      </w:r>
    </w:p>
    <w:p/>
    <w:p>
      <w:pPr>
        <w:pStyle w:val="Heading2"/>
      </w:pPr>
      <w:r>
        <w:rPr>
          <w:rFonts w:ascii="Meiryo UI" w:hAnsi="Meiryo UI"/>
          <w:color w:val="2E74B5"/>
        </w:rPr>
        <w:t>IR偵察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IR窓口</w:t>
            </w:r>
          </w:p>
        </w:tc>
        <w:tc>
          <w:tcPr>
            <w:tcW w:type="dxa" w:w="4703"/>
          </w:tcPr>
          <w:p>
            <w:r>
              <w:rPr>
                <w:rFonts w:ascii="Meiryo UI" w:hAnsi="Meiryo UI"/>
                <w:sz w:val="18"/>
              </w:rPr>
              <w:t>https://www.mitanisangyo.co.jp/ir/</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3月期（FY26.3期 = 2026年3月期）</w:t>
            </w:r>
          </w:p>
        </w:tc>
      </w:tr>
      <w:tr>
        <w:tc>
          <w:tcPr>
            <w:tcW w:type="dxa" w:w="4703"/>
          </w:tcPr>
          <w:p>
            <w:r>
              <w:rPr>
                <w:rFonts w:ascii="Meiryo UI" w:hAnsi="Meiryo UI"/>
                <w:sz w:val="18"/>
              </w:rPr>
              <w:t>決算発表</w:t>
            </w:r>
          </w:p>
        </w:tc>
        <w:tc>
          <w:tcPr>
            <w:tcW w:type="dxa" w:w="4703"/>
          </w:tcPr>
          <w:p>
            <w:r>
              <w:rPr>
                <w:rFonts w:ascii="Meiryo UI" w:hAnsi="Meiryo UI"/>
                <w:sz w:val="18"/>
              </w:rPr>
              <w:t>2026-04-26（月）14:00</w:t>
            </w:r>
          </w:p>
        </w:tc>
      </w:tr>
      <w:tr>
        <w:tc>
          <w:tcPr>
            <w:tcW w:type="dxa" w:w="4703"/>
            <w:shd w:val="clear" w:color="auto" w:fill="DDEBF7"/>
          </w:tcPr>
          <w:p>
            <w:r>
              <w:rPr>
                <w:rFonts w:ascii="Meiryo UI" w:hAnsi="Meiryo UI"/>
                <w:sz w:val="18"/>
              </w:rPr>
              <w:t>問い合わせ</w:t>
            </w:r>
          </w:p>
        </w:tc>
        <w:tc>
          <w:tcPr>
            <w:tcW w:type="dxa" w:w="4703"/>
            <w:shd w:val="clear" w:color="auto" w:fill="DDEBF7"/>
          </w:tcPr>
          <w:p>
            <w:r>
              <w:rPr>
                <w:rFonts w:ascii="Meiryo UI" w:hAnsi="Meiryo UI"/>
                <w:sz w:val="18"/>
              </w:rPr>
              <w:t>オーキッドツリーキャピタル 竹村耕名義</w:t>
            </w:r>
          </w:p>
        </w:tc>
      </w:tr>
    </w:tbl>
    <w:p/>
    <w:p>
      <w:r>
        <w:t>──────────────────────────────────────────────────</w:t>
      </w:r>
    </w:p>
    <w:p/>
    <w:p>
      <w:pPr>
        <w:pStyle w:val="Heading2"/>
      </w:pPr>
      <w:r>
        <w:rPr>
          <w:rFonts w:ascii="Meiryo UI" w:hAnsi="Meiryo UI"/>
          <w:color w:val="2E74B5"/>
        </w:rPr>
        <w:t>1. ビジネスモデル概要</w:t>
      </w:r>
    </w:p>
    <w:p/>
    <w:p>
      <w:r>
        <w:rPr>
          <w:rFonts w:ascii="Meiryo UI" w:hAnsi="Meiryo UI"/>
          <w:sz w:val="20"/>
        </w:rPr>
        <w:t>三谷産業はスタンダード市場の中堅商社。石川県金沢市発祥。化学品・IT・住宅資材・エネルギー・設備機材の5セグメントを持つ多角化型商社。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特徴</w:t>
            </w:r>
          </w:p>
        </w:tc>
        <w:tc>
          <w:tcPr>
            <w:tcW w:type="dxa" w:w="3135"/>
            <w:shd w:val="clear" w:color="auto" w:fill="2E74B5"/>
          </w:tcPr>
          <w:p>
            <w:r>
              <w:rPr>
                <w:rFonts w:ascii="Meiryo UI" w:hAnsi="Meiryo UI"/>
                <w:b/>
                <w:color w:val="FFFFFF"/>
                <w:sz w:val="18"/>
              </w:rPr>
              <w:t>現環境でのポジション</w:t>
            </w:r>
          </w:p>
        </w:tc>
      </w:tr>
      <w:tr>
        <w:tc>
          <w:tcPr>
            <w:tcW w:type="dxa" w:w="3135"/>
          </w:tcPr>
          <w:p>
            <w:r>
              <w:rPr>
                <w:rFonts w:ascii="Meiryo UI" w:hAnsi="Meiryo UI"/>
                <w:sz w:val="18"/>
              </w:rPr>
              <w:t>化学品</w:t>
            </w:r>
          </w:p>
        </w:tc>
        <w:tc>
          <w:tcPr>
            <w:tcW w:type="dxa" w:w="3135"/>
          </w:tcPr>
          <w:p>
            <w:r>
              <w:rPr>
                <w:rFonts w:ascii="Meiryo UI" w:hAnsi="Meiryo UI"/>
                <w:sz w:val="18"/>
              </w:rPr>
              <w:t>石油化学製品の卸売</w:t>
            </w:r>
          </w:p>
        </w:tc>
        <w:tc>
          <w:tcPr>
            <w:tcW w:type="dxa" w:w="3135"/>
          </w:tcPr>
          <w:p>
            <w:r>
              <w:rPr>
                <w:rFonts w:ascii="Meiryo UI" w:hAnsi="Meiryo UI"/>
                <w:sz w:val="18"/>
              </w:rPr>
              <w:t>ホルムズ環境で仕入値上昇・販売価格転嫁の綱引き</w:t>
            </w:r>
          </w:p>
        </w:tc>
      </w:tr>
      <w:tr>
        <w:tc>
          <w:tcPr>
            <w:tcW w:type="dxa" w:w="3135"/>
            <w:shd w:val="clear" w:color="auto" w:fill="DDEBF7"/>
          </w:tcPr>
          <w:p>
            <w:r>
              <w:rPr>
                <w:rFonts w:ascii="Meiryo UI" w:hAnsi="Meiryo UI"/>
                <w:sz w:val="18"/>
              </w:rPr>
              <w:t>IT</w:t>
            </w:r>
          </w:p>
        </w:tc>
        <w:tc>
          <w:tcPr>
            <w:tcW w:type="dxa" w:w="3135"/>
            <w:shd w:val="clear" w:color="auto" w:fill="DDEBF7"/>
          </w:tcPr>
          <w:p>
            <w:r>
              <w:rPr>
                <w:rFonts w:ascii="Meiryo UI" w:hAnsi="Meiryo UI"/>
                <w:sz w:val="18"/>
              </w:rPr>
              <w:t>ITソリューション・クラウド</w:t>
            </w:r>
          </w:p>
        </w:tc>
        <w:tc>
          <w:tcPr>
            <w:tcW w:type="dxa" w:w="3135"/>
            <w:shd w:val="clear" w:color="auto" w:fill="DDEBF7"/>
          </w:tcPr>
          <w:p>
            <w:r>
              <w:rPr>
                <w:rFonts w:ascii="Meiryo UI" w:hAnsi="Meiryo UI"/>
                <w:sz w:val="18"/>
              </w:rPr>
              <w:t>製造業DX需要で底堅い</w:t>
            </w:r>
          </w:p>
        </w:tc>
      </w:tr>
      <w:tr>
        <w:tc>
          <w:tcPr>
            <w:tcW w:type="dxa" w:w="3135"/>
          </w:tcPr>
          <w:p>
            <w:r>
              <w:rPr>
                <w:rFonts w:ascii="Meiryo UI" w:hAnsi="Meiryo UI"/>
                <w:sz w:val="18"/>
              </w:rPr>
              <w:t>住宅資材</w:t>
            </w:r>
          </w:p>
        </w:tc>
        <w:tc>
          <w:tcPr>
            <w:tcW w:type="dxa" w:w="3135"/>
          </w:tcPr>
          <w:p>
            <w:r>
              <w:rPr>
                <w:rFonts w:ascii="Meiryo UI" w:hAnsi="Meiryo UI"/>
                <w:sz w:val="18"/>
              </w:rPr>
              <w:t>建材の卸売・施工</w:t>
            </w:r>
          </w:p>
        </w:tc>
        <w:tc>
          <w:tcPr>
            <w:tcW w:type="dxa" w:w="3135"/>
          </w:tcPr>
          <w:p>
            <w:r>
              <w:rPr>
                <w:rFonts w:ascii="Meiryo UI" w:hAnsi="Meiryo UI"/>
                <w:sz w:val="18"/>
              </w:rPr>
              <w:t>金利上昇は逆風も、リフォーム需要継続</w:t>
            </w:r>
          </w:p>
        </w:tc>
      </w:tr>
      <w:tr>
        <w:tc>
          <w:tcPr>
            <w:tcW w:type="dxa" w:w="3135"/>
            <w:shd w:val="clear" w:color="auto" w:fill="DDEBF7"/>
          </w:tcPr>
          <w:p>
            <w:r>
              <w:rPr>
                <w:rFonts w:ascii="Meiryo UI" w:hAnsi="Meiryo UI"/>
                <w:sz w:val="18"/>
              </w:rPr>
              <w:t>エネルギー</w:t>
            </w:r>
          </w:p>
        </w:tc>
        <w:tc>
          <w:tcPr>
            <w:tcW w:type="dxa" w:w="3135"/>
            <w:shd w:val="clear" w:color="auto" w:fill="DDEBF7"/>
          </w:tcPr>
          <w:p>
            <w:r>
              <w:rPr>
                <w:rFonts w:ascii="Meiryo UI" w:hAnsi="Meiryo UI"/>
                <w:sz w:val="18"/>
              </w:rPr>
              <w:t>燃料・電力卸売</w:t>
            </w:r>
          </w:p>
        </w:tc>
        <w:tc>
          <w:tcPr>
            <w:tcW w:type="dxa" w:w="3135"/>
            <w:shd w:val="clear" w:color="auto" w:fill="DDEBF7"/>
          </w:tcPr>
          <w:p>
            <w:r>
              <w:rPr>
                <w:rFonts w:ascii="Meiryo UI" w:hAnsi="Meiryo UI"/>
                <w:sz w:val="18"/>
              </w:rPr>
              <w:t>原油高環境でマージン変動</w:t>
            </w:r>
          </w:p>
        </w:tc>
      </w:tr>
      <w:tr>
        <w:tc>
          <w:tcPr>
            <w:tcW w:type="dxa" w:w="3135"/>
          </w:tcPr>
          <w:p>
            <w:r>
              <w:rPr>
                <w:rFonts w:ascii="Meiryo UI" w:hAnsi="Meiryo UI"/>
                <w:sz w:val="18"/>
              </w:rPr>
              <w:t>設備機材</w:t>
            </w:r>
          </w:p>
        </w:tc>
        <w:tc>
          <w:tcPr>
            <w:tcW w:type="dxa" w:w="3135"/>
          </w:tcPr>
          <w:p>
            <w:r>
              <w:rPr>
                <w:rFonts w:ascii="Meiryo UI" w:hAnsi="Meiryo UI"/>
                <w:sz w:val="18"/>
              </w:rPr>
              <w:t>産業機械・環境機器</w:t>
            </w:r>
          </w:p>
        </w:tc>
        <w:tc>
          <w:tcPr>
            <w:tcW w:type="dxa" w:w="3135"/>
          </w:tcPr>
          <w:p>
            <w:r>
              <w:rPr>
                <w:rFonts w:ascii="Meiryo UI" w:hAnsi="Meiryo UI"/>
                <w:sz w:val="18"/>
              </w:rPr>
              <w:t>中国インフラ向け需要の間接恩恵</w:t>
            </w:r>
          </w:p>
        </w:tc>
      </w:tr>
    </w:tbl>
    <w:p/>
    <w:p>
      <w:r>
        <w:t>──────────────────────────────────────────────────</w:t>
      </w:r>
    </w:p>
    <w:p/>
    <w:p>
      <w:pPr>
        <w:pStyle w:val="Heading2"/>
      </w:pPr>
      <w:r>
        <w:rPr>
          <w:rFonts w:ascii="Meiryo UI" w:hAnsi="Meiryo UI"/>
          <w:color w:val="2E74B5"/>
        </w:rPr>
        <w:t>2. 財務データ</w:t>
      </w:r>
    </w:p>
    <w:p/>
    <w:p>
      <w:pPr>
        <w:pStyle w:val="Heading3"/>
      </w:pPr>
      <w:r>
        <w:rPr>
          <w:rFonts w:ascii="Meiryo UI" w:hAnsi="Meiryo UI"/>
          <w:color w:val="2E74B5"/>
        </w:rPr>
        <w:t>リアルタイム取得値（2026-04-22）</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株価</w:t>
            </w:r>
          </w:p>
        </w:tc>
        <w:tc>
          <w:tcPr>
            <w:tcW w:type="dxa" w:w="4703"/>
          </w:tcPr>
          <w:p>
            <w:r>
              <w:rPr>
                <w:rFonts w:ascii="Meiryo UI" w:hAnsi="Meiryo UI"/>
                <w:sz w:val="18"/>
              </w:rPr>
              <w:t>¥789</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¥486億</w:t>
            </w:r>
          </w:p>
        </w:tc>
      </w:tr>
      <w:tr>
        <w:tc>
          <w:tcPr>
            <w:tcW w:type="dxa" w:w="4703"/>
          </w:tcPr>
          <w:p>
            <w:r>
              <w:rPr>
                <w:rFonts w:ascii="Meiryo UI" w:hAnsi="Meiryo UI"/>
                <w:sz w:val="18"/>
              </w:rPr>
              <w:t>売上高（TTM）</w:t>
            </w:r>
          </w:p>
        </w:tc>
        <w:tc>
          <w:tcPr>
            <w:tcW w:type="dxa" w:w="4703"/>
          </w:tcPr>
          <w:p>
            <w:r>
              <w:rPr>
                <w:rFonts w:ascii="Meiryo UI" w:hAnsi="Meiryo UI"/>
                <w:sz w:val="18"/>
              </w:rPr>
              <w:t>¥1,137億</w:t>
            </w:r>
          </w:p>
        </w:tc>
      </w:tr>
      <w:tr>
        <w:tc>
          <w:tcPr>
            <w:tcW w:type="dxa" w:w="4703"/>
            <w:shd w:val="clear" w:color="auto" w:fill="DDEBF7"/>
          </w:tcPr>
          <w:p>
            <w:r>
              <w:rPr>
                <w:rFonts w:ascii="Meiryo UI" w:hAnsi="Meiryo UI"/>
                <w:sz w:val="18"/>
              </w:rPr>
              <w:t>OP率</w:t>
            </w:r>
          </w:p>
        </w:tc>
        <w:tc>
          <w:tcPr>
            <w:tcW w:type="dxa" w:w="4703"/>
            <w:shd w:val="clear" w:color="auto" w:fill="DDEBF7"/>
          </w:tcPr>
          <w:p>
            <w:r>
              <w:rPr>
                <w:rFonts w:ascii="Meiryo UI" w:hAnsi="Meiryo UI"/>
                <w:sz w:val="18"/>
              </w:rPr>
              <w:t>3.78%</w:t>
            </w:r>
          </w:p>
        </w:tc>
      </w:tr>
      <w:tr>
        <w:tc>
          <w:tcPr>
            <w:tcW w:type="dxa" w:w="4703"/>
          </w:tcPr>
          <w:p>
            <w:r>
              <w:rPr>
                <w:rFonts w:ascii="Meiryo UI" w:hAnsi="Meiryo UI"/>
                <w:sz w:val="18"/>
              </w:rPr>
              <w:t>ROE</w:t>
            </w:r>
          </w:p>
        </w:tc>
        <w:tc>
          <w:tcPr>
            <w:tcW w:type="dxa" w:w="4703"/>
          </w:tcPr>
          <w:p>
            <w:r>
              <w:rPr>
                <w:rFonts w:ascii="Meiryo UI" w:hAnsi="Meiryo UI"/>
                <w:sz w:val="18"/>
              </w:rPr>
              <w:t>6.53%（←WACC下回り注意）</w:t>
            </w:r>
          </w:p>
        </w:tc>
      </w:tr>
      <w:tr>
        <w:tc>
          <w:tcPr>
            <w:tcW w:type="dxa" w:w="4703"/>
            <w:shd w:val="clear" w:color="auto" w:fill="DDEBF7"/>
          </w:tcPr>
          <w:p>
            <w:r>
              <w:rPr>
                <w:rFonts w:ascii="Meiryo UI" w:hAnsi="Meiryo UI"/>
                <w:sz w:val="18"/>
              </w:rPr>
              <w:t>BPS</w:t>
            </w:r>
          </w:p>
        </w:tc>
        <w:tc>
          <w:tcPr>
            <w:tcW w:type="dxa" w:w="4703"/>
            <w:shd w:val="clear" w:color="auto" w:fill="DDEBF7"/>
          </w:tcPr>
          <w:p>
            <w:r>
              <w:rPr>
                <w:rFonts w:ascii="Meiryo UI" w:hAnsi="Meiryo UI"/>
                <w:sz w:val="18"/>
              </w:rPr>
              <w:t>¥943</w:t>
            </w:r>
          </w:p>
        </w:tc>
      </w:tr>
      <w:tr>
        <w:tc>
          <w:tcPr>
            <w:tcW w:type="dxa" w:w="4703"/>
          </w:tcPr>
          <w:p>
            <w:r>
              <w:rPr>
                <w:rFonts w:ascii="Meiryo UI" w:hAnsi="Meiryo UI"/>
                <w:sz w:val="18"/>
              </w:rPr>
              <w:t>PBR</w:t>
            </w:r>
          </w:p>
        </w:tc>
        <w:tc>
          <w:tcPr>
            <w:tcW w:type="dxa" w:w="4703"/>
          </w:tcPr>
          <w:p>
            <w:r>
              <w:rPr>
                <w:rFonts w:ascii="Meiryo UI" w:hAnsi="Meiryo UI"/>
                <w:sz w:val="18"/>
              </w:rPr>
              <w:t>0.84x</w:t>
            </w:r>
          </w:p>
        </w:tc>
      </w:tr>
      <w:tr>
        <w:tc>
          <w:tcPr>
            <w:tcW w:type="dxa" w:w="4703"/>
            <w:shd w:val="clear" w:color="auto" w:fill="DDEBF7"/>
          </w:tcPr>
          <w:p>
            <w:r>
              <w:rPr>
                <w:rFonts w:ascii="Meiryo UI" w:hAnsi="Meiryo UI"/>
                <w:sz w:val="18"/>
              </w:rPr>
              <w:t>Trailing PER</w:t>
            </w:r>
          </w:p>
        </w:tc>
        <w:tc>
          <w:tcPr>
            <w:tcW w:type="dxa" w:w="4703"/>
            <w:shd w:val="clear" w:color="auto" w:fill="DDEBF7"/>
          </w:tcPr>
          <w:p>
            <w:r>
              <w:rPr>
                <w:rFonts w:ascii="Meiryo UI" w:hAnsi="Meiryo UI"/>
                <w:sz w:val="18"/>
              </w:rPr>
              <w:t>16.1x</w:t>
            </w:r>
          </w:p>
        </w:tc>
      </w:tr>
      <w:tr>
        <w:tc>
          <w:tcPr>
            <w:tcW w:type="dxa" w:w="4703"/>
          </w:tcPr>
          <w:p>
            <w:r>
              <w:rPr>
                <w:rFonts w:ascii="Meiryo UI" w:hAnsi="Meiryo UI"/>
                <w:sz w:val="18"/>
              </w:rPr>
              <w:t>Trailing EPS</w:t>
            </w:r>
          </w:p>
        </w:tc>
        <w:tc>
          <w:tcPr>
            <w:tcW w:type="dxa" w:w="4703"/>
          </w:tcPr>
          <w:p>
            <w:r>
              <w:rPr>
                <w:rFonts w:ascii="Meiryo UI" w:hAnsi="Meiryo UI"/>
                <w:sz w:val="18"/>
              </w:rPr>
              <w:t>¥48.9</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1.64%（¥13/株推算）</w:t>
            </w:r>
          </w:p>
        </w:tc>
      </w:tr>
      <w:tr>
        <w:tc>
          <w:tcPr>
            <w:tcW w:type="dxa" w:w="4703"/>
          </w:tcPr>
          <w:p>
            <w:r>
              <w:rPr>
                <w:rFonts w:ascii="Meiryo UI" w:hAnsi="Meiryo UI"/>
                <w:sz w:val="18"/>
              </w:rPr>
              <w:t>配当性向</w:t>
            </w:r>
          </w:p>
        </w:tc>
        <w:tc>
          <w:tcPr>
            <w:tcW w:type="dxa" w:w="4703"/>
          </w:tcPr>
          <w:p>
            <w:r>
              <w:rPr>
                <w:rFonts w:ascii="Meiryo UI" w:hAnsi="Meiryo UI"/>
                <w:sz w:val="18"/>
              </w:rPr>
              <w:t>26.4%（増配余地大）</w:t>
            </w:r>
          </w:p>
        </w:tc>
      </w:tr>
    </w:tbl>
    <w:p/>
    <w:p>
      <w:pPr>
        <w:pStyle w:val="Heading3"/>
      </w:pPr>
      <w:r>
        <w:rPr>
          <w:rFonts w:ascii="Meiryo UI" w:hAnsi="Meiryo UI"/>
          <w:color w:val="2E74B5"/>
        </w:rPr>
        <w:t>テクニカル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MA25</w:t>
            </w:r>
          </w:p>
        </w:tc>
        <w:tc>
          <w:tcPr>
            <w:tcW w:type="dxa" w:w="3135"/>
          </w:tcPr>
          <w:p>
            <w:r>
              <w:rPr>
                <w:rFonts w:ascii="Meiryo UI" w:hAnsi="Meiryo UI"/>
                <w:sz w:val="18"/>
              </w:rPr>
              <w:t>¥746</w:t>
            </w:r>
          </w:p>
        </w:tc>
        <w:tc>
          <w:tcPr>
            <w:tcW w:type="dxa" w:w="3135"/>
          </w:tcPr>
          <w:p>
            <w:r>
              <w:rPr>
                <w:rFonts w:ascii="Meiryo UI" w:hAnsi="Meiryo UI"/>
                <w:sz w:val="18"/>
              </w:rPr>
              <w:t>乖離 +5.8%（許容範囲）</w:t>
            </w:r>
          </w:p>
        </w:tc>
      </w:tr>
      <w:tr>
        <w:tc>
          <w:tcPr>
            <w:tcW w:type="dxa" w:w="3135"/>
            <w:shd w:val="clear" w:color="auto" w:fill="DDEBF7"/>
          </w:tcPr>
          <w:p>
            <w:r>
              <w:rPr>
                <w:rFonts w:ascii="Meiryo UI" w:hAnsi="Meiryo UI"/>
                <w:sz w:val="18"/>
              </w:rPr>
              <w:t>RSI(14)</w:t>
            </w:r>
          </w:p>
        </w:tc>
        <w:tc>
          <w:tcPr>
            <w:tcW w:type="dxa" w:w="3135"/>
            <w:shd w:val="clear" w:color="auto" w:fill="DDEBF7"/>
          </w:tcPr>
          <w:p>
            <w:r>
              <w:rPr>
                <w:rFonts w:ascii="Meiryo UI" w:hAnsi="Meiryo UI"/>
                <w:sz w:val="18"/>
              </w:rPr>
              <w:t>67.2</w:t>
            </w:r>
          </w:p>
        </w:tc>
        <w:tc>
          <w:tcPr>
            <w:tcW w:type="dxa" w:w="3135"/>
            <w:shd w:val="clear" w:color="auto" w:fill="DDEBF7"/>
          </w:tcPr>
          <w:p>
            <w:r>
              <w:rPr>
                <w:rFonts w:ascii="Meiryo UI" w:hAnsi="Meiryo UI"/>
                <w:sz w:val="18"/>
              </w:rPr>
              <w:t>やや買われだが過熱ではない</w:t>
            </w:r>
          </w:p>
        </w:tc>
      </w:tr>
      <w:tr>
        <w:tc>
          <w:tcPr>
            <w:tcW w:type="dxa" w:w="3135"/>
          </w:tcPr>
          <w:p>
            <w:r>
              <w:rPr>
                <w:rFonts w:ascii="Meiryo UI" w:hAnsi="Meiryo UI"/>
                <w:sz w:val="18"/>
              </w:rPr>
              <w:t>ADV25</w:t>
            </w:r>
          </w:p>
        </w:tc>
        <w:tc>
          <w:tcPr>
            <w:tcW w:type="dxa" w:w="3135"/>
          </w:tcPr>
          <w:p>
            <w:r>
              <w:rPr>
                <w:rFonts w:ascii="Meiryo UI" w:hAnsi="Meiryo UI"/>
                <w:sz w:val="18"/>
              </w:rPr>
              <w:t>15.1万株</w:t>
            </w:r>
          </w:p>
        </w:tc>
        <w:tc>
          <w:tcPr>
            <w:tcW w:type="dxa" w:w="3135"/>
          </w:tcPr>
          <w:p>
            <w:r>
              <w:rPr>
                <w:rFonts w:ascii="Meiryo UI" w:hAnsi="Meiryo UI"/>
                <w:sz w:val="18"/>
              </w:rPr>
              <w:t>本日7.7万株（薄商い）</w:t>
            </w:r>
          </w:p>
        </w:tc>
      </w:tr>
      <w:tr>
        <w:tc>
          <w:tcPr>
            <w:tcW w:type="dxa" w:w="3135"/>
            <w:shd w:val="clear" w:color="auto" w:fill="DDEBF7"/>
          </w:tcPr>
          <w:p>
            <w:r>
              <w:rPr>
                <w:rFonts w:ascii="Meiryo UI" w:hAnsi="Meiryo UI"/>
                <w:sz w:val="18"/>
              </w:rPr>
              <w:t>1M</w:t>
            </w:r>
          </w:p>
        </w:tc>
        <w:tc>
          <w:tcPr>
            <w:tcW w:type="dxa" w:w="3135"/>
            <w:shd w:val="clear" w:color="auto" w:fill="DDEBF7"/>
          </w:tcPr>
          <w:p>
            <w:r>
              <w:rPr>
                <w:rFonts w:ascii="Meiryo UI" w:hAnsi="Meiryo UI"/>
                <w:sz w:val="18"/>
              </w:rPr>
              <w:t>+11.4%</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3M</w:t>
            </w:r>
          </w:p>
        </w:tc>
        <w:tc>
          <w:tcPr>
            <w:tcW w:type="dxa" w:w="3135"/>
          </w:tcPr>
          <w:p>
            <w:r>
              <w:rPr>
                <w:rFonts w:ascii="Meiryo UI" w:hAnsi="Meiryo UI"/>
                <w:sz w:val="18"/>
              </w:rPr>
              <w:t>+30.4%</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1Y</w:t>
            </w:r>
          </w:p>
        </w:tc>
        <w:tc>
          <w:tcPr>
            <w:tcW w:type="dxa" w:w="3135"/>
            <w:shd w:val="clear" w:color="auto" w:fill="DDEBF7"/>
          </w:tcPr>
          <w:p>
            <w:r>
              <w:rPr>
                <w:rFonts w:ascii="Meiryo UI" w:hAnsi="Meiryo UI"/>
                <w:sz w:val="18"/>
              </w:rPr>
              <w:t>+140.5%</w:t>
            </w:r>
          </w:p>
        </w:tc>
        <w:tc>
          <w:tcPr>
            <w:tcW w:type="dxa" w:w="3135"/>
            <w:shd w:val="clear" w:color="auto" w:fill="DDEBF7"/>
          </w:tcPr>
          <w:p>
            <w:r>
              <w:rPr>
                <w:rFonts w:ascii="Meiryo UI" w:hAnsi="Meiryo UI"/>
                <w:sz w:val="18"/>
              </w:rPr>
              <w:t>大幅上昇後の水準確認が必要</w:t>
            </w:r>
          </w:p>
        </w:tc>
      </w:tr>
    </w:tbl>
    <w:p/>
    <w:p>
      <w:r>
        <w:t>──────────────────────────────────────────────────</w:t>
      </w:r>
    </w:p>
    <w:p/>
    <w:p>
      <w:pPr>
        <w:pStyle w:val="Heading2"/>
      </w:pPr>
      <w:r>
        <w:rPr>
          <w:rFonts w:ascii="Meiryo UI" w:hAnsi="Meiryo UI"/>
          <w:color w:val="2E74B5"/>
        </w:rPr>
        <w:t>3. バリュエーション（FV算出）</w:t>
      </w:r>
    </w:p>
    <w:p/>
    <w:p>
      <w:pPr>
        <w:pStyle w:val="Heading3"/>
      </w:pPr>
      <w:r>
        <w:rPr>
          <w:rFonts w:ascii="Meiryo UI" w:hAnsi="Meiryo UI"/>
          <w:color w:val="2E74B5"/>
        </w:rPr>
        <w:t>前提パラメータ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2.392%</w:t>
            </w:r>
          </w:p>
        </w:tc>
        <w:tc>
          <w:tcPr>
            <w:tcW w:type="dxa" w:w="3135"/>
          </w:tcPr>
          <w:p>
            <w:r>
              <w:rPr>
                <w:rFonts w:ascii="Meiryo UI" w:hAnsi="Meiryo UI"/>
                <w:sz w:val="18"/>
              </w:rPr>
              <w:t>JGB10年（財務省、前回取得値）</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商社・安定業種平均</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標準</w:t>
            </w:r>
          </w:p>
        </w:tc>
      </w:tr>
      <w:tr>
        <w:tc>
          <w:tcPr>
            <w:tcW w:type="dxa" w:w="3135"/>
            <w:shd w:val="clear" w:color="auto" w:fill="DDEBF7"/>
          </w:tcPr>
          <w:p>
            <w:r>
              <w:rPr>
                <w:rFonts w:ascii="Meiryo UI" w:hAnsi="Meiryo UI"/>
                <w:sz w:val="18"/>
              </w:rPr>
              <w:t>WACC(Re)</w:t>
            </w:r>
          </w:p>
        </w:tc>
        <w:tc>
          <w:tcPr>
            <w:tcW w:type="dxa" w:w="3135"/>
            <w:shd w:val="clear" w:color="auto" w:fill="DDEBF7"/>
          </w:tcPr>
          <w:p>
            <w:r>
              <w:rPr>
                <w:rFonts w:ascii="Meiryo UI" w:hAnsi="Meiryo UI"/>
                <w:sz w:val="18"/>
              </w:rPr>
              <w:t>7.07%</w:t>
            </w:r>
          </w:p>
        </w:tc>
        <w:tc>
          <w:tcPr>
            <w:tcW w:type="dxa" w:w="3135"/>
            <w:shd w:val="clear" w:color="auto" w:fill="DDEBF7"/>
          </w:tcPr>
          <w:p>
            <w:r>
              <w:rPr>
                <w:rFonts w:ascii="Meiryo UI" w:hAnsi="Meiryo UI"/>
                <w:sz w:val="18"/>
              </w:rPr>
              <w:t>Rf + β×ERP（低負債想定）</w:t>
            </w:r>
          </w:p>
        </w:tc>
      </w:tr>
    </w:tbl>
    <w:p/>
    <w:p>
      <w:pPr>
        <w:pStyle w:val="Heading3"/>
      </w:pPr>
      <w:r>
        <w:rPr>
          <w:rFonts w:ascii="Meiryo UI" w:hAnsi="Meiryo UI"/>
          <w:color w:val="2E74B5"/>
        </w:rPr>
        <w:t>シナリオ別FV</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現値比</w:t>
            </w:r>
          </w:p>
        </w:tc>
        <w:tc>
          <w:tcPr>
            <w:tcW w:type="dxa" w:w="1881"/>
            <w:shd w:val="clear" w:color="auto" w:fill="2E74B5"/>
          </w:tcPr>
          <w:p>
            <w:r>
              <w:rPr>
                <w:rFonts w:ascii="Meiryo UI" w:hAnsi="Meiryo UI"/>
                <w:b/>
                <w:color w:val="FFFFFF"/>
                <w:sz w:val="18"/>
              </w:rPr>
              <w:t>確率</w:t>
            </w:r>
          </w:p>
        </w:tc>
      </w:tr>
      <w:tr>
        <w:tc>
          <w:tcPr>
            <w:tcW w:type="dxa" w:w="1881"/>
          </w:tcPr>
          <w:p>
            <w:r>
              <w:rPr>
                <w:rFonts w:ascii="Meiryo UI" w:hAnsi="Meiryo UI"/>
                <w:sz w:val="18"/>
              </w:rPr>
              <w:t>ベア</w:t>
            </w:r>
          </w:p>
        </w:tc>
        <w:tc>
          <w:tcPr>
            <w:tcW w:type="dxa" w:w="1881"/>
          </w:tcPr>
          <w:p>
            <w:r>
              <w:rPr>
                <w:rFonts w:ascii="Meiryo UI" w:hAnsi="Meiryo UI"/>
                <w:sz w:val="18"/>
              </w:rPr>
              <w:t>EPS×0.9 × PER14x</w:t>
            </w:r>
          </w:p>
        </w:tc>
        <w:tc>
          <w:tcPr>
            <w:tcW w:type="dxa" w:w="1881"/>
          </w:tcPr>
          <w:p>
            <w:r>
              <w:rPr>
                <w:rFonts w:ascii="Meiryo UI" w:hAnsi="Meiryo UI"/>
                <w:sz w:val="18"/>
              </w:rPr>
              <w:t>¥616</w:t>
            </w:r>
          </w:p>
        </w:tc>
        <w:tc>
          <w:tcPr>
            <w:tcW w:type="dxa" w:w="1881"/>
          </w:tcPr>
          <w:p>
            <w:r>
              <w:rPr>
                <w:rFonts w:ascii="Meiryo UI" w:hAnsi="Meiryo UI"/>
                <w:sz w:val="18"/>
              </w:rPr>
              <w:t>▲21.9%</w:t>
            </w:r>
          </w:p>
        </w:tc>
        <w:tc>
          <w:tcPr>
            <w:tcW w:type="dxa" w:w="1881"/>
          </w:tcPr>
          <w:p>
            <w:r>
              <w:rPr>
                <w:rFonts w:ascii="Meiryo UI" w:hAnsi="Meiryo UI"/>
                <w:sz w:val="18"/>
              </w:rPr>
              <w:t>20%</w:t>
            </w:r>
          </w:p>
        </w:tc>
      </w:tr>
      <w:tr>
        <w:tc>
          <w:tcPr>
            <w:tcW w:type="dxa" w:w="1881"/>
            <w:shd w:val="clear" w:color="auto" w:fill="DDEBF7"/>
          </w:tcPr>
          <w:p>
            <w:r>
              <w:rPr>
                <w:rFonts w:ascii="Meiryo UI" w:hAnsi="Meiryo UI"/>
                <w:sz w:val="18"/>
              </w:rPr>
              <w:t>ゴードン（現状維持）</w:t>
            </w:r>
          </w:p>
        </w:tc>
        <w:tc>
          <w:tcPr>
            <w:tcW w:type="dxa" w:w="1881"/>
            <w:shd w:val="clear" w:color="auto" w:fill="DDEBF7"/>
          </w:tcPr>
          <w:p>
            <w:r>
              <w:rPr>
                <w:rFonts w:ascii="Meiryo UI" w:hAnsi="Meiryo UI"/>
                <w:sz w:val="18"/>
              </w:rPr>
              <w:t>ROE/WACC × BPS</w:t>
            </w:r>
          </w:p>
        </w:tc>
        <w:tc>
          <w:tcPr>
            <w:tcW w:type="dxa" w:w="1881"/>
            <w:shd w:val="clear" w:color="auto" w:fill="DDEBF7"/>
          </w:tcPr>
          <w:p>
            <w:r>
              <w:rPr>
                <w:rFonts w:ascii="Meiryo UI" w:hAnsi="Meiryo UI"/>
                <w:sz w:val="18"/>
              </w:rPr>
              <w:t>¥871</w:t>
            </w:r>
          </w:p>
        </w:tc>
        <w:tc>
          <w:tcPr>
            <w:tcW w:type="dxa" w:w="1881"/>
            <w:shd w:val="clear" w:color="auto" w:fill="DDEBF7"/>
          </w:tcPr>
          <w:p>
            <w:r>
              <w:rPr>
                <w:rFonts w:ascii="Meiryo UI" w:hAnsi="Meiryo UI"/>
                <w:sz w:val="18"/>
              </w:rPr>
              <w:t>+10.4%</w:t>
            </w:r>
          </w:p>
        </w:tc>
        <w:tc>
          <w:tcPr>
            <w:tcW w:type="dxa" w:w="1881"/>
            <w:shd w:val="clear" w:color="auto" w:fill="DDEBF7"/>
          </w:tcPr>
          <w:p>
            <w:r>
              <w:rPr>
                <w:rFonts w:ascii="Meiryo UI" w:hAnsi="Meiryo UI"/>
                <w:sz w:val="18"/>
              </w:rPr>
              <w:t>30%</w:t>
            </w:r>
          </w:p>
        </w:tc>
      </w:tr>
      <w:tr>
        <w:tc>
          <w:tcPr>
            <w:tcW w:type="dxa" w:w="1881"/>
          </w:tcPr>
          <w:p>
            <w:r>
              <w:rPr>
                <w:rFonts w:ascii="Meiryo UI" w:hAnsi="Meiryo UI"/>
                <w:sz w:val="18"/>
              </w:rPr>
              <w:t>ベース（PBR回帰）</w:t>
            </w:r>
          </w:p>
        </w:tc>
        <w:tc>
          <w:tcPr>
            <w:tcW w:type="dxa" w:w="1881"/>
          </w:tcPr>
          <w:p>
            <w:r>
              <w:rPr>
                <w:rFonts w:ascii="Meiryo UI" w:hAnsi="Meiryo UI"/>
                <w:sz w:val="18"/>
              </w:rPr>
              <w:t>BPS × 1.0x</w:t>
            </w:r>
          </w:p>
        </w:tc>
        <w:tc>
          <w:tcPr>
            <w:tcW w:type="dxa" w:w="1881"/>
          </w:tcPr>
          <w:p>
            <w:r>
              <w:rPr>
                <w:rFonts w:ascii="Meiryo UI" w:hAnsi="Meiryo UI"/>
                <w:sz w:val="18"/>
              </w:rPr>
              <w:t>¥943</w:t>
            </w:r>
          </w:p>
        </w:tc>
        <w:tc>
          <w:tcPr>
            <w:tcW w:type="dxa" w:w="1881"/>
          </w:tcPr>
          <w:p>
            <w:r>
              <w:rPr>
                <w:rFonts w:ascii="Meiryo UI" w:hAnsi="Meiryo UI"/>
                <w:sz w:val="18"/>
              </w:rPr>
              <w:t>+19.5%</w:t>
            </w:r>
          </w:p>
        </w:tc>
        <w:tc>
          <w:tcPr>
            <w:tcW w:type="dxa" w:w="1881"/>
          </w:tcPr>
          <w:p>
            <w:r>
              <w:rPr>
                <w:rFonts w:ascii="Meiryo UI" w:hAnsi="Meiryo UI"/>
                <w:sz w:val="18"/>
              </w:rPr>
              <w:t>35%</w:t>
            </w:r>
          </w:p>
        </w:tc>
      </w:tr>
      <w:tr>
        <w:tc>
          <w:tcPr>
            <w:tcW w:type="dxa" w:w="1881"/>
            <w:shd w:val="clear" w:color="auto" w:fill="DDEBF7"/>
          </w:tcPr>
          <w:p>
            <w:r>
              <w:rPr>
                <w:rFonts w:ascii="Meiryo UI" w:hAnsi="Meiryo UI"/>
                <w:sz w:val="18"/>
              </w:rPr>
              <w:t>ブル（資本還元）</w:t>
            </w:r>
          </w:p>
        </w:tc>
        <w:tc>
          <w:tcPr>
            <w:tcW w:type="dxa" w:w="1881"/>
            <w:shd w:val="clear" w:color="auto" w:fill="DDEBF7"/>
          </w:tcPr>
          <w:p>
            <w:r>
              <w:rPr>
                <w:rFonts w:ascii="Meiryo UI" w:hAnsi="Meiryo UI"/>
                <w:sz w:val="18"/>
              </w:rPr>
              <w:t>EPS×1.3 × PER20x</w:t>
            </w:r>
          </w:p>
        </w:tc>
        <w:tc>
          <w:tcPr>
            <w:tcW w:type="dxa" w:w="1881"/>
            <w:shd w:val="clear" w:color="auto" w:fill="DDEBF7"/>
          </w:tcPr>
          <w:p>
            <w:r>
              <w:rPr>
                <w:rFonts w:ascii="Meiryo UI" w:hAnsi="Meiryo UI"/>
                <w:sz w:val="18"/>
              </w:rPr>
              <w:t>¥1,271</w:t>
            </w:r>
          </w:p>
        </w:tc>
        <w:tc>
          <w:tcPr>
            <w:tcW w:type="dxa" w:w="1881"/>
            <w:shd w:val="clear" w:color="auto" w:fill="DDEBF7"/>
          </w:tcPr>
          <w:p>
            <w:r>
              <w:rPr>
                <w:rFonts w:ascii="Meiryo UI" w:hAnsi="Meiryo UI"/>
                <w:sz w:val="18"/>
              </w:rPr>
              <w:t>+61.1%</w:t>
            </w:r>
          </w:p>
        </w:tc>
        <w:tc>
          <w:tcPr>
            <w:tcW w:type="dxa" w:w="1881"/>
            <w:shd w:val="clear" w:color="auto" w:fill="DDEBF7"/>
          </w:tcPr>
          <w:p>
            <w:r>
              <w:rPr>
                <w:rFonts w:ascii="Meiryo UI" w:hAnsi="Meiryo UI"/>
                <w:sz w:val="18"/>
              </w:rPr>
              <w:t>15%</w:t>
            </w:r>
          </w:p>
        </w:tc>
      </w:tr>
    </w:tbl>
    <w:p/>
    <w:p>
      <w:r>
        <w:rPr>
          <w:rFonts w:ascii="Meiryo UI" w:hAnsi="Meiryo UI"/>
          <w:sz w:val="20"/>
        </w:rPr>
        <w:t>ベースFV ¥943の根拠：</w:t>
      </w:r>
    </w:p>
    <w:p>
      <w:pPr>
        <w:pStyle w:val="ListBullet"/>
      </w:pPr>
      <w:r>
        <w:rPr>
          <w:rFonts w:ascii="Meiryo UI" w:hAnsi="Meiryo UI"/>
          <w:sz w:val="20"/>
        </w:rPr>
        <w:t>BPS（解散価値）¥943への回帰は、スタンダード市場商社として過去の水準から正当化できる</w:t>
      </w:r>
    </w:p>
    <w:p>
      <w:pPr>
        <w:pStyle w:val="ListBullet"/>
      </w:pPr>
      <w:r>
        <w:rPr>
          <w:rFonts w:ascii="Meiryo UI" w:hAnsi="Meiryo UI"/>
          <w:sz w:val="20"/>
        </w:rPr>
        <w:t>ゴードンモデルが¥871（+10.4%）を示しており、ベース¥943は若干楽観的だが資本還元効果で到達可能</w:t>
      </w:r>
    </w:p>
    <w:p>
      <w:pPr>
        <w:pStyle w:val="ListBullet"/>
      </w:pPr>
      <w:r>
        <w:rPr>
          <w:rFonts w:ascii="Meiryo UI" w:hAnsi="Meiryo UI"/>
          <w:sz w:val="20"/>
        </w:rPr>
        <w:t>ROE/WACC = 0.923倍：現在のROEが資本コストをわずかに下回るが、改善余地があれば1.0x到達</w:t>
      </w:r>
    </w:p>
    <w:p/>
    <w:p>
      <w:r>
        <w:rPr>
          <w:rFonts w:ascii="Meiryo UI" w:hAnsi="Meiryo UI"/>
          <w:sz w:val="20"/>
        </w:rPr>
        <w:t>ブルFV ¥1,271の根拠：</w:t>
      </w:r>
    </w:p>
    <w:p>
      <w:pPr>
        <w:pStyle w:val="ListBullet"/>
      </w:pPr>
      <w:r>
        <w:rPr>
          <w:rFonts w:ascii="Meiryo UI" w:hAnsi="Meiryo UI"/>
          <w:sz w:val="20"/>
        </w:rPr>
        <w:t>配当性向26.4%を40%に引上げ（業界水準）→ 配当¥22/株</w:t>
      </w:r>
    </w:p>
    <w:p>
      <w:pPr>
        <w:pStyle w:val="ListBullet"/>
      </w:pPr>
      <w:r>
        <w:rPr>
          <w:rFonts w:ascii="Meiryo UI" w:hAnsi="Meiryo UI"/>
          <w:sz w:val="20"/>
        </w:rPr>
        <w:t>自社株買い24億円（時価総額5%）発表</w:t>
      </w:r>
    </w:p>
    <w:p>
      <w:pPr>
        <w:pStyle w:val="ListBullet"/>
      </w:pPr>
      <w:r>
        <w:rPr>
          <w:rFonts w:ascii="Meiryo UI" w:hAnsi="Meiryo UI"/>
          <w:sz w:val="20"/>
        </w:rPr>
        <w:t>FY27.3期EPS ¥63（+30%成長）× PER20x</w:t>
      </w:r>
    </w:p>
    <w:p>
      <w:pPr>
        <w:pStyle w:val="ListBullet"/>
      </w:pPr>
      <w:r>
        <w:rPr>
          <w:rFonts w:ascii="Meiryo UI" w:hAnsi="Meiryo UI"/>
          <w:sz w:val="20"/>
        </w:rPr>
        <w:t>上記3点同時発表のサプライズシナリオ</w:t>
      </w:r>
    </w:p>
    <w:p/>
    <w:p>
      <w:r>
        <w:t>──────────────────────────────────────────────────</w:t>
      </w:r>
    </w:p>
    <w:p/>
    <w:p>
      <w:pPr>
        <w:pStyle w:val="Heading2"/>
      </w:pPr>
      <w:r>
        <w:rPr>
          <w:rFonts w:ascii="Meiryo UI" w:hAnsi="Meiryo UI"/>
          <w:color w:val="2E74B5"/>
        </w:rPr>
        <w:t>4. 決算前エントリー判断：「今買えるか」</w:t>
      </w:r>
    </w:p>
    <w:p/>
    <w:p>
      <w:pPr>
        <w:pStyle w:val="Heading3"/>
      </w:pPr>
      <w:r>
        <w:rPr>
          <w:rFonts w:ascii="Meiryo UI" w:hAnsi="Meiryo UI"/>
          <w:color w:val="2E74B5"/>
        </w:rPr>
        <w:t>決算(4/26)でのチェックポイント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期待値</w:t>
            </w:r>
          </w:p>
        </w:tc>
        <w:tc>
          <w:tcPr>
            <w:tcW w:type="dxa" w:w="3135"/>
            <w:shd w:val="clear" w:color="auto" w:fill="2E74B5"/>
          </w:tcPr>
          <w:p>
            <w:r>
              <w:rPr>
                <w:rFonts w:ascii="Meiryo UI" w:hAnsi="Meiryo UI"/>
                <w:b/>
                <w:color w:val="FFFFFF"/>
                <w:sz w:val="18"/>
              </w:rPr>
              <w:t>上振れ条件</w:t>
            </w:r>
          </w:p>
        </w:tc>
      </w:tr>
      <w:tr>
        <w:tc>
          <w:tcPr>
            <w:tcW w:type="dxa" w:w="3135"/>
          </w:tcPr>
          <w:p>
            <w:r>
              <w:rPr>
                <w:rFonts w:ascii="Meiryo UI" w:hAnsi="Meiryo UI"/>
                <w:sz w:val="18"/>
              </w:rPr>
              <w:t>FY26.3期EPS</w:t>
            </w:r>
          </w:p>
        </w:tc>
        <w:tc>
          <w:tcPr>
            <w:tcW w:type="dxa" w:w="3135"/>
          </w:tcPr>
          <w:p>
            <w:r>
              <w:rPr>
                <w:rFonts w:ascii="Meiryo UI" w:hAnsi="Meiryo UI"/>
                <w:sz w:val="18"/>
              </w:rPr>
              <w:t>¥48-55（コンセンサス）</w:t>
            </w:r>
          </w:p>
        </w:tc>
        <w:tc>
          <w:tcPr>
            <w:tcW w:type="dxa" w:w="3135"/>
          </w:tcPr>
          <w:p>
            <w:r>
              <w:rPr>
                <w:rFonts w:ascii="Meiryo UI" w:hAnsi="Meiryo UI"/>
                <w:sz w:val="18"/>
              </w:rPr>
              <w:t>¥58超でサプライズ</w:t>
            </w:r>
          </w:p>
        </w:tc>
      </w:tr>
      <w:tr>
        <w:tc>
          <w:tcPr>
            <w:tcW w:type="dxa" w:w="3135"/>
            <w:shd w:val="clear" w:color="auto" w:fill="DDEBF7"/>
          </w:tcPr>
          <w:p>
            <w:r>
              <w:rPr>
                <w:rFonts w:ascii="Meiryo UI" w:hAnsi="Meiryo UI"/>
                <w:sz w:val="18"/>
              </w:rPr>
              <w:t>FY27.3期ガイダンス</w:t>
            </w:r>
          </w:p>
        </w:tc>
        <w:tc>
          <w:tcPr>
            <w:tcW w:type="dxa" w:w="3135"/>
            <w:shd w:val="clear" w:color="auto" w:fill="DDEBF7"/>
          </w:tcPr>
          <w:p>
            <w:r>
              <w:rPr>
                <w:rFonts w:ascii="Meiryo UI" w:hAnsi="Meiryo UI"/>
                <w:sz w:val="18"/>
              </w:rPr>
              <w:t>±5%程度</w:t>
            </w:r>
          </w:p>
        </w:tc>
        <w:tc>
          <w:tcPr>
            <w:tcW w:type="dxa" w:w="3135"/>
            <w:shd w:val="clear" w:color="auto" w:fill="DDEBF7"/>
          </w:tcPr>
          <w:p>
            <w:r>
              <w:rPr>
                <w:rFonts w:ascii="Meiryo UI" w:hAnsi="Meiryo UI"/>
                <w:sz w:val="18"/>
              </w:rPr>
              <w:t>+10%超</w:t>
            </w:r>
          </w:p>
        </w:tc>
      </w:tr>
      <w:tr>
        <w:tc>
          <w:tcPr>
            <w:tcW w:type="dxa" w:w="3135"/>
          </w:tcPr>
          <w:p>
            <w:r>
              <w:rPr>
                <w:rFonts w:ascii="Meiryo UI" w:hAnsi="Meiryo UI"/>
                <w:sz w:val="18"/>
              </w:rPr>
              <w:t>配当</w:t>
            </w:r>
          </w:p>
        </w:tc>
        <w:tc>
          <w:tcPr>
            <w:tcW w:type="dxa" w:w="3135"/>
          </w:tcPr>
          <w:p>
            <w:r>
              <w:rPr>
                <w:rFonts w:ascii="Meiryo UI" w:hAnsi="Meiryo UI"/>
                <w:sz w:val="18"/>
              </w:rPr>
              <w:t>¥13（現状維持）</w:t>
            </w:r>
          </w:p>
        </w:tc>
        <w:tc>
          <w:tcPr>
            <w:tcW w:type="dxa" w:w="3135"/>
          </w:tcPr>
          <w:p>
            <w:r>
              <w:rPr>
                <w:rFonts w:ascii="Meiryo UI" w:hAnsi="Meiryo UI"/>
                <w:sz w:val="18"/>
              </w:rPr>
              <w:t>¥16超で即+10%再評価</w:t>
            </w:r>
          </w:p>
        </w:tc>
      </w:tr>
      <w:tr>
        <w:tc>
          <w:tcPr>
            <w:tcW w:type="dxa" w:w="3135"/>
            <w:shd w:val="clear" w:color="auto" w:fill="DDEBF7"/>
          </w:tcPr>
          <w:p>
            <w:r>
              <w:rPr>
                <w:rFonts w:ascii="Meiryo UI" w:hAnsi="Meiryo UI"/>
                <w:sz w:val="18"/>
              </w:rPr>
              <w:t>自社株買い</w:t>
            </w:r>
          </w:p>
        </w:tc>
        <w:tc>
          <w:tcPr>
            <w:tcW w:type="dxa" w:w="3135"/>
            <w:shd w:val="clear" w:color="auto" w:fill="DDEBF7"/>
          </w:tcPr>
          <w:p>
            <w:r>
              <w:rPr>
                <w:rFonts w:ascii="Meiryo UI" w:hAnsi="Meiryo UI"/>
                <w:sz w:val="18"/>
              </w:rPr>
              <w:t>発表なし（ベース）</w:t>
            </w:r>
          </w:p>
        </w:tc>
        <w:tc>
          <w:tcPr>
            <w:tcW w:type="dxa" w:w="3135"/>
            <w:shd w:val="clear" w:color="auto" w:fill="DDEBF7"/>
          </w:tcPr>
          <w:p>
            <w:r>
              <w:rPr>
                <w:rFonts w:ascii="Meiryo UI" w:hAnsi="Meiryo UI"/>
                <w:sz w:val="18"/>
              </w:rPr>
              <w:t>新規発表でブルシナリオ確率↑</w:t>
            </w:r>
          </w:p>
        </w:tc>
      </w:tr>
      <w:tr>
        <w:tc>
          <w:tcPr>
            <w:tcW w:type="dxa" w:w="3135"/>
          </w:tcPr>
          <w:p>
            <w:r>
              <w:rPr>
                <w:rFonts w:ascii="Meiryo UI" w:hAnsi="Meiryo UI"/>
                <w:sz w:val="18"/>
              </w:rPr>
              <w:t>ROE改善方針</w:t>
            </w:r>
          </w:p>
        </w:tc>
        <w:tc>
          <w:tcPr>
            <w:tcW w:type="dxa" w:w="3135"/>
          </w:tcPr>
          <w:p>
            <w:r>
              <w:rPr>
                <w:rFonts w:ascii="Meiryo UI" w:hAnsi="Meiryo UI"/>
                <w:sz w:val="18"/>
              </w:rPr>
              <w:t>言及なし</w:t>
            </w:r>
          </w:p>
        </w:tc>
        <w:tc>
          <w:tcPr>
            <w:tcW w:type="dxa" w:w="3135"/>
          </w:tcPr>
          <w:p>
            <w:r>
              <w:rPr>
                <w:rFonts w:ascii="Meiryo UI" w:hAnsi="Meiryo UI"/>
                <w:sz w:val="18"/>
              </w:rPr>
              <w:t>中計でROE8%目標示示したら大きい</w:t>
            </w:r>
          </w:p>
        </w:tc>
      </w:tr>
    </w:tbl>
    <w:p/>
    <w:p>
      <w:pPr>
        <w:pStyle w:val="Heading3"/>
      </w:pPr>
      <w:r>
        <w:rPr>
          <w:rFonts w:ascii="Meiryo UI" w:hAnsi="Meiryo UI"/>
          <w:color w:val="2E74B5"/>
        </w:rPr>
        <w:t>リスクリワード計算（エントリー¥789）</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決算結果</w:t>
            </w:r>
          </w:p>
        </w:tc>
        <w:tc>
          <w:tcPr>
            <w:tcW w:type="dxa" w:w="2351"/>
            <w:shd w:val="clear" w:color="auto" w:fill="2E74B5"/>
          </w:tcPr>
          <w:p>
            <w:r>
              <w:rPr>
                <w:rFonts w:ascii="Meiryo UI" w:hAnsi="Meiryo UI"/>
                <w:b/>
                <w:color w:val="FFFFFF"/>
                <w:sz w:val="18"/>
              </w:rPr>
              <w:t>株価反応（推定）</w:t>
            </w:r>
          </w:p>
        </w:tc>
        <w:tc>
          <w:tcPr>
            <w:tcW w:type="dxa" w:w="2351"/>
            <w:shd w:val="clear" w:color="auto" w:fill="2E74B5"/>
          </w:tcPr>
          <w:p>
            <w:r>
              <w:rPr>
                <w:rFonts w:ascii="Meiryo UI" w:hAnsi="Meiryo UI"/>
                <w:b/>
                <w:color w:val="FFFFFF"/>
                <w:sz w:val="18"/>
              </w:rPr>
              <w:t>P&amp;L</w:t>
            </w:r>
          </w:p>
        </w:tc>
      </w:tr>
      <w:tr>
        <w:tc>
          <w:tcPr>
            <w:tcW w:type="dxa" w:w="2351"/>
          </w:tcPr>
          <w:p>
            <w:r>
              <w:rPr>
                <w:rFonts w:ascii="Meiryo UI" w:hAnsi="Meiryo UI"/>
                <w:sz w:val="18"/>
              </w:rPr>
              <w:t>ブル</w:t>
            </w:r>
          </w:p>
        </w:tc>
        <w:tc>
          <w:tcPr>
            <w:tcW w:type="dxa" w:w="2351"/>
          </w:tcPr>
          <w:p>
            <w:r>
              <w:rPr>
                <w:rFonts w:ascii="Meiryo UI" w:hAnsi="Meiryo UI"/>
                <w:sz w:val="18"/>
              </w:rPr>
              <w:t>増配+自社株買い発表</w:t>
            </w:r>
          </w:p>
        </w:tc>
        <w:tc>
          <w:tcPr>
            <w:tcW w:type="dxa" w:w="2351"/>
          </w:tcPr>
          <w:p>
            <w:r>
              <w:rPr>
                <w:rFonts w:ascii="Meiryo UI" w:hAnsi="Meiryo UI"/>
                <w:sz w:val="18"/>
              </w:rPr>
              <w:t>¥900〜¥950</w:t>
            </w:r>
          </w:p>
        </w:tc>
        <w:tc>
          <w:tcPr>
            <w:tcW w:type="dxa" w:w="2351"/>
          </w:tcPr>
          <w:p>
            <w:r>
              <w:rPr>
                <w:rFonts w:ascii="Meiryo UI" w:hAnsi="Meiryo UI"/>
                <w:sz w:val="18"/>
              </w:rPr>
              <w:t>+14〜+20%</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EPS軽微上振れ</w:t>
            </w:r>
          </w:p>
        </w:tc>
        <w:tc>
          <w:tcPr>
            <w:tcW w:type="dxa" w:w="2351"/>
            <w:shd w:val="clear" w:color="auto" w:fill="DDEBF7"/>
          </w:tcPr>
          <w:p>
            <w:r>
              <w:rPr>
                <w:rFonts w:ascii="Meiryo UI" w:hAnsi="Meiryo UI"/>
                <w:sz w:val="18"/>
              </w:rPr>
              <w:t>¥820〜¥850</w:t>
            </w:r>
          </w:p>
        </w:tc>
        <w:tc>
          <w:tcPr>
            <w:tcW w:type="dxa" w:w="2351"/>
            <w:shd w:val="clear" w:color="auto" w:fill="DDEBF7"/>
          </w:tcPr>
          <w:p>
            <w:r>
              <w:rPr>
                <w:rFonts w:ascii="Meiryo UI" w:hAnsi="Meiryo UI"/>
                <w:sz w:val="18"/>
              </w:rPr>
              <w:t>+4〜+8%</w:t>
            </w:r>
          </w:p>
        </w:tc>
      </w:tr>
      <w:tr>
        <w:tc>
          <w:tcPr>
            <w:tcW w:type="dxa" w:w="2351"/>
          </w:tcPr>
          <w:p>
            <w:r>
              <w:rPr>
                <w:rFonts w:ascii="Meiryo UI" w:hAnsi="Meiryo UI"/>
                <w:sz w:val="18"/>
              </w:rPr>
              <w:t>ニュートラル</w:t>
            </w:r>
          </w:p>
        </w:tc>
        <w:tc>
          <w:tcPr>
            <w:tcW w:type="dxa" w:w="2351"/>
          </w:tcPr>
          <w:p>
            <w:r>
              <w:rPr>
                <w:rFonts w:ascii="Meiryo UI" w:hAnsi="Meiryo UI"/>
                <w:sz w:val="18"/>
              </w:rPr>
              <w:t>コンセンサス通り</w:t>
            </w:r>
          </w:p>
        </w:tc>
        <w:tc>
          <w:tcPr>
            <w:tcW w:type="dxa" w:w="2351"/>
          </w:tcPr>
          <w:p>
            <w:r>
              <w:rPr>
                <w:rFonts w:ascii="Meiryo UI" w:hAnsi="Meiryo UI"/>
                <w:sz w:val="18"/>
              </w:rPr>
              <w:t>¥780〜¥800</w:t>
            </w:r>
          </w:p>
        </w:tc>
        <w:tc>
          <w:tcPr>
            <w:tcW w:type="dxa" w:w="2351"/>
          </w:tcPr>
          <w:p>
            <w:r>
              <w:rPr>
                <w:rFonts w:ascii="Meiryo UI" w:hAnsi="Meiryo UI"/>
                <w:sz w:val="18"/>
              </w:rPr>
              <w:t>▲1〜+1%</w:t>
            </w:r>
          </w:p>
        </w:tc>
      </w:tr>
      <w:tr>
        <w:tc>
          <w:tcPr>
            <w:tcW w:type="dxa" w:w="2351"/>
            <w:shd w:val="clear" w:color="auto" w:fill="DDEBF7"/>
          </w:tcPr>
          <w:p>
            <w:r>
              <w:rPr>
                <w:rFonts w:ascii="Meiryo UI" w:hAnsi="Meiryo UI"/>
                <w:sz w:val="18"/>
              </w:rPr>
              <w:t>ベア</w:t>
            </w:r>
          </w:p>
        </w:tc>
        <w:tc>
          <w:tcPr>
            <w:tcW w:type="dxa" w:w="2351"/>
            <w:shd w:val="clear" w:color="auto" w:fill="DDEBF7"/>
          </w:tcPr>
          <w:p>
            <w:r>
              <w:rPr>
                <w:rFonts w:ascii="Meiryo UI" w:hAnsi="Meiryo UI"/>
                <w:sz w:val="18"/>
              </w:rPr>
              <w:t>EPS下振れ・減配</w:t>
            </w:r>
          </w:p>
        </w:tc>
        <w:tc>
          <w:tcPr>
            <w:tcW w:type="dxa" w:w="2351"/>
            <w:shd w:val="clear" w:color="auto" w:fill="DDEBF7"/>
          </w:tcPr>
          <w:p>
            <w:r>
              <w:rPr>
                <w:rFonts w:ascii="Meiryo UI" w:hAnsi="Meiryo UI"/>
                <w:sz w:val="18"/>
              </w:rPr>
              <w:t>¥700〜¥730</w:t>
            </w:r>
          </w:p>
        </w:tc>
        <w:tc>
          <w:tcPr>
            <w:tcW w:type="dxa" w:w="2351"/>
            <w:shd w:val="clear" w:color="auto" w:fill="DDEBF7"/>
          </w:tcPr>
          <w:p>
            <w:r>
              <w:rPr>
                <w:rFonts w:ascii="Meiryo UI" w:hAnsi="Meiryo UI"/>
                <w:sz w:val="18"/>
              </w:rPr>
              <w:t>▲7〜▲11%</w:t>
            </w:r>
          </w:p>
        </w:tc>
      </w:tr>
    </w:tbl>
    <w:p/>
    <w:p>
      <w:r>
        <w:rPr>
          <w:rFonts w:ascii="Meiryo UI" w:hAnsi="Meiryo UI"/>
          <w:sz w:val="20"/>
        </w:rPr>
        <w:t>期待値計算（確率加重）：</w:t>
      </w:r>
    </w:p>
    <w:p>
      <w:pPr>
        <w:pStyle w:val="ListBullet"/>
      </w:pPr>
      <w:r>
        <w:rPr>
          <w:rFonts w:ascii="Meiryo UI" w:hAnsi="Meiryo UI"/>
          <w:sz w:val="20"/>
        </w:rPr>
        <w:t>ブル(15%): +17% × 0.15 = +2.6%</w:t>
      </w:r>
    </w:p>
    <w:p>
      <w:pPr>
        <w:pStyle w:val="ListBullet"/>
      </w:pPr>
      <w:r>
        <w:rPr>
          <w:rFonts w:ascii="Meiryo UI" w:hAnsi="Meiryo UI"/>
          <w:sz w:val="20"/>
        </w:rPr>
        <w:t>ベース(35%): +6% × 0.35 = +2.1%</w:t>
      </w:r>
    </w:p>
    <w:p>
      <w:pPr>
        <w:pStyle w:val="ListBullet"/>
      </w:pPr>
      <w:r>
        <w:rPr>
          <w:rFonts w:ascii="Meiryo UI" w:hAnsi="Meiryo UI"/>
          <w:sz w:val="20"/>
        </w:rPr>
        <w:t>ニュートラル(30%): 0% × 0.30 = 0%</w:t>
      </w:r>
    </w:p>
    <w:p>
      <w:pPr>
        <w:pStyle w:val="ListBullet"/>
      </w:pPr>
      <w:r>
        <w:rPr>
          <w:rFonts w:ascii="Meiryo UI" w:hAnsi="Meiryo UI"/>
          <w:sz w:val="20"/>
        </w:rPr>
        <w:t>ベア(20%): ▲9% × 0.20 = ▲1.8%</w:t>
      </w:r>
    </w:p>
    <w:p>
      <w:pPr>
        <w:pStyle w:val="ListBullet"/>
      </w:pPr>
      <w:r>
        <w:rPr>
          <w:rFonts w:ascii="Meiryo UI" w:hAnsi="Meiryo UI"/>
          <w:sz w:val="20"/>
        </w:rPr>
        <w:t>加重期待値: +2.9%</w:t>
      </w:r>
    </w:p>
    <w:p/>
    <w:p>
      <w:r>
        <w:rPr>
          <w:rFonts w:ascii="Meiryo UI" w:hAnsi="Meiryo UI"/>
          <w:sz w:val="20"/>
        </w:rPr>
        <w:t>→ 期待値はプラスだが、コンビクションが強くないため 小口（30-40%）のみ先行が適切。</w:t>
      </w:r>
    </w:p>
    <w:p/>
    <w:p>
      <w:r>
        <w:t>──────────────────────────────────────────────────</w:t>
      </w:r>
    </w:p>
    <w:p/>
    <w:p>
      <w:pPr>
        <w:pStyle w:val="Heading2"/>
      </w:pPr>
      <w:r>
        <w:rPr>
          <w:rFonts w:ascii="Meiryo UI" w:hAnsi="Meiryo UI"/>
          <w:color w:val="2E74B5"/>
        </w:rPr>
        <w:t>5. リスクシナリオ定量</w:t>
      </w:r>
    </w:p>
    <w:p/>
    <w:p>
      <w:pPr>
        <w:pStyle w:val="Heading3"/>
      </w:pPr>
      <w:r>
        <w:rPr>
          <w:rFonts w:ascii="Meiryo UI" w:hAnsi="Meiryo UI"/>
          <w:color w:val="2E74B5"/>
        </w:rPr>
        <w:t>リスク1：ROE構造問題（中期・最重要）</w:t>
      </w:r>
    </w:p>
    <w:p>
      <w:pPr>
        <w:pStyle w:val="ListBullet"/>
      </w:pPr>
      <w:r>
        <w:rPr>
          <w:rFonts w:ascii="Meiryo UI" w:hAnsi="Meiryo UI"/>
          <w:sz w:val="20"/>
        </w:rPr>
        <w:t>ROE 6.53% &lt; WACC 7.07% = 1株当たり年間約¥4の価値毀損</w:t>
      </w:r>
    </w:p>
    <w:p>
      <w:pPr>
        <w:pStyle w:val="ListBullet"/>
      </w:pPr>
      <w:r>
        <w:rPr>
          <w:rFonts w:ascii="Meiryo UI" w:hAnsi="Meiryo UI"/>
          <w:sz w:val="20"/>
        </w:rPr>
        <w:t>放置すればPBRが0.7xまで圧縮される可能性（理論下限）</w:t>
      </w:r>
    </w:p>
    <w:p>
      <w:pPr>
        <w:pStyle w:val="ListBullet"/>
      </w:pPr>
      <w:r>
        <w:rPr>
          <w:rFonts w:ascii="Meiryo UI" w:hAnsi="Meiryo UI"/>
          <w:sz w:val="20"/>
        </w:rPr>
        <w:t>対策の有無が中長期の勝負どころ</w:t>
      </w:r>
    </w:p>
    <w:p/>
    <w:p>
      <w:pPr>
        <w:pStyle w:val="Heading3"/>
      </w:pPr>
      <w:r>
        <w:rPr>
          <w:rFonts w:ascii="Meiryo UI" w:hAnsi="Meiryo UI"/>
          <w:color w:val="2E74B5"/>
        </w:rPr>
        <w:t>リスク2：化学品セグメントの仕入コスト上昇</w:t>
      </w:r>
    </w:p>
    <w:p>
      <w:pPr>
        <w:pStyle w:val="ListBullet"/>
      </w:pPr>
      <w:r>
        <w:rPr>
          <w:rFonts w:ascii="Meiryo UI" w:hAnsi="Meiryo UI"/>
          <w:sz w:val="20"/>
        </w:rPr>
        <w:t>ホルムズ継続環境でナフサ・石化品の調達コスト上昇</w:t>
      </w:r>
    </w:p>
    <w:p>
      <w:pPr>
        <w:pStyle w:val="ListBullet"/>
      </w:pPr>
      <w:r>
        <w:rPr>
          <w:rFonts w:ascii="Meiryo UI" w:hAnsi="Meiryo UI"/>
          <w:sz w:val="20"/>
        </w:rPr>
        <w:t>商社は基本的に売買のスプレッドで稼ぐ構造。仕入上昇を転嫁できるかが鍵</w:t>
      </w:r>
    </w:p>
    <w:p>
      <w:pPr>
        <w:pStyle w:val="ListBullet"/>
      </w:pPr>
      <w:r>
        <w:rPr>
          <w:rFonts w:ascii="Meiryo UI" w:hAnsi="Meiryo UI"/>
          <w:sz w:val="20"/>
        </w:rPr>
        <w:t>定量影響未確認 → IR質問事項</w:t>
      </w:r>
    </w:p>
    <w:p/>
    <w:p>
      <w:pPr>
        <w:pStyle w:val="Heading3"/>
      </w:pPr>
      <w:r>
        <w:rPr>
          <w:rFonts w:ascii="Meiryo UI" w:hAnsi="Meiryo UI"/>
          <w:color w:val="2E74B5"/>
        </w:rPr>
        <w:t>リスク3：住宅資材セグメントの金利逆風</w:t>
      </w:r>
    </w:p>
    <w:p>
      <w:pPr>
        <w:pStyle w:val="ListBullet"/>
      </w:pPr>
      <w:r>
        <w:rPr>
          <w:rFonts w:ascii="Meiryo UI" w:hAnsi="Meiryo UI"/>
          <w:sz w:val="20"/>
        </w:rPr>
        <w:t>JGB10年2.4%台での住宅ローン金利上昇 → 新築需要减少</w:t>
      </w:r>
    </w:p>
    <w:p>
      <w:pPr>
        <w:pStyle w:val="ListBullet"/>
      </w:pPr>
      <w:r>
        <w:rPr>
          <w:rFonts w:ascii="Meiryo UI" w:hAnsi="Meiryo UI"/>
          <w:sz w:val="20"/>
        </w:rPr>
        <w:t>リフォーム需要でカバーできるかが焦点</w:t>
      </w:r>
    </w:p>
    <w:p/>
    <w:p>
      <w:r>
        <w:t>──────────────────────────────────────────────────</w:t>
      </w:r>
    </w:p>
    <w:p/>
    <w:p>
      <w:pPr>
        <w:pStyle w:val="Heading2"/>
      </w:pPr>
      <w:r>
        <w:rPr>
          <w:rFonts w:ascii="Meiryo UI" w:hAnsi="Meiryo UI"/>
          <w:color w:val="2E74B5"/>
        </w:rPr>
        <w:t>6. Q-1定性変化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確認済み事項</w:t>
            </w:r>
          </w:p>
        </w:tc>
        <w:tc>
          <w:tcPr>
            <w:tcW w:type="dxa" w:w="3135"/>
            <w:shd w:val="clear" w:color="auto" w:fill="2E74B5"/>
          </w:tcPr>
          <w:p>
            <w:r>
              <w:rPr>
                <w:rFonts w:ascii="Meiryo UI" w:hAnsi="Meiryo UI"/>
                <w:b/>
                <w:color w:val="FFFFFF"/>
                <w:sz w:val="18"/>
              </w:rPr>
              <w:t>変化</w:t>
            </w:r>
          </w:p>
        </w:tc>
      </w:tr>
      <w:tr>
        <w:tc>
          <w:tcPr>
            <w:tcW w:type="dxa" w:w="3135"/>
          </w:tcPr>
          <w:p>
            <w:r>
              <w:rPr>
                <w:rFonts w:ascii="Meiryo UI" w:hAnsi="Meiryo UI"/>
                <w:sz w:val="18"/>
              </w:rPr>
              <w:t>1年リターン</w:t>
            </w:r>
          </w:p>
        </w:tc>
        <w:tc>
          <w:tcPr>
            <w:tcW w:type="dxa" w:w="3135"/>
          </w:tcPr>
          <w:p>
            <w:r>
              <w:rPr>
                <w:rFonts w:ascii="Meiryo UI" w:hAnsi="Meiryo UI"/>
                <w:sz w:val="18"/>
              </w:rPr>
              <w:t>+140.5%</w:t>
            </w:r>
          </w:p>
        </w:tc>
        <w:tc>
          <w:tcPr>
            <w:tcW w:type="dxa" w:w="3135"/>
          </w:tcPr>
          <w:p>
            <w:r>
              <w:rPr>
                <w:rFonts w:ascii="Meiryo UI" w:hAnsi="Meiryo UI"/>
                <w:sz w:val="18"/>
              </w:rPr>
              <w:t>市場が高く評価。業績の実質改善を示唆</w:t>
            </w:r>
          </w:p>
        </w:tc>
      </w:tr>
      <w:tr>
        <w:tc>
          <w:tcPr>
            <w:tcW w:type="dxa" w:w="3135"/>
            <w:shd w:val="clear" w:color="auto" w:fill="DDEBF7"/>
          </w:tcPr>
          <w:p>
            <w:r>
              <w:rPr>
                <w:rFonts w:ascii="Meiryo UI" w:hAnsi="Meiryo UI"/>
                <w:sz w:val="18"/>
              </w:rPr>
              <w:t>EPS成長（yfinance）</w:t>
            </w:r>
          </w:p>
        </w:tc>
        <w:tc>
          <w:tcPr>
            <w:tcW w:type="dxa" w:w="3135"/>
            <w:shd w:val="clear" w:color="auto" w:fill="DDEBF7"/>
          </w:tcPr>
          <w:p>
            <w:r>
              <w:rPr>
                <w:rFonts w:ascii="Meiryo UI" w:hAnsi="Meiryo UI"/>
                <w:sz w:val="18"/>
              </w:rPr>
              <w:t>+61.7%</w:t>
            </w:r>
          </w:p>
        </w:tc>
        <w:tc>
          <w:tcPr>
            <w:tcW w:type="dxa" w:w="3135"/>
            <w:shd w:val="clear" w:color="auto" w:fill="DDEBF7"/>
          </w:tcPr>
          <w:p>
            <w:r>
              <w:rPr>
                <w:rFonts w:ascii="Meiryo UI" w:hAnsi="Meiryo UI"/>
                <w:sz w:val="18"/>
              </w:rPr>
              <w:t>V字回復 or 一過性かは要確認</w:t>
            </w:r>
          </w:p>
        </w:tc>
      </w:tr>
      <w:tr>
        <w:tc>
          <w:tcPr>
            <w:tcW w:type="dxa" w:w="3135"/>
          </w:tcPr>
          <w:p>
            <w:r>
              <w:rPr>
                <w:rFonts w:ascii="Meiryo UI" w:hAnsi="Meiryo UI"/>
                <w:sz w:val="18"/>
              </w:rPr>
              <w:t>配当性向</w:t>
            </w:r>
          </w:p>
        </w:tc>
        <w:tc>
          <w:tcPr>
            <w:tcW w:type="dxa" w:w="3135"/>
          </w:tcPr>
          <w:p>
            <w:r>
              <w:rPr>
                <w:rFonts w:ascii="Meiryo UI" w:hAnsi="Meiryo UI"/>
                <w:sz w:val="18"/>
              </w:rPr>
              <w:t>26.4%（低水準）</w:t>
            </w:r>
          </w:p>
        </w:tc>
        <w:tc>
          <w:tcPr>
            <w:tcW w:type="dxa" w:w="3135"/>
          </w:tcPr>
          <w:p>
            <w:r>
              <w:rPr>
                <w:rFonts w:ascii="Meiryo UI" w:hAnsi="Meiryo UI"/>
                <w:sz w:val="18"/>
              </w:rPr>
              <w:t>増配余地が大きいが、未実施</w:t>
            </w:r>
          </w:p>
        </w:tc>
      </w:tr>
    </w:tbl>
    <w:p/>
    <w:p>
      <w:r>
        <w:t>──────────────────────────────────────────────────</w:t>
      </w:r>
    </w:p>
    <w:p/>
    <w:p>
      <w:pPr>
        <w:pStyle w:val="Heading2"/>
      </w:pPr>
      <w:r>
        <w:rPr>
          <w:rFonts w:ascii="Meiryo UI" w:hAnsi="Meiryo UI"/>
          <w:color w:val="2E74B5"/>
        </w:rPr>
        <w:t>7. ガイダンス考察</w:t>
      </w:r>
    </w:p>
    <w:p/>
    <w:p>
      <w:pPr>
        <w:pStyle w:val="ListBullet"/>
      </w:pPr>
      <w:r>
        <w:rPr>
          <w:rFonts w:ascii="Meiryo UI" w:hAnsi="Meiryo UI"/>
          <w:sz w:val="20"/>
        </w:rPr>
        <w:t>1Y+140%の上昇に対して、FY27.3期ガイダンスが保守的であれば「出尽くし」リスク</w:t>
      </w:r>
    </w:p>
    <w:p>
      <w:pPr>
        <w:pStyle w:val="ListBullet"/>
      </w:pPr>
      <w:r>
        <w:rPr>
          <w:rFonts w:ascii="Meiryo UI" w:hAnsi="Meiryo UI"/>
          <w:sz w:val="20"/>
        </w:rPr>
        <w:t>増配・自社株買いがなければ今の株価水準（PER16x）が上限になりやすい</w:t>
      </w:r>
    </w:p>
    <w:p>
      <w:pPr>
        <w:pStyle w:val="ListBullet"/>
      </w:pPr>
      <w:r>
        <w:rPr>
          <w:rFonts w:ascii="Meiryo UI" w:hAnsi="Meiryo UI"/>
          <w:sz w:val="20"/>
        </w:rPr>
        <w:t>最悪シナリオ：決算ニュートラル + 増配なし → 株価¥780-800でのもみ合い継続</w:t>
      </w:r>
    </w:p>
    <w:p/>
    <w:p>
      <w:r>
        <w:t>──────────────────────────────────────────────────</w:t>
      </w:r>
    </w:p>
    <w:p/>
    <w:p>
      <w:pPr>
        <w:pStyle w:val="Heading2"/>
      </w:pPr>
      <w:r>
        <w:rPr>
          <w:rFonts w:ascii="Meiryo UI" w:hAnsi="Meiryo UI"/>
          <w:color w:val="2E74B5"/>
        </w:rPr>
        <w:t>8. 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トランシェ</w:t>
            </w:r>
          </w:p>
        </w:tc>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比率</w:t>
            </w:r>
          </w:p>
        </w:tc>
      </w:tr>
      <w:tr>
        <w:tc>
          <w:tcPr>
            <w:tcW w:type="dxa" w:w="2351"/>
          </w:tcPr>
          <w:p>
            <w:r>
              <w:rPr>
                <w:rFonts w:ascii="Meiryo UI" w:hAnsi="Meiryo UI"/>
                <w:sz w:val="18"/>
              </w:rPr>
              <w:t>第1弾</w:t>
            </w:r>
          </w:p>
        </w:tc>
        <w:tc>
          <w:tcPr>
            <w:tcW w:type="dxa" w:w="2351"/>
          </w:tcPr>
          <w:p>
            <w:r>
              <w:rPr>
                <w:rFonts w:ascii="Meiryo UI" w:hAnsi="Meiryo UI"/>
                <w:sz w:val="18"/>
              </w:rPr>
              <w:t>決算前（現在）</w:t>
            </w:r>
          </w:p>
        </w:tc>
        <w:tc>
          <w:tcPr>
            <w:tcW w:type="dxa" w:w="2351"/>
          </w:tcPr>
          <w:p>
            <w:r>
              <w:rPr>
                <w:rFonts w:ascii="Meiryo UI" w:hAnsi="Meiryo UI"/>
                <w:sz w:val="18"/>
              </w:rPr>
              <w:t>¥780〜¥800</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第2弾</w:t>
            </w:r>
          </w:p>
        </w:tc>
        <w:tc>
          <w:tcPr>
            <w:tcW w:type="dxa" w:w="2351"/>
            <w:shd w:val="clear" w:color="auto" w:fill="DDEBF7"/>
          </w:tcPr>
          <w:p>
            <w:r>
              <w:rPr>
                <w:rFonts w:ascii="Meiryo UI" w:hAnsi="Meiryo UI"/>
                <w:sz w:val="18"/>
              </w:rPr>
              <w:t>4/26決算後：EPS¥55超 or 増配確認</w:t>
            </w:r>
          </w:p>
        </w:tc>
        <w:tc>
          <w:tcPr>
            <w:tcW w:type="dxa" w:w="2351"/>
            <w:shd w:val="clear" w:color="auto" w:fill="DDEBF7"/>
          </w:tcPr>
          <w:p>
            <w:r>
              <w:rPr>
                <w:rFonts w:ascii="Meiryo UI" w:hAnsi="Meiryo UI"/>
                <w:sz w:val="18"/>
              </w:rPr>
              <w:t>時価</w:t>
            </w:r>
          </w:p>
        </w:tc>
        <w:tc>
          <w:tcPr>
            <w:tcW w:type="dxa" w:w="2351"/>
            <w:shd w:val="clear" w:color="auto" w:fill="DDEBF7"/>
          </w:tcPr>
          <w:p>
            <w:r>
              <w:rPr>
                <w:rFonts w:ascii="Meiryo UI" w:hAnsi="Meiryo UI"/>
                <w:sz w:val="18"/>
              </w:rPr>
              <w:t>40%</w:t>
            </w:r>
          </w:p>
        </w:tc>
      </w:tr>
      <w:tr>
        <w:tc>
          <w:tcPr>
            <w:tcW w:type="dxa" w:w="2351"/>
          </w:tcPr>
          <w:p>
            <w:r>
              <w:rPr>
                <w:rFonts w:ascii="Meiryo UI" w:hAnsi="Meiryo UI"/>
                <w:sz w:val="18"/>
              </w:rPr>
              <w:t>第3弾</w:t>
            </w:r>
          </w:p>
        </w:tc>
        <w:tc>
          <w:tcPr>
            <w:tcW w:type="dxa" w:w="2351"/>
          </w:tcPr>
          <w:p>
            <w:r>
              <w:rPr>
                <w:rFonts w:ascii="Meiryo UI" w:hAnsi="Meiryo UI"/>
                <w:sz w:val="18"/>
              </w:rPr>
              <w:t>ROE改善方針・自社株買い発表</w:t>
            </w:r>
          </w:p>
        </w:tc>
        <w:tc>
          <w:tcPr>
            <w:tcW w:type="dxa" w:w="2351"/>
          </w:tcPr>
          <w:p>
            <w:r>
              <w:rPr>
                <w:rFonts w:ascii="Meiryo UI" w:hAnsi="Meiryo UI"/>
                <w:sz w:val="18"/>
              </w:rPr>
              <w:t>時価</w:t>
            </w:r>
          </w:p>
        </w:tc>
        <w:tc>
          <w:tcPr>
            <w:tcW w:type="dxa" w:w="2351"/>
          </w:tcPr>
          <w:p>
            <w:r>
              <w:rPr>
                <w:rFonts w:ascii="Meiryo UI" w:hAnsi="Meiryo UI"/>
                <w:sz w:val="18"/>
              </w:rPr>
              <w:t>25%</w:t>
            </w:r>
          </w:p>
        </w:tc>
      </w:tr>
    </w:tbl>
    <w:p/>
    <w:p>
      <w:r>
        <w:rPr>
          <w:rFonts w:ascii="Meiryo UI" w:hAnsi="Meiryo UI"/>
          <w:sz w:val="20"/>
        </w:rPr>
        <w:t>SL: ¥740（MA25割れ ≒ PBR 0.785x）</w:t>
      </w:r>
    </w:p>
    <w:p/>
    <w:p>
      <w:r>
        <w:t>──────────────────────────────────────────────────</w:t>
      </w:r>
    </w:p>
    <w:p/>
    <w:p>
      <w:pPr>
        <w:pStyle w:val="Heading2"/>
      </w:pPr>
      <w:r>
        <w:rPr>
          <w:rFonts w:ascii="Meiryo UI" w:hAnsi="Meiryo UI"/>
          <w:color w:val="2E74B5"/>
        </w:rPr>
        <w:t>9. 浅井スコア</w:t>
      </w:r>
    </w:p>
    <w:p/>
    <w:p>
      <w:r>
        <w:rPr>
          <w:rFonts w:ascii="Meiryo UI" w:hAnsi="Meiryo UI"/>
          <w:sz w:val="20"/>
        </w:rPr>
        <w:t>+65（ベースFV+20%は確認できるが、ROE&lt;WACCの構造問題と1Y+140%の過去リターンで積極追いは困難）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モメンタム</w:t>
            </w:r>
          </w:p>
        </w:tc>
        <w:tc>
          <w:tcPr>
            <w:tcW w:type="dxa" w:w="3135"/>
          </w:tcPr>
          <w:p>
            <w:r>
              <w:rPr>
                <w:rFonts w:ascii="Meiryo UI" w:hAnsi="Meiryo UI"/>
                <w:sz w:val="18"/>
              </w:rPr>
              <w:t>+20</w:t>
            </w:r>
          </w:p>
        </w:tc>
        <w:tc>
          <w:tcPr>
            <w:tcW w:type="dxa" w:w="3135"/>
          </w:tcPr>
          <w:p>
            <w:r>
              <w:rPr>
                <w:rFonts w:ascii="Meiryo UI" w:hAnsi="Meiryo UI"/>
                <w:sz w:val="18"/>
              </w:rPr>
              <w:t>1M+11.4%・3M+30.4%。堅調だが過熱ではない</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RSI67・MA+5.8%。決算前として許容範囲</w:t>
            </w:r>
          </w:p>
        </w:tc>
      </w:tr>
      <w:tr>
        <w:tc>
          <w:tcPr>
            <w:tcW w:type="dxa" w:w="3135"/>
          </w:tcPr>
          <w:p>
            <w:r>
              <w:rPr>
                <w:rFonts w:ascii="Meiryo UI" w:hAnsi="Meiryo UI"/>
                <w:sz w:val="18"/>
              </w:rPr>
              <w:t>バリュー</w:t>
            </w:r>
          </w:p>
        </w:tc>
        <w:tc>
          <w:tcPr>
            <w:tcW w:type="dxa" w:w="3135"/>
          </w:tcPr>
          <w:p>
            <w:r>
              <w:rPr>
                <w:rFonts w:ascii="Meiryo UI" w:hAnsi="Meiryo UI"/>
                <w:sz w:val="18"/>
              </w:rPr>
              <w:t>+20</w:t>
            </w:r>
          </w:p>
        </w:tc>
        <w:tc>
          <w:tcPr>
            <w:tcW w:type="dxa" w:w="3135"/>
          </w:tcPr>
          <w:p>
            <w:r>
              <w:rPr>
                <w:rFonts w:ascii="Meiryo UI" w:hAnsi="Meiryo UI"/>
                <w:sz w:val="18"/>
              </w:rPr>
              <w:t>PBR0.84x・BPS¥943。解散価値ディスカウント有り</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4日後決算。増配・自社株買い発表が出れば+20ptへ</w:t>
            </w:r>
          </w:p>
        </w:tc>
      </w:tr>
    </w:tbl>
    <w:p/>
    <w:p>
      <w:r>
        <w:t>──────────────────────────────────────────────────</w:t>
      </w:r>
    </w:p>
    <w:p/>
    <w:p>
      <w:pPr>
        <w:pStyle w:val="Heading2"/>
      </w:pPr>
      <w:r>
        <w:rPr>
          <w:rFonts w:ascii="Meiryo UI" w:hAnsi="Meiryo UI"/>
          <w:color w:val="2E74B5"/>
        </w:rPr>
        <w:t>10. IR質問状（竹村トレードカンパニー名義）</w:t>
      </w:r>
    </w:p>
    <w:p/>
    <w:p>
      <w:r>
        <w:rPr>
          <w:rFonts w:ascii="Meiryo UI" w:hAnsi="Meiryo UI"/>
          <w:sz w:val="20"/>
        </w:rPr>
        <w:t xml:space="preserve">宛先: 三谷産業株式会社 IR担当  </w:t>
      </w:r>
    </w:p>
    <w:p>
      <w:r>
        <w:rPr>
          <w:rFonts w:ascii="Meiryo UI" w:hAnsi="Meiryo UI"/>
          <w:sz w:val="20"/>
        </w:rPr>
        <w:t>件名: 貴社事業・資本政策についてのご確認（オーキッドツリーキャピタル 竹村耕）</w:t>
      </w:r>
    </w:p>
    <w:p/>
    <w:p>
      <w:r>
        <w:rPr>
          <w:rFonts w:ascii="Meiryo UI" w:hAnsi="Meiryo UI"/>
          <w:sz w:val="20"/>
        </w:rPr>
        <w:t xml:space="preserve">Q1 ROE改善計画  </w:t>
      </w:r>
    </w:p>
    <w:p>
      <w:r>
        <w:rPr>
          <w:rFonts w:ascii="Meiryo UI" w:hAnsi="Meiryo UI"/>
          <w:sz w:val="20"/>
        </w:rPr>
        <w:t>ROE 6.5%は資本コストをわずかに下回っています。中期的にROE8%超を目指す具体的な施策（増収・収益改善・資本圧縮等）をお聞かせください。</w:t>
      </w:r>
    </w:p>
    <w:p/>
    <w:p>
      <w:r>
        <w:rPr>
          <w:rFonts w:ascii="Meiryo UI" w:hAnsi="Meiryo UI"/>
          <w:sz w:val="20"/>
        </w:rPr>
        <w:t xml:space="preserve">Q2 配当・還元方針  </w:t>
      </w:r>
    </w:p>
    <w:p>
      <w:r>
        <w:rPr>
          <w:rFonts w:ascii="Meiryo UI" w:hAnsi="Meiryo UI"/>
          <w:sz w:val="20"/>
        </w:rPr>
        <w:t>配当性向が26%程度と業界平均を下回っています。今後の配当性向の目標水準、および自社株買いの検討状況をお聞かせください。</w:t>
      </w:r>
    </w:p>
    <w:p/>
    <w:p>
      <w:r>
        <w:rPr>
          <w:rFonts w:ascii="Meiryo UI" w:hAnsi="Meiryo UI"/>
          <w:sz w:val="20"/>
        </w:rPr>
        <w:t xml:space="preserve">Q3 化学品セグメントのホルムズ影響  </w:t>
      </w:r>
    </w:p>
    <w:p>
      <w:r>
        <w:rPr>
          <w:rFonts w:ascii="Meiryo UI" w:hAnsi="Meiryo UI"/>
          <w:sz w:val="20"/>
        </w:rPr>
        <w:t>石油化学品の調達コスト上昇分を販売価格に転嫁できているか、足元の状況をお教えください。</w:t>
      </w:r>
    </w:p>
    <w:p/>
    <w:p>
      <w:r>
        <w:rPr>
          <w:rFonts w:ascii="Meiryo UI" w:hAnsi="Meiryo UI"/>
          <w:sz w:val="20"/>
        </w:rPr>
        <w:t xml:space="preserve">Q4 IT・設備セグメントの成長性  </w:t>
      </w:r>
    </w:p>
    <w:p>
      <w:r>
        <w:rPr>
          <w:rFonts w:ascii="Meiryo UI" w:hAnsi="Meiryo UI"/>
          <w:sz w:val="20"/>
        </w:rPr>
        <w:t>製造業DXおよび中国インフラ需要増加が設備機材セグメントにどの程度の追い風になっているか、定性的なご見解をお聞かせください。</w:t>
      </w:r>
    </w:p>
    <w:p/>
    <w:p>
      <w:r>
        <w:rPr>
          <w:rFonts w:ascii="Meiryo UI" w:hAnsi="Meiryo UI"/>
          <w:sz w:val="20"/>
        </w:rPr>
        <w:t xml:space="preserve">Q5 中計目標の進捗  </w:t>
      </w:r>
    </w:p>
    <w:p>
      <w:r>
        <w:rPr>
          <w:rFonts w:ascii="Meiryo UI" w:hAnsi="Meiryo UI"/>
          <w:sz w:val="20"/>
        </w:rPr>
        <w:t>現中期経営計画のOP目標に対する進捗状況と、来期（FY27.3期）の見通しについてお聞かせいただけますか。</w:t>
      </w:r>
    </w:p>
    <w:p/>
    <w:p>
      <w:r>
        <w:rPr>
          <w:rFonts w:ascii="Meiryo UI" w:hAnsi="Meiryo UI"/>
          <w:sz w:val="20"/>
        </w:rPr>
        <w:t xml:space="preserve">敬具  </w:t>
      </w:r>
    </w:p>
    <w:p>
      <w:r>
        <w:rPr>
          <w:rFonts w:ascii="Meiryo UI" w:hAnsi="Meiryo UI"/>
          <w:sz w:val="20"/>
        </w:rPr>
        <w:t>オーキッドツリーキャピタル 竹村耕</w:t>
      </w:r>
    </w:p>
    <w:p/>
    <w:p>
      <w:r>
        <w:t>──────────────────────────────────────────────────</w:t>
      </w:r>
    </w:p>
    <w:p/>
    <w:p>
      <w:r>
        <w:rPr>
          <w:rFonts w:ascii="Meiryo UI" w:hAnsi="Meiryo UI"/>
          <w:sz w:val="20"/>
        </w:rPr>
        <w:t xml:space="preserve">本レポートは公開情報に基づくスコアリングです。最終投資判断は社長の決裁に基づきます。  </w:t>
      </w:r>
    </w:p>
    <w:p>
      <w:r>
        <w:rPr>
          <w:rFonts w:ascii="Meiryo UI" w:hAnsi="Meiryo UI"/>
          <w:sz w:val="20"/>
        </w:rPr>
        <w:t>データ基準日: 2026-04-22 | 株価 ¥789 | 時価総額 ¥486億</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