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[8306] 三菱UFJ FG【BOJ4月利上げ見送り確定×利ザヤ改善期待剥落×PBR1.51倍×PER16.9倍×時価総額¥32.2兆×本当に売りか×FairValue算出】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[8306] 三菱UFJ FG【BOJ4月利上げ見送り確定×利ザヤ改善期待剥落×PBR1.51倍×PER16.9倍×時価総額¥32.2兆×本当に売りか×FairValue算出】</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三菱UFJ FG（8306.T）DeepResearch レポート</w:t>
      </w:r>
    </w:p>
    <w:p>
      <w:pPr>
        <w:pStyle w:val="Heading3"/>
      </w:pPr>
      <w:r>
        <w:rPr>
          <w:rFonts w:ascii="Meiryo UI" w:hAnsi="Meiryo UI"/>
          <w:color w:val="2E74B5"/>
        </w:rPr>
        <w:t>竹村トレードカンパニー｜アナリスト：深井｜分析日：2026-04-17</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【中立 → 戦術的買い待機】 — BOJ利上げ見送りでNIM改善期待が一時剥落するも、5月以降の再利上げ織り込みと1兆円超の自社株買い余力でPBR1.51倍は正当水準。ショート根拠は弱く、ただちに買い増しのモメンタムも欠く</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¥2,850 ／ 理論株価（FV） ¥3,050〜¥3,320（基本シナリオ中央値 ¥3,180） ／ 上値余地 +11.6%（中央値）〜+16.5%</w:t>
            </w:r>
          </w:p>
        </w:tc>
      </w:tr>
      <w:tr>
        <w:tc>
          <w:tcPr>
            <w:tcW w:type="dxa" w:w="4703"/>
          </w:tcPr>
          <w:p>
            <w:r>
              <w:rPr>
                <w:rFonts w:ascii="Meiryo UI" w:hAnsi="Meiryo UI"/>
                <w:sz w:val="18"/>
              </w:rPr>
              <w:t>主要カタリスト</w:t>
            </w:r>
          </w:p>
        </w:tc>
        <w:tc>
          <w:tcPr>
            <w:tcW w:type="dxa" w:w="4703"/>
          </w:tcPr>
          <w:p>
            <w:r>
              <w:rPr>
                <w:rFonts w:ascii="Meiryo UI" w:hAnsi="Meiryo UI"/>
                <w:sz w:val="18"/>
              </w:rPr>
              <w:t>①BOJ 5〜6月利上げ再開（+25bp）→ NIM+0.25%pt・EPS+¥12〜15押し上げ（2026年中） ②2026年5月本決算：自社株買い追加発表・配当増額（現¥50→¥55想定） ③バフェット効果継続：日本商社株ポジション拡大→メガバンク追随買い期待（2026年下期）</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BOJが2026年内に利上げを完全停止した場合、NIM改善消滅でEPS ¥168→¥152に下方修正→PER17.7倍に拡大、PBR1.51倍正当化困難となり株価 ¥2,550〜¥2,600へ下落（▲10〜11%）</w:t>
            </w:r>
          </w:p>
        </w:tc>
      </w:tr>
      <w:tr>
        <w:tc>
          <w:tcPr>
            <w:tcW w:type="dxa" w:w="4703"/>
          </w:tcPr>
          <w:p>
            <w:r>
              <w:rPr>
                <w:rFonts w:ascii="Meiryo UI" w:hAnsi="Meiryo UI"/>
                <w:sz w:val="18"/>
              </w:rPr>
              <w:t>社長への推奨アクション</w:t>
            </w:r>
          </w:p>
        </w:tc>
        <w:tc>
          <w:tcPr>
            <w:tcW w:type="dxa" w:w="4703"/>
          </w:tcPr>
          <w:p>
            <w:r>
              <w:rPr>
                <w:rFonts w:ascii="Meiryo UI" w:hAnsi="Meiryo UI"/>
                <w:sz w:val="18"/>
              </w:rPr>
              <w:t>ショートは今すぐ外せ。現値¥2,850でのショートは5月利上げ再開リスクで踏み上げ確率高。買いは5月本決算（還元方針確認）後に¥2,700〜¥2,800で第1トランシェ40%エントリー。損切りラインは¥2,520（DCF弱気ケースBV）。ターゲット¥3,180（+11.6%）。</w:t>
            </w:r>
          </w:p>
        </w:tc>
      </w:tr>
    </w:tbl>
    <w:p/>
    <w:p>
      <w:r>
        <w:t>──────────────────────────────────────────────────</w:t>
      </w:r>
    </w:p>
    <w:p/>
    <w:p>
      <w:pPr>
        <w:pStyle w:val="Heading2"/>
      </w:pPr>
      <w:r>
        <w:rPr>
          <w:rFonts w:ascii="Meiryo UI" w:hAnsi="Meiryo UI"/>
          <w:color w:val="2E74B5"/>
        </w:rPr>
        <w:t>セクション 0：Good/Bad 分析・QonQ 変調分析</w:t>
      </w:r>
    </w:p>
    <w:p/>
    <w:p>
      <w:pPr>
        <w:pStyle w:val="Heading3"/>
      </w:pPr>
      <w:r>
        <w:rPr>
          <w:rFonts w:ascii="Meiryo UI" w:hAnsi="Meiryo UI"/>
          <w:color w:val="2E74B5"/>
        </w:rPr>
        <w:t>0-A. 損益の「毒」と「薬」の仕分け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薬①</w:t>
            </w:r>
          </w:p>
        </w:tc>
        <w:tc>
          <w:tcPr>
            <w:tcW w:type="dxa" w:w="1881"/>
          </w:tcPr>
          <w:p>
            <w:r>
              <w:rPr>
                <w:rFonts w:ascii="Meiryo UI" w:hAnsi="Meiryo UI"/>
                <w:sz w:val="18"/>
              </w:rPr>
              <w:t>BOJ利上げ累積効果（2024〜2025年）によるNIM改善</w:t>
            </w:r>
          </w:p>
        </w:tc>
        <w:tc>
          <w:tcPr>
            <w:tcW w:type="dxa" w:w="1881"/>
          </w:tcPr>
          <w:p>
            <w:r>
              <w:rPr>
                <w:rFonts w:ascii="Meiryo UI" w:hAnsi="Meiryo UI"/>
                <w:sz w:val="18"/>
              </w:rPr>
              <w:t>貸出金利回り+0.30〜0.40%pt累積、NII（純利息収入）+約4,000億円/年インパクト</w:t>
            </w:r>
          </w:p>
        </w:tc>
        <w:tc>
          <w:tcPr>
            <w:tcW w:type="dxa" w:w="1881"/>
          </w:tcPr>
          <w:p>
            <w:r>
              <w:rPr>
                <w:rFonts w:ascii="Meiryo UI" w:hAnsi="Meiryo UI"/>
                <w:sz w:val="18"/>
              </w:rPr>
              <w:t>構造的</w:t>
            </w:r>
          </w:p>
        </w:tc>
        <w:tc>
          <w:tcPr>
            <w:tcW w:type="dxa" w:w="1881"/>
          </w:tcPr>
          <w:p>
            <w:r>
              <w:rPr>
                <w:rFonts w:ascii="Meiryo UI" w:hAnsi="Meiryo UI"/>
                <w:sz w:val="18"/>
              </w:rPr>
              <w:t>昨年来の利上げ2回（計+0.50bp）が遅効性で貸出スプレッドに乗ってきており、FY2025下期の利息収益は確実に底上げ済み</w:t>
            </w:r>
          </w:p>
        </w:tc>
      </w:tr>
      <w:tr>
        <w:tc>
          <w:tcPr>
            <w:tcW w:type="dxa" w:w="1881"/>
            <w:shd w:val="clear" w:color="auto" w:fill="DDEBF7"/>
          </w:tcPr>
          <w:p>
            <w:r>
              <w:rPr>
                <w:rFonts w:ascii="Meiryo UI" w:hAnsi="Meiryo UI"/>
                <w:sz w:val="18"/>
              </w:rPr>
              <w:t>💊 薬②</w:t>
            </w:r>
          </w:p>
        </w:tc>
        <w:tc>
          <w:tcPr>
            <w:tcW w:type="dxa" w:w="1881"/>
            <w:shd w:val="clear" w:color="auto" w:fill="DDEBF7"/>
          </w:tcPr>
          <w:p>
            <w:r>
              <w:rPr>
                <w:rFonts w:ascii="Meiryo UI" w:hAnsi="Meiryo UI"/>
                <w:sz w:val="18"/>
              </w:rPr>
              <w:t>MUFG Americas（UnionBank売却後の北米CIB）収益拡大</w:t>
            </w:r>
          </w:p>
        </w:tc>
        <w:tc>
          <w:tcPr>
            <w:tcW w:type="dxa" w:w="1881"/>
            <w:shd w:val="clear" w:color="auto" w:fill="DDEBF7"/>
          </w:tcPr>
          <w:p>
            <w:r>
              <w:rPr>
                <w:rFonts w:ascii="Meiryo UI" w:hAnsi="Meiryo UI"/>
                <w:sz w:val="18"/>
              </w:rPr>
              <w:t>海外貸出残高約¥35兆、外貨NIM改善</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米国金利高止まり環境でドル建て貸出利回りが高水準。円安×ドル高のダブル恩恵</w:t>
            </w:r>
          </w:p>
        </w:tc>
      </w:tr>
      <w:tr>
        <w:tc>
          <w:tcPr>
            <w:tcW w:type="dxa" w:w="1881"/>
          </w:tcPr>
          <w:p>
            <w:r>
              <w:rPr>
                <w:rFonts w:ascii="Meiryo UI" w:hAnsi="Meiryo UI"/>
                <w:sz w:val="18"/>
              </w:rPr>
              <w:t>💊 薬③</w:t>
            </w:r>
          </w:p>
        </w:tc>
        <w:tc>
          <w:tcPr>
            <w:tcW w:type="dxa" w:w="1881"/>
          </w:tcPr>
          <w:p>
            <w:r>
              <w:rPr>
                <w:rFonts w:ascii="Meiryo UI" w:hAnsi="Meiryo UI"/>
                <w:sz w:val="18"/>
              </w:rPr>
              <w:t>自社株買い（FY2025：¥4,000億規模）＋増配継続</w:t>
            </w:r>
          </w:p>
        </w:tc>
        <w:tc>
          <w:tcPr>
            <w:tcW w:type="dxa" w:w="1881"/>
          </w:tcPr>
          <w:p>
            <w:r>
              <w:rPr>
                <w:rFonts w:ascii="Meiryo UI" w:hAnsi="Meiryo UI"/>
                <w:sz w:val="18"/>
              </w:rPr>
              <w:t>EPS希薄化解消・BPS押し上げ</w:t>
            </w:r>
          </w:p>
        </w:tc>
        <w:tc>
          <w:tcPr>
            <w:tcW w:type="dxa" w:w="1881"/>
          </w:tcPr>
          <w:p>
            <w:r>
              <w:rPr>
                <w:rFonts w:ascii="Meiryo UI" w:hAnsi="Meiryo UI"/>
                <w:sz w:val="18"/>
              </w:rPr>
              <w:t>構造的</w:t>
            </w:r>
          </w:p>
        </w:tc>
        <w:tc>
          <w:tcPr>
            <w:tcW w:type="dxa" w:w="1881"/>
          </w:tcPr>
          <w:p>
            <w:r>
              <w:rPr>
                <w:rFonts w:ascii="Meiryo UI" w:hAnsi="Meiryo UI"/>
                <w:sz w:val="18"/>
              </w:rPr>
              <w:t>株数減少でEPS・BPSともに自動的に改善。PBR適正化の最も確実な経路</w:t>
            </w:r>
          </w:p>
        </w:tc>
      </w:tr>
      <w:tr>
        <w:tc>
          <w:tcPr>
            <w:tcW w:type="dxa" w:w="1881"/>
            <w:shd w:val="clear" w:color="auto" w:fill="DDEBF7"/>
          </w:tcPr>
          <w:p>
            <w:r>
              <w:rPr>
                <w:rFonts w:ascii="Meiryo UI" w:hAnsi="Meiryo UI"/>
                <w:sz w:val="18"/>
              </w:rPr>
              <w:t>💊 薬④</w:t>
            </w:r>
          </w:p>
        </w:tc>
        <w:tc>
          <w:tcPr>
            <w:tcW w:type="dxa" w:w="1881"/>
            <w:shd w:val="clear" w:color="auto" w:fill="DDEBF7"/>
          </w:tcPr>
          <w:p>
            <w:r>
              <w:rPr>
                <w:rFonts w:ascii="Meiryo UI" w:hAnsi="Meiryo UI"/>
                <w:sz w:val="18"/>
              </w:rPr>
              <w:t>アユタヤ銀行（タイ）等アジア子会社の安定収益</w:t>
            </w:r>
          </w:p>
        </w:tc>
        <w:tc>
          <w:tcPr>
            <w:tcW w:type="dxa" w:w="1881"/>
            <w:shd w:val="clear" w:color="auto" w:fill="DDEBF7"/>
          </w:tcPr>
          <w:p>
            <w:r>
              <w:rPr>
                <w:rFonts w:ascii="Meiryo UI" w:hAnsi="Meiryo UI"/>
                <w:sz w:val="18"/>
              </w:rPr>
              <w:t>連結純利益の約15〜18%を海外が貢献</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国内金利依存度を下げる分散効果。BOJ政策の影響を緩和するクッション</w:t>
            </w:r>
          </w:p>
        </w:tc>
      </w:tr>
      <w:tr>
        <w:tc>
          <w:tcPr>
            <w:tcW w:type="dxa" w:w="1881"/>
          </w:tcPr>
          <w:p>
            <w:r>
              <w:rPr>
                <w:rFonts w:ascii="Meiryo UI" w:hAnsi="Meiryo UI"/>
                <w:sz w:val="18"/>
              </w:rPr>
              <w:t>☠️ 毒①</w:t>
            </w:r>
          </w:p>
        </w:tc>
        <w:tc>
          <w:tcPr>
            <w:tcW w:type="dxa" w:w="1881"/>
          </w:tcPr>
          <w:p>
            <w:r>
              <w:rPr>
                <w:rFonts w:ascii="Meiryo UI" w:hAnsi="Meiryo UI"/>
                <w:sz w:val="18"/>
              </w:rPr>
              <w:t>BOJ 4月利上げ見送り（本日確定）</w:t>
            </w:r>
          </w:p>
        </w:tc>
        <w:tc>
          <w:tcPr>
            <w:tcW w:type="dxa" w:w="1881"/>
          </w:tcPr>
          <w:p>
            <w:r>
              <w:rPr>
                <w:rFonts w:ascii="Meiryo UI" w:hAnsi="Meiryo UI"/>
                <w:sz w:val="18"/>
              </w:rPr>
              <w:t>追加+25bp分のNIM改善消滅：NII▲約800〜1,000億円（年間インパクト逸失）</w:t>
            </w:r>
          </w:p>
        </w:tc>
        <w:tc>
          <w:tcPr>
            <w:tcW w:type="dxa" w:w="1881"/>
          </w:tcPr>
          <w:p>
            <w:r>
              <w:rPr>
                <w:rFonts w:ascii="Meiryo UI" w:hAnsi="Meiryo UI"/>
                <w:sz w:val="18"/>
              </w:rPr>
              <w:t>一過性〜中期</w:t>
            </w:r>
          </w:p>
        </w:tc>
        <w:tc>
          <w:tcPr>
            <w:tcW w:type="dxa" w:w="1881"/>
          </w:tcPr>
          <w:p>
            <w:r>
              <w:rPr>
                <w:rFonts w:ascii="Meiryo UI" w:hAnsi="Meiryo UI"/>
                <w:sz w:val="18"/>
              </w:rPr>
              <w:t>「見送り」はあくまで時間差。完全停止ではない。ただし市場は「利上げプレミアム」を即日剥落させる</w:t>
            </w:r>
          </w:p>
        </w:tc>
      </w:tr>
      <w:tr>
        <w:tc>
          <w:tcPr>
            <w:tcW w:type="dxa" w:w="1881"/>
            <w:shd w:val="clear" w:color="auto" w:fill="DDEBF7"/>
          </w:tcPr>
          <w:p>
            <w:r>
              <w:rPr>
                <w:rFonts w:ascii="Meiryo UI" w:hAnsi="Meiryo UI"/>
                <w:sz w:val="18"/>
              </w:rPr>
              <w:t>☠️ 毒②</w:t>
            </w:r>
          </w:p>
        </w:tc>
        <w:tc>
          <w:tcPr>
            <w:tcW w:type="dxa" w:w="1881"/>
            <w:shd w:val="clear" w:color="auto" w:fill="DDEBF7"/>
          </w:tcPr>
          <w:p>
            <w:r>
              <w:rPr>
                <w:rFonts w:ascii="Meiryo UI" w:hAnsi="Meiryo UI"/>
                <w:sz w:val="18"/>
              </w:rPr>
              <w:t>信用コスト上昇リスク（中小企業・不動産向け）</w:t>
            </w:r>
          </w:p>
        </w:tc>
        <w:tc>
          <w:tcPr>
            <w:tcW w:type="dxa" w:w="1881"/>
            <w:shd w:val="clear" w:color="auto" w:fill="DDEBF7"/>
          </w:tcPr>
          <w:p>
            <w:r>
              <w:rPr>
                <w:rFonts w:ascii="Meiryo UI" w:hAnsi="Meiryo UI"/>
                <w:sz w:val="18"/>
              </w:rPr>
              <w:t>直近FY2025の与信費用：約3,500億円、上振れリスク+500〜1,000億円</w:t>
            </w:r>
          </w:p>
        </w:tc>
        <w:tc>
          <w:tcPr>
            <w:tcW w:type="dxa" w:w="1881"/>
            <w:shd w:val="clear" w:color="auto" w:fill="DDEBF7"/>
          </w:tcPr>
          <w:p>
            <w:r>
              <w:rPr>
                <w:rFonts w:ascii="Meiryo UI" w:hAnsi="Meiryo UI"/>
                <w:sz w:val="18"/>
              </w:rPr>
              <w:t>一過性〜構造的</w:t>
            </w:r>
          </w:p>
        </w:tc>
        <w:tc>
          <w:tcPr>
            <w:tcW w:type="dxa" w:w="1881"/>
            <w:shd w:val="clear" w:color="auto" w:fill="DDEBF7"/>
          </w:tcPr>
          <w:p>
            <w:r>
              <w:rPr>
                <w:rFonts w:ascii="Meiryo UI" w:hAnsi="Meiryo UI"/>
                <w:sz w:val="18"/>
              </w:rPr>
              <w:t>金利上昇局面での企業業績悪化が遅効で与信費用増に転嫁される。2026〜2027年が要注意</w:t>
            </w:r>
          </w:p>
        </w:tc>
      </w:tr>
      <w:tr>
        <w:tc>
          <w:tcPr>
            <w:tcW w:type="dxa" w:w="1881"/>
          </w:tcPr>
          <w:p>
            <w:r>
              <w:rPr>
                <w:rFonts w:ascii="Meiryo UI" w:hAnsi="Meiryo UI"/>
                <w:sz w:val="18"/>
              </w:rPr>
              <w:t>☠️ 毒③</w:t>
            </w:r>
          </w:p>
        </w:tc>
        <w:tc>
          <w:tcPr>
            <w:tcW w:type="dxa" w:w="1881"/>
          </w:tcPr>
          <w:p>
            <w:r>
              <w:rPr>
                <w:rFonts w:ascii="Meiryo UI" w:hAnsi="Meiryo UI"/>
                <w:sz w:val="18"/>
              </w:rPr>
              <w:t>円高リスク（USD/JPY 145→135想定）</w:t>
            </w:r>
          </w:p>
        </w:tc>
        <w:tc>
          <w:tcPr>
            <w:tcW w:type="dxa" w:w="1881"/>
          </w:tcPr>
          <w:p>
            <w:r>
              <w:rPr>
                <w:rFonts w:ascii="Meiryo UI" w:hAnsi="Meiryo UI"/>
                <w:sz w:val="18"/>
              </w:rPr>
              <w:t>海外収益の円換算▲約1,000〜1,500億円（▲5〜8%EPS押し下げ）</w:t>
            </w:r>
          </w:p>
        </w:tc>
        <w:tc>
          <w:tcPr>
            <w:tcW w:type="dxa" w:w="1881"/>
          </w:tcPr>
          <w:p>
            <w:r>
              <w:rPr>
                <w:rFonts w:ascii="Meiryo UI" w:hAnsi="Meiryo UI"/>
                <w:sz w:val="18"/>
              </w:rPr>
              <w:t>一過性</w:t>
            </w:r>
          </w:p>
        </w:tc>
        <w:tc>
          <w:tcPr>
            <w:tcW w:type="dxa" w:w="1881"/>
          </w:tcPr>
          <w:p>
            <w:r>
              <w:rPr>
                <w:rFonts w:ascii="Meiryo UI" w:hAnsi="Meiryo UI"/>
                <w:sz w:val="18"/>
              </w:rPr>
              <w:t>為替ヘッジコストも上昇。ドル建て収益の円換算縮小は外部要因だが無視できない</w:t>
            </w:r>
          </w:p>
        </w:tc>
      </w:tr>
      <w:tr>
        <w:tc>
          <w:tcPr>
            <w:tcW w:type="dxa" w:w="1881"/>
            <w:shd w:val="clear" w:color="auto" w:fill="DDEBF7"/>
          </w:tcPr>
          <w:p>
            <w:r>
              <w:rPr>
                <w:rFonts w:ascii="Meiryo UI" w:hAnsi="Meiryo UI"/>
                <w:sz w:val="18"/>
              </w:rPr>
              <w:t>☠️ 毒④</w:t>
            </w:r>
          </w:p>
        </w:tc>
        <w:tc>
          <w:tcPr>
            <w:tcW w:type="dxa" w:w="1881"/>
            <w:shd w:val="clear" w:color="auto" w:fill="DDEBF7"/>
          </w:tcPr>
          <w:p>
            <w:r>
              <w:rPr>
                <w:rFonts w:ascii="Meiryo UI" w:hAnsi="Meiryo UI"/>
                <w:sz w:val="18"/>
              </w:rPr>
              <w:t>政策保有株の売却加速（バランスシート圧縮）</w:t>
            </w:r>
          </w:p>
        </w:tc>
        <w:tc>
          <w:tcPr>
            <w:tcW w:type="dxa" w:w="1881"/>
            <w:shd w:val="clear" w:color="auto" w:fill="DDEBF7"/>
          </w:tcPr>
          <w:p>
            <w:r>
              <w:rPr>
                <w:rFonts w:ascii="Meiryo UI" w:hAnsi="Meiryo UI"/>
                <w:sz w:val="18"/>
              </w:rPr>
              <w:t>簿価約¥3兆の段階売却→一時損益に中立だが「特別利益」依存体質の解消</w:t>
            </w:r>
          </w:p>
        </w:tc>
        <w:tc>
          <w:tcPr>
            <w:tcW w:type="dxa" w:w="1881"/>
            <w:shd w:val="clear" w:color="auto" w:fill="DDEBF7"/>
          </w:tcPr>
          <w:p>
            <w:r>
              <w:rPr>
                <w:rFonts w:ascii="Meiryo UI" w:hAnsi="Meiryo UI"/>
                <w:sz w:val="18"/>
              </w:rPr>
              <w:t>構造的（良毒）</w:t>
            </w:r>
          </w:p>
        </w:tc>
        <w:tc>
          <w:tcPr>
            <w:tcW w:type="dxa" w:w="1881"/>
            <w:shd w:val="clear" w:color="auto" w:fill="DDEBF7"/>
          </w:tcPr>
          <w:p>
            <w:r>
              <w:rPr>
                <w:rFonts w:ascii="Meiryo UI" w:hAnsi="Meiryo UI"/>
                <w:sz w:val="18"/>
              </w:rPr>
              <w:t>長期的にはROE改善要因だが、売却タイミングによっては売却損が発生する可能性</w:t>
            </w:r>
          </w:p>
        </w:tc>
      </w:tr>
    </w:tbl>
    <w:p/>
    <w:p>
      <w:r>
        <w:rPr>
          <w:rFonts w:ascii="Meiryo UI" w:hAnsi="Meiryo UI"/>
          <w:sz w:val="20"/>
        </w:rPr>
        <w:t>実力ベース純利益・EPS（毒を除去した補正）</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公式報告値（FY2025予）</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連結純利益</w:t>
            </w:r>
          </w:p>
        </w:tc>
        <w:tc>
          <w:tcPr>
            <w:tcW w:type="dxa" w:w="2351"/>
          </w:tcPr>
          <w:p>
            <w:r>
              <w:rPr>
                <w:rFonts w:ascii="Meiryo UI" w:hAnsi="Meiryo UI"/>
                <w:sz w:val="18"/>
              </w:rPr>
              <w:t>約¥1.75兆（会社計画）</w:t>
            </w:r>
          </w:p>
        </w:tc>
        <w:tc>
          <w:tcPr>
            <w:tcW w:type="dxa" w:w="2351"/>
          </w:tcPr>
          <w:p>
            <w:r>
              <w:rPr>
                <w:rFonts w:ascii="Meiryo UI" w:hAnsi="Meiryo UI"/>
                <w:sz w:val="18"/>
              </w:rPr>
              <w:t>¥1.80〜1.90兆</w:t>
            </w:r>
          </w:p>
        </w:tc>
        <w:tc>
          <w:tcPr>
            <w:tcW w:type="dxa" w:w="2351"/>
          </w:tcPr>
          <w:p>
            <w:r>
              <w:rPr>
                <w:rFonts w:ascii="Meiryo UI" w:hAnsi="Meiryo UI"/>
                <w:sz w:val="18"/>
              </w:rPr>
              <w:t>+¥500〜1,500億（与信コスト正常化・為替中立化）</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¥168</w:t>
            </w:r>
          </w:p>
        </w:tc>
        <w:tc>
          <w:tcPr>
            <w:tcW w:type="dxa" w:w="2351"/>
            <w:shd w:val="clear" w:color="auto" w:fill="DDEBF7"/>
          </w:tcPr>
          <w:p>
            <w:r>
              <w:rPr>
                <w:rFonts w:ascii="Meiryo UI" w:hAnsi="Meiryo UI"/>
                <w:sz w:val="18"/>
              </w:rPr>
              <w:t>¥172〜182</w:t>
            </w:r>
          </w:p>
        </w:tc>
        <w:tc>
          <w:tcPr>
            <w:tcW w:type="dxa" w:w="2351"/>
            <w:shd w:val="clear" w:color="auto" w:fill="DDEBF7"/>
          </w:tcPr>
          <w:p>
            <w:r>
              <w:rPr>
                <w:rFonts w:ascii="Meiryo UI" w:hAnsi="Meiryo UI"/>
                <w:sz w:val="18"/>
              </w:rPr>
              <w:t>+¥4〜14</w:t>
            </w:r>
          </w:p>
        </w:tc>
      </w:tr>
      <w:tr>
        <w:tc>
          <w:tcPr>
            <w:tcW w:type="dxa" w:w="2351"/>
          </w:tcPr>
          <w:p>
            <w:r>
              <w:rPr>
                <w:rFonts w:ascii="Meiryo UI" w:hAnsi="Meiryo UI"/>
                <w:sz w:val="18"/>
              </w:rPr>
              <w:t>ROE</w:t>
            </w:r>
          </w:p>
        </w:tc>
        <w:tc>
          <w:tcPr>
            <w:tcW w:type="dxa" w:w="2351"/>
          </w:tcPr>
          <w:p>
            <w:r>
              <w:rPr>
                <w:rFonts w:ascii="Meiryo UI" w:hAnsi="Meiryo UI"/>
                <w:sz w:val="18"/>
              </w:rPr>
              <w:t>6.1%</w:t>
            </w:r>
          </w:p>
        </w:tc>
        <w:tc>
          <w:tcPr>
            <w:tcW w:type="dxa" w:w="2351"/>
          </w:tcPr>
          <w:p>
            <w:r>
              <w:rPr>
                <w:rFonts w:ascii="Meiryo UI" w:hAnsi="Meiryo UI"/>
                <w:sz w:val="18"/>
              </w:rPr>
              <w:t>6.3〜6.7%</w:t>
            </w:r>
          </w:p>
        </w:tc>
        <w:tc>
          <w:tcPr>
            <w:tcW w:type="dxa" w:w="2351"/>
          </w:tcPr>
          <w:p>
            <w:r>
              <w:rPr>
                <w:rFonts w:ascii="Meiryo UI" w:hAnsi="Meiryo UI"/>
                <w:sz w:val="18"/>
              </w:rPr>
              <w:t>+0.2〜0.6%pt</w:t>
            </w:r>
          </w:p>
        </w:tc>
      </w:tr>
    </w:tbl>
    <w:p/>
    <w:p>
      <w:r>
        <w:rPr>
          <w:rFonts w:ascii="Meiryo UI" w:hAnsi="Meiryo UI"/>
          <w:sz w:val="20"/>
        </w:rPr>
        <w:t>&gt; 深井コメント： 「毒①（4月利上げ見送り）」は市場が過剰反応しやすいが、これは一過性かつ時間差の話であり、構造的なEPS破壊ではない。実力EPSは¥172〜182レンジ、公式EPS¥168との差分はショートを正当化する水準ではない。</w:t>
      </w:r>
    </w:p>
    <w:p/>
    <w:p>
      <w:r>
        <w:t>──────────────────────────────────────────────────</w:t>
      </w:r>
    </w:p>
    <w:p/>
    <w:p>
      <w:pPr>
        <w:pStyle w:val="Heading3"/>
      </w:pPr>
      <w:r>
        <w:rPr>
          <w:rFonts w:ascii="Meiryo UI" w:hAnsi="Meiryo UI"/>
          <w:color w:val="2E74B5"/>
        </w:rPr>
        <w:t>0-B. 直近四半期（QonQ）変調分析</w:t>
      </w:r>
    </w:p>
    <w:p/>
    <w:p>
      <w:r>
        <w:rPr>
          <w:rFonts w:ascii="Meiryo UI" w:hAnsi="Meiryo UI"/>
          <w:sz w:val="20"/>
        </w:rPr>
        <w:t>&gt; ⚠️ 注記： 三菱UFJは四半期（Q）単位の詳細セグメント開示を行うが、直近の詳細数値（FY2025 3Q→4Q）の確定値は2026年5月の本決算発表前。以下はFY2025 1H（上期）→ 2H（下期）の半期比較ベースで代替する。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上期（4〜9月）</w:t>
            </w:r>
          </w:p>
        </w:tc>
        <w:tc>
          <w:tcPr>
            <w:tcW w:type="dxa" w:w="1881"/>
            <w:shd w:val="clear" w:color="auto" w:fill="2E74B5"/>
          </w:tcPr>
          <w:p>
            <w:r>
              <w:rPr>
                <w:rFonts w:ascii="Meiryo UI" w:hAnsi="Meiryo UI"/>
                <w:b/>
                <w:color w:val="FFFFFF"/>
                <w:sz w:val="18"/>
              </w:rPr>
              <w:t>FY2025 下期（10〜3月）推計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純利息収益（NII）</w:t>
            </w:r>
          </w:p>
        </w:tc>
        <w:tc>
          <w:tcPr>
            <w:tcW w:type="dxa" w:w="1881"/>
          </w:tcPr>
          <w:p>
            <w:r>
              <w:rPr>
                <w:rFonts w:ascii="Meiryo UI" w:hAnsi="Meiryo UI"/>
                <w:sz w:val="18"/>
              </w:rPr>
              <w:t>約¥1.8兆</w:t>
            </w:r>
          </w:p>
        </w:tc>
        <w:tc>
          <w:tcPr>
            <w:tcW w:type="dxa" w:w="1881"/>
          </w:tcPr>
          <w:p>
            <w:r>
              <w:rPr>
                <w:rFonts w:ascii="Meiryo UI" w:hAnsi="Meiryo UI"/>
                <w:sz w:val="18"/>
              </w:rPr>
              <w:t>約¥2.0兆（推計）</w:t>
            </w:r>
          </w:p>
        </w:tc>
        <w:tc>
          <w:tcPr>
            <w:tcW w:type="dxa" w:w="1881"/>
          </w:tcPr>
          <w:p>
            <w:r>
              <w:rPr>
                <w:rFonts w:ascii="Meiryo UI" w:hAnsi="Meiryo UI"/>
                <w:sz w:val="18"/>
              </w:rPr>
              <w:t>+11%</w:t>
            </w:r>
          </w:p>
        </w:tc>
        <w:tc>
          <w:tcPr>
            <w:tcW w:type="dxa" w:w="1881"/>
          </w:tcPr>
          <w:p>
            <w:r>
              <w:rPr>
                <w:rFonts w:ascii="Meiryo UI" w:hAnsi="Meiryo UI"/>
                <w:sz w:val="18"/>
              </w:rPr>
              <w:t>構造的（BOJ1〜2月利上げ遅効反映）</w:t>
            </w:r>
          </w:p>
        </w:tc>
      </w:tr>
      <w:tr>
        <w:tc>
          <w:tcPr>
            <w:tcW w:type="dxa" w:w="1881"/>
            <w:shd w:val="clear" w:color="auto" w:fill="DDEBF7"/>
          </w:tcPr>
          <w:p>
            <w:r>
              <w:rPr>
                <w:rFonts w:ascii="Meiryo UI" w:hAnsi="Meiryo UI"/>
                <w:sz w:val="18"/>
              </w:rPr>
              <w:t>役務収益（Fee）</w:t>
            </w:r>
          </w:p>
        </w:tc>
        <w:tc>
          <w:tcPr>
            <w:tcW w:type="dxa" w:w="1881"/>
            <w:shd w:val="clear" w:color="auto" w:fill="DDEBF7"/>
          </w:tcPr>
          <w:p>
            <w:r>
              <w:rPr>
                <w:rFonts w:ascii="Meiryo UI" w:hAnsi="Meiryo UI"/>
                <w:sz w:val="18"/>
              </w:rPr>
              <w:t>約¥8,500億</w:t>
            </w:r>
          </w:p>
        </w:tc>
        <w:tc>
          <w:tcPr>
            <w:tcW w:type="dxa" w:w="1881"/>
            <w:shd w:val="clear" w:color="auto" w:fill="DDEBF7"/>
          </w:tcPr>
          <w:p>
            <w:r>
              <w:rPr>
                <w:rFonts w:ascii="Meiryo UI" w:hAnsi="Meiryo UI"/>
                <w:sz w:val="18"/>
              </w:rPr>
              <w:t>約¥9,000億（推計）</w:t>
            </w:r>
          </w:p>
        </w:tc>
        <w:tc>
          <w:tcPr>
            <w:tcW w:type="dxa" w:w="1881"/>
            <w:shd w:val="clear" w:color="auto" w:fill="DDEBF7"/>
          </w:tcPr>
          <w:p>
            <w:r>
              <w:rPr>
                <w:rFonts w:ascii="Meiryo UI" w:hAnsi="Meiryo UI"/>
                <w:sz w:val="18"/>
              </w:rPr>
              <w:t>+5.9%</w:t>
            </w:r>
          </w:p>
        </w:tc>
        <w:tc>
          <w:tcPr>
            <w:tcW w:type="dxa" w:w="1881"/>
            <w:shd w:val="clear" w:color="auto" w:fill="DDEBF7"/>
          </w:tcPr>
          <w:p>
            <w:r>
              <w:rPr>
                <w:rFonts w:ascii="Meiryo UI" w:hAnsi="Meiryo UI"/>
                <w:sz w:val="18"/>
              </w:rPr>
              <w:t>構造的（投信・保険販売好調）</w:t>
            </w:r>
          </w:p>
        </w:tc>
      </w:tr>
      <w:tr>
        <w:tc>
          <w:tcPr>
            <w:tcW w:type="dxa" w:w="1881"/>
          </w:tcPr>
          <w:p>
            <w:r>
              <w:rPr>
                <w:rFonts w:ascii="Meiryo UI" w:hAnsi="Meiryo UI"/>
                <w:sz w:val="18"/>
              </w:rPr>
              <w:t>与信費用</w:t>
            </w:r>
          </w:p>
        </w:tc>
        <w:tc>
          <w:tcPr>
            <w:tcW w:type="dxa" w:w="1881"/>
          </w:tcPr>
          <w:p>
            <w:r>
              <w:rPr>
                <w:rFonts w:ascii="Meiryo UI" w:hAnsi="Meiryo UI"/>
                <w:sz w:val="18"/>
              </w:rPr>
              <w:t>約¥1,600億</w:t>
            </w:r>
          </w:p>
        </w:tc>
        <w:tc>
          <w:tcPr>
            <w:tcW w:type="dxa" w:w="1881"/>
          </w:tcPr>
          <w:p>
            <w:r>
              <w:rPr>
                <w:rFonts w:ascii="Meiryo UI" w:hAnsi="Meiryo UI"/>
                <w:sz w:val="18"/>
              </w:rPr>
              <w:t>約¥1,900億（推計）</w:t>
            </w:r>
          </w:p>
        </w:tc>
        <w:tc>
          <w:tcPr>
            <w:tcW w:type="dxa" w:w="1881"/>
          </w:tcPr>
          <w:p>
            <w:r>
              <w:rPr>
                <w:rFonts w:ascii="Meiryo UI" w:hAnsi="Meiryo UI"/>
                <w:sz w:val="18"/>
              </w:rPr>
              <w:t>+18.8%</w:t>
            </w:r>
          </w:p>
        </w:tc>
        <w:tc>
          <w:tcPr>
            <w:tcW w:type="dxa" w:w="1881"/>
          </w:tcPr>
          <w:p>
            <w:r>
              <w:rPr>
                <w:rFonts w:ascii="Meiryo UI" w:hAnsi="Meiryo UI"/>
                <w:sz w:val="18"/>
              </w:rPr>
              <w:t>一過性〜構造的（不動産・中小リスク）</w:t>
            </w:r>
          </w:p>
        </w:tc>
      </w:tr>
      <w:tr>
        <w:tc>
          <w:tcPr>
            <w:tcW w:type="dxa" w:w="1881"/>
            <w:shd w:val="clear" w:color="auto" w:fill="DDEBF7"/>
          </w:tcPr>
          <w:p>
            <w:r>
              <w:rPr>
                <w:rFonts w:ascii="Meiryo UI" w:hAnsi="Meiryo UI"/>
                <w:sz w:val="18"/>
              </w:rPr>
              <w:t>営業利益率（実効）</w:t>
            </w:r>
          </w:p>
        </w:tc>
        <w:tc>
          <w:tcPr>
            <w:tcW w:type="dxa" w:w="1881"/>
            <w:shd w:val="clear" w:color="auto" w:fill="DDEBF7"/>
          </w:tcPr>
          <w:p>
            <w:r>
              <w:rPr>
                <w:rFonts w:ascii="Meiryo UI" w:hAnsi="Meiryo UI"/>
                <w:sz w:val="18"/>
              </w:rPr>
              <w:t>約28〜30%</w:t>
            </w:r>
          </w:p>
        </w:tc>
        <w:tc>
          <w:tcPr>
            <w:tcW w:type="dxa" w:w="1881"/>
            <w:shd w:val="clear" w:color="auto" w:fill="DDEBF7"/>
          </w:tcPr>
          <w:p>
            <w:r>
              <w:rPr>
                <w:rFonts w:ascii="Meiryo UI" w:hAnsi="Meiryo UI"/>
                <w:sz w:val="18"/>
              </w:rPr>
              <w:t>約27〜29%（推計）</w:t>
            </w:r>
          </w:p>
        </w:tc>
        <w:tc>
          <w:tcPr>
            <w:tcW w:type="dxa" w:w="1881"/>
            <w:shd w:val="clear" w:color="auto" w:fill="DDEBF7"/>
          </w:tcPr>
          <w:p>
            <w:r>
              <w:rPr>
                <w:rFonts w:ascii="Meiryo UI" w:hAnsi="Meiryo UI"/>
                <w:sz w:val="18"/>
              </w:rPr>
              <w:t>▲1〜2%pt</w:t>
            </w:r>
          </w:p>
        </w:tc>
        <w:tc>
          <w:tcPr>
            <w:tcW w:type="dxa" w:w="1881"/>
            <w:shd w:val="clear" w:color="auto" w:fill="DDEBF7"/>
          </w:tcPr>
          <w:p>
            <w:r>
              <w:rPr>
                <w:rFonts w:ascii="Meiryo UI" w:hAnsi="Meiryo UI"/>
                <w:sz w:val="18"/>
              </w:rPr>
              <w:t>与信コスト上昇による一時悪化</w:t>
            </w:r>
          </w:p>
        </w:tc>
      </w:tr>
      <w:tr>
        <w:tc>
          <w:tcPr>
            <w:tcW w:type="dxa" w:w="1881"/>
          </w:tcPr>
          <w:p>
            <w:r>
              <w:rPr>
                <w:rFonts w:ascii="Meiryo UI" w:hAnsi="Meiryo UI"/>
                <w:sz w:val="18"/>
              </w:rPr>
              <w:t>海外収益比率</w:t>
            </w:r>
          </w:p>
        </w:tc>
        <w:tc>
          <w:tcPr>
            <w:tcW w:type="dxa" w:w="1881"/>
          </w:tcPr>
          <w:p>
            <w:r>
              <w:rPr>
                <w:rFonts w:ascii="Meiryo UI" w:hAnsi="Meiryo UI"/>
                <w:sz w:val="18"/>
              </w:rPr>
              <w:t>約38%</w:t>
            </w:r>
          </w:p>
        </w:tc>
        <w:tc>
          <w:tcPr>
            <w:tcW w:type="dxa" w:w="1881"/>
          </w:tcPr>
          <w:p>
            <w:r>
              <w:rPr>
                <w:rFonts w:ascii="Meiryo UI" w:hAnsi="Meiryo UI"/>
                <w:sz w:val="18"/>
              </w:rPr>
              <w:t>約40%（推計）</w:t>
            </w:r>
          </w:p>
        </w:tc>
        <w:tc>
          <w:tcPr>
            <w:tcW w:type="dxa" w:w="1881"/>
          </w:tcPr>
          <w:p>
            <w:r>
              <w:rPr>
                <w:rFonts w:ascii="Meiryo UI" w:hAnsi="Meiryo UI"/>
                <w:sz w:val="18"/>
              </w:rPr>
              <w:t>+2%pt</w:t>
            </w:r>
          </w:p>
        </w:tc>
        <w:tc>
          <w:tcPr>
            <w:tcW w:type="dxa" w:w="1881"/>
          </w:tcPr>
          <w:p>
            <w:r>
              <w:rPr>
                <w:rFonts w:ascii="Meiryo UI" w:hAnsi="Meiryo UI"/>
                <w:sz w:val="18"/>
              </w:rPr>
              <w:t>構造的（MUFG Americas拡大）</w:t>
            </w:r>
          </w:p>
        </w:tc>
      </w:tr>
      <w:tr>
        <w:tc>
          <w:tcPr>
            <w:tcW w:type="dxa" w:w="1881"/>
            <w:shd w:val="clear" w:color="auto" w:fill="DDEBF7"/>
          </w:tcPr>
          <w:p>
            <w:r>
              <w:rPr>
                <w:rFonts w:ascii="Meiryo UI" w:hAnsi="Meiryo UI"/>
                <w:sz w:val="18"/>
              </w:rPr>
              <w:t>政策株売却益</w:t>
            </w:r>
          </w:p>
        </w:tc>
        <w:tc>
          <w:tcPr>
            <w:tcW w:type="dxa" w:w="1881"/>
            <w:shd w:val="clear" w:color="auto" w:fill="DDEBF7"/>
          </w:tcPr>
          <w:p>
            <w:r>
              <w:rPr>
                <w:rFonts w:ascii="Meiryo UI" w:hAnsi="Meiryo UI"/>
                <w:sz w:val="18"/>
              </w:rPr>
              <w:t>約+¥800億</w:t>
            </w:r>
          </w:p>
        </w:tc>
        <w:tc>
          <w:tcPr>
            <w:tcW w:type="dxa" w:w="1881"/>
            <w:shd w:val="clear" w:color="auto" w:fill="DDEBF7"/>
          </w:tcPr>
          <w:p>
            <w:r>
              <w:rPr>
                <w:rFonts w:ascii="Meiryo UI" w:hAnsi="Meiryo UI"/>
                <w:sz w:val="18"/>
              </w:rPr>
              <w:t>約+¥400億（推計）</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一過性（売却ペース平準化）</w:t>
            </w:r>
          </w:p>
        </w:tc>
      </w:tr>
      <w:tr>
        <w:tc>
          <w:tcPr>
            <w:tcW w:type="dxa" w:w="1881"/>
          </w:tcPr>
          <w:p>
            <w:r>
              <w:rPr>
                <w:rFonts w:ascii="Meiryo UI" w:hAnsi="Meiryo UI"/>
                <w:sz w:val="18"/>
              </w:rPr>
              <w:t>特記事項</w:t>
            </w:r>
          </w:p>
        </w:tc>
        <w:tc>
          <w:tcPr>
            <w:tcW w:type="dxa" w:w="1881"/>
          </w:tcPr>
          <w:p>
            <w:r>
              <w:rPr>
                <w:rFonts w:ascii="Meiryo UI" w:hAnsi="Meiryo UI"/>
                <w:sz w:val="18"/>
              </w:rPr>
              <w:t>UnionBank完全統合完了</w:t>
            </w:r>
          </w:p>
        </w:tc>
        <w:tc>
          <w:tcPr>
            <w:tcW w:type="dxa" w:w="1881"/>
          </w:tcPr>
          <w:p>
            <w:r>
              <w:rPr>
                <w:rFonts w:ascii="Meiryo UI" w:hAnsi="Meiryo UI"/>
                <w:sz w:val="18"/>
              </w:rPr>
              <w:t>BOJ1〜2月利上げ（+50bp累計）効果が本格寄与開始</w:t>
            </w:r>
          </w:p>
        </w:tc>
        <w:tc>
          <w:tcPr>
            <w:tcW w:type="dxa" w:w="1881"/>
          </w:tcPr>
          <w:p>
            <w:r>
              <w:rPr>
                <w:rFonts w:ascii="Meiryo UI" w:hAnsi="Meiryo UI"/>
                <w:sz w:val="18"/>
              </w:rPr>
              <w:t>—</w:t>
            </w:r>
          </w:p>
        </w:tc>
        <w:tc>
          <w:tcPr>
            <w:tcW w:type="dxa" w:w="1881"/>
          </w:tcPr>
          <w:p>
            <w:r>
              <w:rPr>
                <w:rFonts w:ascii="Meiryo UI" w:hAnsi="Meiryo UI"/>
                <w:sz w:val="18"/>
              </w:rPr>
              <w:t>構造的転換点</w:t>
            </w:r>
          </w:p>
        </w:tc>
      </w:tr>
    </w:tbl>
    <w:p/>
    <w:p>
      <w:r>
        <w:rPr>
          <w:rFonts w:ascii="Meiryo UI" w:hAnsi="Meiryo UI"/>
          <w:sz w:val="20"/>
        </w:rPr>
        <w:t>&gt; 深井コメント： 下期は「NII改善（薬）vs 与信コスト増加（毒）」のせめぎ合い。ただし今回の4月利上げ見送りによって下期末（3月）以降のNII上乗せ期待が削られた形。しかし累積50bpの利上げ効果は既にバランスシートに焼き付いており、見送りで剥落するのは「追加25bp分」のみであることを明確に認識すべき。</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三菱UFJフィナンシャル・グループ（MUFG）は日本最大・アジア有数のメガバンクグループ。連結総資産は約¥390〜400兆（2025年度末推計）、世界40カ国以上に展開する国際金融コングロマリット。</w:t>
      </w:r>
    </w:p>
    <w:p/>
    <w:p>
      <w:pPr>
        <w:pStyle w:val="Heading3"/>
      </w:pPr>
      <w:r>
        <w:rPr>
          <w:rFonts w:ascii="Meiryo UI" w:hAnsi="Meiryo UI"/>
          <w:color w:val="2E74B5"/>
        </w:rPr>
        <w:t>1-2. セグメント構成（FY2025 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純利益貢献（推計）</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法人・リテール（国内）</w:t>
            </w:r>
          </w:p>
        </w:tc>
        <w:tc>
          <w:tcPr>
            <w:tcW w:type="dxa" w:w="3135"/>
          </w:tcPr>
          <w:p>
            <w:r>
              <w:rPr>
                <w:rFonts w:ascii="Meiryo UI" w:hAnsi="Meiryo UI"/>
                <w:sz w:val="18"/>
              </w:rPr>
              <w:t>約¥4,500億</w:t>
            </w:r>
          </w:p>
        </w:tc>
        <w:tc>
          <w:tcPr>
            <w:tcW w:type="dxa" w:w="3135"/>
          </w:tcPr>
          <w:p>
            <w:r>
              <w:rPr>
                <w:rFonts w:ascii="Meiryo UI" w:hAnsi="Meiryo UI"/>
                <w:sz w:val="18"/>
              </w:rPr>
              <w:t>金利上昇直撃メリット。貸出残高¥80兆超</w:t>
            </w:r>
          </w:p>
        </w:tc>
      </w:tr>
      <w:tr>
        <w:tc>
          <w:tcPr>
            <w:tcW w:type="dxa" w:w="3135"/>
            <w:shd w:val="clear" w:color="auto" w:fill="DDEBF7"/>
          </w:tcPr>
          <w:p>
            <w:r>
              <w:rPr>
                <w:rFonts w:ascii="Meiryo UI" w:hAnsi="Meiryo UI"/>
                <w:sz w:val="18"/>
              </w:rPr>
              <w:t>受託財産・証券</w:t>
            </w:r>
          </w:p>
        </w:tc>
        <w:tc>
          <w:tcPr>
            <w:tcW w:type="dxa" w:w="3135"/>
            <w:shd w:val="clear" w:color="auto" w:fill="DDEBF7"/>
          </w:tcPr>
          <w:p>
            <w:r>
              <w:rPr>
                <w:rFonts w:ascii="Meiryo UI" w:hAnsi="Meiryo UI"/>
                <w:sz w:val="18"/>
              </w:rPr>
              <w:t>約¥2,000億</w:t>
            </w:r>
          </w:p>
        </w:tc>
        <w:tc>
          <w:tcPr>
            <w:tcW w:type="dxa" w:w="3135"/>
            <w:shd w:val="clear" w:color="auto" w:fill="DDEBF7"/>
          </w:tcPr>
          <w:p>
            <w:r>
              <w:rPr>
                <w:rFonts w:ascii="Meiryo UI" w:hAnsi="Meiryo UI"/>
                <w:sz w:val="18"/>
              </w:rPr>
              <w:t>三菱UFJ信託・MUMSS。株高恩恵</w:t>
            </w:r>
          </w:p>
        </w:tc>
      </w:tr>
      <w:tr>
        <w:tc>
          <w:tcPr>
            <w:tcW w:type="dxa" w:w="3135"/>
          </w:tcPr>
          <w:p>
            <w:r>
              <w:rPr>
                <w:rFonts w:ascii="Meiryo UI" w:hAnsi="Meiryo UI"/>
                <w:sz w:val="18"/>
              </w:rPr>
              <w:t>グローバルCIB</w:t>
            </w:r>
          </w:p>
        </w:tc>
        <w:tc>
          <w:tcPr>
            <w:tcW w:type="dxa" w:w="3135"/>
          </w:tcPr>
          <w:p>
            <w:r>
              <w:rPr>
                <w:rFonts w:ascii="Meiryo UI" w:hAnsi="Meiryo UI"/>
                <w:sz w:val="18"/>
              </w:rPr>
              <w:t>約¥3,500億</w:t>
            </w:r>
          </w:p>
        </w:tc>
        <w:tc>
          <w:tcPr>
            <w:tcW w:type="dxa" w:w="3135"/>
          </w:tcPr>
          <w:p>
            <w:r>
              <w:rPr>
                <w:rFonts w:ascii="Meiryo UI" w:hAnsi="Meiryo UI"/>
                <w:sz w:val="18"/>
              </w:rPr>
              <w:t>MUFG Americas・EMEA。USD金利高恩恵</w:t>
            </w:r>
          </w:p>
        </w:tc>
      </w:tr>
      <w:tr>
        <w:tc>
          <w:tcPr>
            <w:tcW w:type="dxa" w:w="3135"/>
            <w:shd w:val="clear" w:color="auto" w:fill="DDEBF7"/>
          </w:tcPr>
          <w:p>
            <w:r>
              <w:rPr>
                <w:rFonts w:ascii="Meiryo UI" w:hAnsi="Meiryo UI"/>
                <w:sz w:val="18"/>
              </w:rPr>
              <w:t>アジア・その他</w:t>
            </w:r>
          </w:p>
        </w:tc>
        <w:tc>
          <w:tcPr>
            <w:tcW w:type="dxa" w:w="3135"/>
            <w:shd w:val="clear" w:color="auto" w:fill="DDEBF7"/>
          </w:tcPr>
          <w:p>
            <w:r>
              <w:rPr>
                <w:rFonts w:ascii="Meiryo UI" w:hAnsi="Meiryo UI"/>
                <w:sz w:val="18"/>
              </w:rPr>
              <w:t>約¥3,000億</w:t>
            </w:r>
          </w:p>
        </w:tc>
        <w:tc>
          <w:tcPr>
            <w:tcW w:type="dxa" w:w="3135"/>
            <w:shd w:val="clear" w:color="auto" w:fill="DDEBF7"/>
          </w:tcPr>
          <w:p>
            <w:r>
              <w:rPr>
                <w:rFonts w:ascii="Meiryo UI" w:hAnsi="Meiryo UI"/>
                <w:sz w:val="18"/>
              </w:rPr>
              <w:t>アユタヤ銀行（タイ）、Danamon（インドネシア）主力</w:t>
            </w:r>
          </w:p>
        </w:tc>
      </w:tr>
      <w:tr>
        <w:tc>
          <w:tcPr>
            <w:tcW w:type="dxa" w:w="3135"/>
          </w:tcPr>
          <w:p>
            <w:r>
              <w:rPr>
                <w:rFonts w:ascii="Meiryo UI" w:hAnsi="Meiryo UI"/>
                <w:sz w:val="18"/>
              </w:rPr>
              <w:t>持株/消去</w:t>
            </w:r>
          </w:p>
        </w:tc>
        <w:tc>
          <w:tcPr>
            <w:tcW w:type="dxa" w:w="3135"/>
          </w:tcPr>
          <w:p>
            <w:r>
              <w:rPr>
                <w:rFonts w:ascii="Meiryo UI" w:hAnsi="Meiryo UI"/>
                <w:sz w:val="18"/>
              </w:rPr>
              <w:t>約▲¥2,500億</w:t>
            </w:r>
          </w:p>
        </w:tc>
        <w:tc>
          <w:tcPr>
            <w:tcW w:type="dxa" w:w="3135"/>
          </w:tcPr>
          <w:p>
            <w:r>
              <w:rPr>
                <w:rFonts w:ascii="Meiryo UI" w:hAnsi="Meiryo UI"/>
                <w:sz w:val="18"/>
              </w:rPr>
              <w:t>本部コスト・連結調整</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約¥1.0〜1.05兆（純利益ベース半期）</w:t>
            </w:r>
          </w:p>
        </w:tc>
        <w:tc>
          <w:tcPr>
            <w:tcW w:type="dxa" w:w="3135"/>
            <w:shd w:val="clear" w:color="auto" w:fill="DDEBF7"/>
          </w:tcPr>
          <w:p>
            <w:r>
              <w:rPr>
                <w:rFonts w:ascii="Meiryo UI" w:hAnsi="Meiryo UI"/>
                <w:sz w:val="18"/>
              </w:rPr>
              <w:t>FY2025通期¥1.75〜1.80兆</w:t>
            </w:r>
          </w:p>
        </w:tc>
      </w:tr>
    </w:tbl>
    <w:p/>
    <w:p>
      <w:pPr>
        <w:pStyle w:val="Heading3"/>
      </w:pPr>
      <w:r>
        <w:rPr>
          <w:rFonts w:ascii="Meiryo UI" w:hAnsi="Meiryo UI"/>
          <w:color w:val="2E74B5"/>
        </w:rPr>
        <w:t>1-3. 競合優位性</w:t>
      </w:r>
    </w:p>
    <w:p/>
    <w:p>
      <w:pPr>
        <w:pStyle w:val="ListNumber"/>
      </w:pPr>
      <w:r>
        <w:rPr>
          <w:rFonts w:ascii="Meiryo UI" w:hAnsi="Meiryo UI"/>
          <w:sz w:val="20"/>
        </w:rPr>
        <w:t>規模の優位性：国内貸出シェア最大、外為決済シェア首位</w:t>
      </w:r>
    </w:p>
    <w:p>
      <w:pPr>
        <w:pStyle w:val="ListNumber"/>
      </w:pPr>
      <w:r>
        <w:rPr>
          <w:rFonts w:ascii="Meiryo UI" w:hAnsi="Meiryo UI"/>
          <w:sz w:val="20"/>
        </w:rPr>
        <w:t>地理的分散：海外収益比率40%超で国内金利政策への感応度が相対的に低い</w:t>
      </w:r>
    </w:p>
    <w:p>
      <w:pPr>
        <w:pStyle w:val="ListNumber"/>
      </w:pPr>
      <w:r>
        <w:rPr>
          <w:rFonts w:ascii="Meiryo UI" w:hAnsi="Meiryo UI"/>
          <w:sz w:val="20"/>
        </w:rPr>
        <w:t>資本効率改善の余地：ROE6.1%は欧米メガバンク（10〜15%）に劣るが、自社株買い・政策株売却による改善余地が大きい</w:t>
      </w:r>
    </w:p>
    <w:p>
      <w:pPr>
        <w:pStyle w:val="ListNumber"/>
      </w:pPr>
      <w:r>
        <w:rPr>
          <w:rFonts w:ascii="Meiryo UI" w:hAnsi="Meiryo UI"/>
          <w:sz w:val="20"/>
        </w:rPr>
        <w:t>グローバル規制資本の厚み：CET1比率約11.5%でバーゼルIII完全適用でも余裕</w:t>
      </w:r>
    </w:p>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BOJ 4月利上げ見送り（本日確定）</w:t>
            </w:r>
          </w:p>
        </w:tc>
        <w:tc>
          <w:tcPr>
            <w:tcW w:type="dxa" w:w="3135"/>
          </w:tcPr>
          <w:p>
            <w:r>
              <w:rPr>
                <w:rFonts w:ascii="Meiryo UI" w:hAnsi="Meiryo UI"/>
                <w:sz w:val="18"/>
              </w:rPr>
              <w:t>2026/04/17</w:t>
            </w:r>
          </w:p>
        </w:tc>
        <w:tc>
          <w:tcPr>
            <w:tcW w:type="dxa" w:w="3135"/>
          </w:tcPr>
          <w:p>
            <w:r>
              <w:rPr>
                <w:rFonts w:ascii="Meiryo UI" w:hAnsi="Meiryo UI"/>
                <w:sz w:val="18"/>
              </w:rPr>
              <w:t>▲短期ネガティブ（NIM追加改善遅延）</w:t>
            </w:r>
          </w:p>
        </w:tc>
      </w:tr>
      <w:tr>
        <w:tc>
          <w:tcPr>
            <w:tcW w:type="dxa" w:w="3135"/>
            <w:shd w:val="clear" w:color="auto" w:fill="DDEBF7"/>
          </w:tcPr>
          <w:p>
            <w:r>
              <w:rPr>
                <w:rFonts w:ascii="Meiryo UI" w:hAnsi="Meiryo UI"/>
                <w:sz w:val="18"/>
              </w:rPr>
              <w:t>FY2025本決算・中期経営計画更新</w:t>
            </w:r>
          </w:p>
        </w:tc>
        <w:tc>
          <w:tcPr>
            <w:tcW w:type="dxa" w:w="3135"/>
            <w:shd w:val="clear" w:color="auto" w:fill="DDEBF7"/>
          </w:tcPr>
          <w:p>
            <w:r>
              <w:rPr>
                <w:rFonts w:ascii="Meiryo UI" w:hAnsi="Meiryo UI"/>
                <w:sz w:val="18"/>
              </w:rPr>
              <w:t>2026年5月中旬</w:t>
            </w:r>
          </w:p>
        </w:tc>
        <w:tc>
          <w:tcPr>
            <w:tcW w:type="dxa" w:w="3135"/>
            <w:shd w:val="clear" w:color="auto" w:fill="DDEBF7"/>
          </w:tcPr>
          <w:p>
            <w:r>
              <w:rPr>
                <w:rFonts w:ascii="Meiryo UI" w:hAnsi="Meiryo UI"/>
                <w:sz w:val="18"/>
              </w:rPr>
              <w:t>↑最重要カタリスト（還元強化期待）</w:t>
            </w:r>
          </w:p>
        </w:tc>
      </w:tr>
      <w:tr>
        <w:tc>
          <w:tcPr>
            <w:tcW w:type="dxa" w:w="3135"/>
          </w:tcPr>
          <w:p>
            <w:r>
              <w:rPr>
                <w:rFonts w:ascii="Meiryo UI" w:hAnsi="Meiryo UI"/>
                <w:sz w:val="18"/>
              </w:rPr>
              <w:t>BOJ 5〜6月政策決定会合</w:t>
            </w:r>
          </w:p>
        </w:tc>
        <w:tc>
          <w:tcPr>
            <w:tcW w:type="dxa" w:w="3135"/>
          </w:tcPr>
          <w:p>
            <w:r>
              <w:rPr>
                <w:rFonts w:ascii="Meiryo UI" w:hAnsi="Meiryo UI"/>
                <w:sz w:val="18"/>
              </w:rPr>
              <w:t>2026/06/16〜17</w:t>
            </w:r>
          </w:p>
        </w:tc>
        <w:tc>
          <w:tcPr>
            <w:tcW w:type="dxa" w:w="3135"/>
          </w:tcPr>
          <w:p>
            <w:r>
              <w:rPr>
                <w:rFonts w:ascii="Meiryo UI" w:hAnsi="Meiryo UI"/>
                <w:sz w:val="18"/>
              </w:rPr>
              <w:t>↑利上げ再開なら急騰リスク</w:t>
            </w:r>
          </w:p>
        </w:tc>
      </w:tr>
      <w:tr>
        <w:tc>
          <w:tcPr>
            <w:tcW w:type="dxa" w:w="3135"/>
            <w:shd w:val="clear" w:color="auto" w:fill="DDEBF7"/>
          </w:tcPr>
          <w:p>
            <w:r>
              <w:rPr>
                <w:rFonts w:ascii="Meiryo UI" w:hAnsi="Meiryo UI"/>
                <w:sz w:val="18"/>
              </w:rPr>
              <w:t>政策保有株売却加速（東証要請）</w:t>
            </w:r>
          </w:p>
        </w:tc>
        <w:tc>
          <w:tcPr>
            <w:tcW w:type="dxa" w:w="3135"/>
            <w:shd w:val="clear" w:color="auto" w:fill="DDEBF7"/>
          </w:tcPr>
          <w:p>
            <w:r>
              <w:rPr>
                <w:rFonts w:ascii="Meiryo UI" w:hAnsi="Meiryo UI"/>
                <w:sz w:val="18"/>
              </w:rPr>
              <w:t>2026年通年</w:t>
            </w:r>
          </w:p>
        </w:tc>
        <w:tc>
          <w:tcPr>
            <w:tcW w:type="dxa" w:w="3135"/>
            <w:shd w:val="clear" w:color="auto" w:fill="DDEBF7"/>
          </w:tcPr>
          <w:p>
            <w:r>
              <w:rPr>
                <w:rFonts w:ascii="Meiryo UI" w:hAnsi="Meiryo UI"/>
                <w:sz w:val="18"/>
              </w:rPr>
              <w:t>↑中立〜ポジティブ（長期ROE改善）</w:t>
            </w:r>
          </w:p>
        </w:tc>
      </w:tr>
      <w:tr>
        <w:tc>
          <w:tcPr>
            <w:tcW w:type="dxa" w:w="3135"/>
          </w:tcPr>
          <w:p>
            <w:r>
              <w:rPr>
                <w:rFonts w:ascii="Meiryo UI" w:hAnsi="Meiryo UI"/>
                <w:sz w:val="18"/>
              </w:rPr>
              <w:t>バフェット/バークシャー追加開示</w:t>
            </w:r>
          </w:p>
        </w:tc>
        <w:tc>
          <w:tcPr>
            <w:tcW w:type="dxa" w:w="3135"/>
          </w:tcPr>
          <w:p>
            <w:r>
              <w:rPr>
                <w:rFonts w:ascii="Meiryo UI" w:hAnsi="Meiryo UI"/>
                <w:sz w:val="18"/>
              </w:rPr>
              <w:t>不定期</w:t>
            </w:r>
          </w:p>
        </w:tc>
        <w:tc>
          <w:tcPr>
            <w:tcW w:type="dxa" w:w="3135"/>
          </w:tcPr>
          <w:p>
            <w:r>
              <w:rPr>
                <w:rFonts w:ascii="Meiryo UI" w:hAnsi="Meiryo UI"/>
                <w:sz w:val="18"/>
              </w:rPr>
              <w:t>↑日本金融株への海外資金流入</w:t>
            </w:r>
          </w:p>
        </w:tc>
      </w:tr>
    </w:tbl>
    <w:p/>
    <w:p>
      <w:r>
        <w:t>──────────────────────────────────────────────────</w:t>
      </w:r>
    </w:p>
    <w:p/>
    <w:p>
      <w:pPr>
        <w:pStyle w:val="Heading2"/>
      </w:pPr>
      <w:r>
        <w:rPr>
          <w:rFonts w:ascii="Meiryo UI" w:hAnsi="Meiryo UI"/>
          <w:color w:val="2E74B5"/>
        </w:rPr>
        <w:t>2. 社長指示の重点分析（最優先）</w:t>
      </w:r>
    </w:p>
    <w:p/>
    <w:p>
      <w:pPr>
        <w:pStyle w:val="Heading3"/>
      </w:pPr>
      <w:r>
        <w:rPr>
          <w:rFonts w:ascii="Meiryo UI" w:hAnsi="Meiryo UI"/>
          <w:color w:val="2E74B5"/>
        </w:rPr>
        <w:t>社長指示：「本当に売りなのか」——徹底検証</w:t>
      </w:r>
    </w:p>
    <w:p/>
    <w:p>
      <w:r>
        <w:t>──────────────────────────────────────────────────</w:t>
      </w:r>
    </w:p>
    <w:p/>
    <w:p>
      <w:pPr>
        <w:pStyle w:val="Heading3"/>
      </w:pPr>
      <w:r>
        <w:rPr>
          <w:rFonts w:ascii="Meiryo UI" w:hAnsi="Meiryo UI"/>
          <w:color w:val="2E74B5"/>
        </w:rPr>
        <w:t>2-1. BOJ利上げ見送りのNIM・業績インパクト定量化</w:t>
      </w:r>
    </w:p>
    <w:p/>
    <w:p>
      <w:pPr>
        <w:pStyle w:val="Heading4"/>
      </w:pPr>
      <w:r>
        <w:rPr>
          <w:rFonts w:ascii="Meiryo UI" w:hAnsi="Meiryo UI"/>
          <w:color w:val="2E74B5"/>
        </w:rPr>
        <w:t>前提モデル：金利感応度</w:t>
      </w:r>
    </w:p>
    <w:p/>
    <w:p>
      <w:r>
        <w:rPr>
          <w:rFonts w:ascii="Meiryo UI" w:hAnsi="Meiryo UI"/>
          <w:sz w:val="20"/>
        </w:rPr>
        <w:t>MUFGの国内貸出残高（円建て変動金利ベース）は約¥60〜65兆と推定。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前提</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円建て変動金利貸出残高</w:t>
            </w:r>
          </w:p>
        </w:tc>
        <w:tc>
          <w:tcPr>
            <w:tcW w:type="dxa" w:w="4703"/>
          </w:tcPr>
          <w:p>
            <w:r>
              <w:rPr>
                <w:rFonts w:ascii="Meiryo UI" w:hAnsi="Meiryo UI"/>
                <w:sz w:val="18"/>
              </w:rPr>
              <w:t>約¥60兆</w:t>
            </w:r>
          </w:p>
        </w:tc>
      </w:tr>
      <w:tr>
        <w:tc>
          <w:tcPr>
            <w:tcW w:type="dxa" w:w="4703"/>
            <w:shd w:val="clear" w:color="auto" w:fill="DDEBF7"/>
          </w:tcPr>
          <w:p>
            <w:r>
              <w:rPr>
                <w:rFonts w:ascii="Meiryo UI" w:hAnsi="Meiryo UI"/>
                <w:sz w:val="18"/>
              </w:rPr>
              <w:t>政策金利1bp上昇によるNII改善（年換算）</w:t>
            </w:r>
          </w:p>
        </w:tc>
        <w:tc>
          <w:tcPr>
            <w:tcW w:type="dxa" w:w="4703"/>
            <w:shd w:val="clear" w:color="auto" w:fill="DDEBF7"/>
          </w:tcPr>
          <w:p>
            <w:r>
              <w:rPr>
                <w:rFonts w:ascii="Meiryo UI" w:hAnsi="Meiryo UI"/>
                <w:sz w:val="18"/>
              </w:rPr>
              <w:t>約¥60〜70億</w:t>
            </w:r>
          </w:p>
        </w:tc>
      </w:tr>
      <w:tr>
        <w:tc>
          <w:tcPr>
            <w:tcW w:type="dxa" w:w="4703"/>
          </w:tcPr>
          <w:p>
            <w:r>
              <w:rPr>
                <w:rFonts w:ascii="Meiryo UI" w:hAnsi="Meiryo UI"/>
                <w:sz w:val="18"/>
              </w:rPr>
              <w:t>25bp利上げ見送りによるNII逸失（年換算）</w:t>
            </w:r>
          </w:p>
        </w:tc>
        <w:tc>
          <w:tcPr>
            <w:tcW w:type="dxa" w:w="4703"/>
          </w:tcPr>
          <w:p>
            <w:r>
              <w:rPr>
                <w:rFonts w:ascii="Meiryo UI" w:hAnsi="Meiryo UI"/>
                <w:sz w:val="18"/>
              </w:rPr>
              <w:t>約¥1,500〜1,750億</w:t>
            </w:r>
          </w:p>
        </w:tc>
      </w:tr>
      <w:tr>
        <w:tc>
          <w:tcPr>
            <w:tcW w:type="dxa" w:w="4703"/>
            <w:shd w:val="clear" w:color="auto" w:fill="DDEBF7"/>
          </w:tcPr>
          <w:p>
            <w:r>
              <w:rPr>
                <w:rFonts w:ascii="Meiryo UI" w:hAnsi="Meiryo UI"/>
                <w:sz w:val="18"/>
              </w:rPr>
              <w:t>税引後インパクト（Tc=30%）</w:t>
            </w:r>
          </w:p>
        </w:tc>
        <w:tc>
          <w:tcPr>
            <w:tcW w:type="dxa" w:w="4703"/>
            <w:shd w:val="clear" w:color="auto" w:fill="DDEBF7"/>
          </w:tcPr>
          <w:p>
            <w:r>
              <w:rPr>
                <w:rFonts w:ascii="Meiryo UI" w:hAnsi="Meiryo UI"/>
                <w:sz w:val="18"/>
              </w:rPr>
              <w:t>約¥1,050〜1,225億</w:t>
            </w:r>
          </w:p>
        </w:tc>
      </w:tr>
      <w:tr>
        <w:tc>
          <w:tcPr>
            <w:tcW w:type="dxa" w:w="4703"/>
          </w:tcPr>
          <w:p>
            <w:r>
              <w:rPr>
                <w:rFonts w:ascii="Meiryo UI" w:hAnsi="Meiryo UI"/>
                <w:sz w:val="18"/>
              </w:rPr>
              <w:t>EPS影響</w:t>
            </w:r>
          </w:p>
        </w:tc>
        <w:tc>
          <w:tcPr>
            <w:tcW w:type="dxa" w:w="4703"/>
          </w:tcPr>
          <w:p>
            <w:r>
              <w:rPr>
                <w:rFonts w:ascii="Meiryo UI" w:hAnsi="Meiryo UI"/>
                <w:sz w:val="18"/>
              </w:rPr>
              <w:t>▲¥10〜12/株</w:t>
            </w:r>
          </w:p>
        </w:tc>
      </w:tr>
      <w:tr>
        <w:tc>
          <w:tcPr>
            <w:tcW w:type="dxa" w:w="4703"/>
            <w:shd w:val="clear" w:color="auto" w:fill="DDEBF7"/>
          </w:tcPr>
          <w:p>
            <w:r>
              <w:rPr>
                <w:rFonts w:ascii="Meiryo UI" w:hAnsi="Meiryo UI"/>
                <w:sz w:val="18"/>
              </w:rPr>
              <w:t>PER16.9倍での株価理論影響</w:t>
            </w:r>
          </w:p>
        </w:tc>
        <w:tc>
          <w:tcPr>
            <w:tcW w:type="dxa" w:w="4703"/>
            <w:shd w:val="clear" w:color="auto" w:fill="DDEBF7"/>
          </w:tcPr>
          <w:p>
            <w:r>
              <w:rPr>
                <w:rFonts w:ascii="Meiryo UI" w:hAnsi="Meiryo UI"/>
                <w:sz w:val="18"/>
              </w:rPr>
              <w:t>▲¥169〜202</w:t>
            </w:r>
          </w:p>
        </w:tc>
      </w:tr>
    </w:tbl>
    <w:p/>
    <w:p>
      <w:r>
        <w:rPr>
          <w:rFonts w:ascii="Meiryo UI" w:hAnsi="Meiryo UI"/>
          <w:sz w:val="20"/>
        </w:rPr>
        <w:t>&gt; ⚠️ ただし：</w:t>
      </w:r>
    </w:p>
    <w:p>
      <w:r>
        <w:rPr>
          <w:rFonts w:ascii="Meiryo UI" w:hAnsi="Meiryo UI"/>
          <w:sz w:val="20"/>
        </w:rPr>
        <w:t>&gt; - 4月見送りは「廃止」ではなく「延期」。5〜6月利上げ再開なら逸失分は半期以内に回収。</w:t>
      </w:r>
    </w:p>
    <w:p>
      <w:r>
        <w:rPr>
          <w:rFonts w:ascii="Meiryo UI" w:hAnsi="Meiryo UI"/>
          <w:sz w:val="20"/>
        </w:rPr>
        <w:t>&gt; - 市場は既に「4月利上げ確率低下」を過去2〜3週間で織り込み済み（株価¥2,850は調整後水準）。</w:t>
      </w:r>
    </w:p>
    <w:p>
      <w:r>
        <w:rPr>
          <w:rFonts w:ascii="Meiryo UI" w:hAnsi="Meiryo UI"/>
          <w:sz w:val="20"/>
        </w:rPr>
        <w:t>&gt; - 従って本日の見送り確定が追加ダウンサイドをもたらす確率は低い。</w:t>
      </w:r>
    </w:p>
    <w:p/>
    <w:p>
      <w:r>
        <w:rPr>
          <w:rFonts w:ascii="Meiryo UI" w:hAnsi="Meiryo UI"/>
          <w:sz w:val="20"/>
        </w:rPr>
        <w:t>結論①： 利上げ見送りによるEPS悪化は▲¥10〜12（約6〜7%のEPS毀損）であるが、これは既に株価に半値以上織り込まれている。残りの下値余地は¥2,700〜2,750と限定的。</w:t>
      </w:r>
    </w:p>
    <w:p/>
    <w:p>
      <w:r>
        <w:t>──────────────────────────────────────────────────</w:t>
      </w:r>
    </w:p>
    <w:p/>
    <w:p>
      <w:pPr>
        <w:pStyle w:val="Heading3"/>
      </w:pPr>
      <w:r>
        <w:rPr>
          <w:rFonts w:ascii="Meiryo UI" w:hAnsi="Meiryo UI"/>
          <w:color w:val="2E74B5"/>
        </w:rPr>
        <w:t>2-2. 5月以降の利上げ再開シナリオでの株価反発リスク</w:t>
      </w:r>
    </w:p>
    <w:p/>
    <w:p>
      <w:pPr>
        <w:pStyle w:val="Heading4"/>
      </w:pPr>
      <w:r>
        <w:rPr>
          <w:rFonts w:ascii="Meiryo UI" w:hAnsi="Meiryo UI"/>
          <w:color w:val="2E74B5"/>
        </w:rPr>
        <w:t>BOJ政策シナリオ別NII・EPS影響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BOJ政策パス</w:t>
            </w:r>
          </w:p>
        </w:tc>
        <w:tc>
          <w:tcPr>
            <w:tcW w:type="dxa" w:w="1881"/>
            <w:shd w:val="clear" w:color="auto" w:fill="2E74B5"/>
          </w:tcPr>
          <w:p>
            <w:r>
              <w:rPr>
                <w:rFonts w:ascii="Meiryo UI" w:hAnsi="Meiryo UI"/>
                <w:b/>
                <w:color w:val="FFFFFF"/>
                <w:sz w:val="18"/>
              </w:rPr>
              <w:t>追加NII改善（FY2026）</w:t>
            </w:r>
          </w:p>
        </w:tc>
        <w:tc>
          <w:tcPr>
            <w:tcW w:type="dxa" w:w="1881"/>
            <w:shd w:val="clear" w:color="auto" w:fill="2E74B5"/>
          </w:tcPr>
          <w:p>
            <w:r>
              <w:rPr>
                <w:rFonts w:ascii="Meiryo UI" w:hAnsi="Meiryo UI"/>
                <w:b/>
                <w:color w:val="FFFFFF"/>
                <w:sz w:val="18"/>
              </w:rPr>
              <w:t>EPS上乗せ</w:t>
            </w:r>
          </w:p>
        </w:tc>
        <w:tc>
          <w:tcPr>
            <w:tcW w:type="dxa" w:w="1881"/>
            <w:shd w:val="clear" w:color="auto" w:fill="2E74B5"/>
          </w:tcPr>
          <w:p>
            <w:r>
              <w:rPr>
                <w:rFonts w:ascii="Meiryo UI" w:hAnsi="Meiryo UI"/>
                <w:b/>
                <w:color w:val="FFFFFF"/>
                <w:sz w:val="18"/>
              </w:rPr>
              <w:t>株価インパクト</w:t>
            </w:r>
          </w:p>
        </w:tc>
      </w:tr>
      <w:tr>
        <w:tc>
          <w:tcPr>
            <w:tcW w:type="dxa" w:w="1881"/>
          </w:tcPr>
          <w:p>
            <w:r>
              <w:rPr>
                <w:rFonts w:ascii="Meiryo UI" w:hAnsi="Meiryo UI"/>
                <w:sz w:val="18"/>
              </w:rPr>
              <w:t>強気</w:t>
            </w:r>
          </w:p>
        </w:tc>
        <w:tc>
          <w:tcPr>
            <w:tcW w:type="dxa" w:w="1881"/>
          </w:tcPr>
          <w:p>
            <w:r>
              <w:rPr>
                <w:rFonts w:ascii="Meiryo UI" w:hAnsi="Meiryo UI"/>
                <w:sz w:val="18"/>
              </w:rPr>
              <w:t>5月+25bp、10月+25bp（計+50bp追加）</w:t>
            </w:r>
          </w:p>
        </w:tc>
        <w:tc>
          <w:tcPr>
            <w:tcW w:type="dxa" w:w="1881"/>
          </w:tcPr>
          <w:p>
            <w:r>
              <w:rPr>
                <w:rFonts w:ascii="Meiryo UI" w:hAnsi="Meiryo UI"/>
                <w:sz w:val="18"/>
              </w:rPr>
              <w:t>+¥3,000〜3,500億</w:t>
            </w:r>
          </w:p>
        </w:tc>
        <w:tc>
          <w:tcPr>
            <w:tcW w:type="dxa" w:w="1881"/>
          </w:tcPr>
          <w:p>
            <w:r>
              <w:rPr>
                <w:rFonts w:ascii="Meiryo UI" w:hAnsi="Meiryo UI"/>
                <w:sz w:val="18"/>
              </w:rPr>
              <w:t>+¥24〜28</w:t>
            </w:r>
          </w:p>
        </w:tc>
        <w:tc>
          <w:tcPr>
            <w:tcW w:type="dxa" w:w="1881"/>
          </w:tcPr>
          <w:p>
            <w:r>
              <w:rPr>
                <w:rFonts w:ascii="Meiryo UI" w:hAnsi="Meiryo UI"/>
                <w:sz w:val="18"/>
              </w:rPr>
              <w:t>+¥400〜470（現値比+14〜16%）</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6月+25bp、年1回のみ</w:t>
            </w:r>
          </w:p>
        </w:tc>
        <w:tc>
          <w:tcPr>
            <w:tcW w:type="dxa" w:w="1881"/>
            <w:shd w:val="clear" w:color="auto" w:fill="DDEBF7"/>
          </w:tcPr>
          <w:p>
            <w:r>
              <w:rPr>
                <w:rFonts w:ascii="Meiryo UI" w:hAnsi="Meiryo UI"/>
                <w:sz w:val="18"/>
              </w:rPr>
              <w:t>+¥1,500〜1,750億</w:t>
            </w:r>
          </w:p>
        </w:tc>
        <w:tc>
          <w:tcPr>
            <w:tcW w:type="dxa" w:w="1881"/>
            <w:shd w:val="clear" w:color="auto" w:fill="DDEBF7"/>
          </w:tcPr>
          <w:p>
            <w:r>
              <w:rPr>
                <w:rFonts w:ascii="Meiryo UI" w:hAnsi="Meiryo UI"/>
                <w:sz w:val="18"/>
              </w:rPr>
              <w:t>+¥12〜14</w:t>
            </w:r>
          </w:p>
        </w:tc>
        <w:tc>
          <w:tcPr>
            <w:tcW w:type="dxa" w:w="1881"/>
            <w:shd w:val="clear" w:color="auto" w:fill="DDEBF7"/>
          </w:tcPr>
          <w:p>
            <w:r>
              <w:rPr>
                <w:rFonts w:ascii="Meiryo UI" w:hAnsi="Meiryo UI"/>
                <w:sz w:val="18"/>
              </w:rPr>
              <w:t>+¥200〜240（現値比+7〜8%）</w:t>
            </w:r>
          </w:p>
        </w:tc>
      </w:tr>
      <w:tr>
        <w:tc>
          <w:tcPr>
            <w:tcW w:type="dxa" w:w="1881"/>
          </w:tcPr>
          <w:p>
            <w:r>
              <w:rPr>
                <w:rFonts w:ascii="Meiryo UI" w:hAnsi="Meiryo UI"/>
                <w:sz w:val="18"/>
              </w:rPr>
              <w:t>弱気</w:t>
            </w:r>
          </w:p>
        </w:tc>
        <w:tc>
          <w:tcPr>
            <w:tcW w:type="dxa" w:w="1881"/>
          </w:tcPr>
          <w:p>
            <w:r>
              <w:rPr>
                <w:rFonts w:ascii="Meiryo UI" w:hAnsi="Meiryo UI"/>
                <w:sz w:val="18"/>
              </w:rPr>
              <w:t>2026年内利上げゼロ（見送り継続）</w:t>
            </w:r>
          </w:p>
        </w:tc>
        <w:tc>
          <w:tcPr>
            <w:tcW w:type="dxa" w:w="1881"/>
          </w:tcPr>
          <w:p>
            <w:r>
              <w:rPr>
                <w:rFonts w:ascii="Meiryo UI" w:hAnsi="Meiryo UI"/>
                <w:sz w:val="18"/>
              </w:rPr>
              <w:t>±¥0（累積50bp分のみ継続）</w:t>
            </w:r>
          </w:p>
        </w:tc>
        <w:tc>
          <w:tcPr>
            <w:tcW w:type="dxa" w:w="1881"/>
          </w:tcPr>
          <w:p>
            <w:r>
              <w:rPr>
                <w:rFonts w:ascii="Meiryo UI" w:hAnsi="Meiryo UI"/>
                <w:sz w:val="18"/>
              </w:rPr>
              <w:t>±¥0（基線から変化なし）</w:t>
            </w:r>
          </w:p>
        </w:tc>
        <w:tc>
          <w:tcPr>
            <w:tcW w:type="dxa" w:w="1881"/>
          </w:tcPr>
          <w:p>
            <w:r>
              <w:rPr>
                <w:rFonts w:ascii="Meiryo UI" w:hAnsi="Meiryo UI"/>
                <w:sz w:val="18"/>
              </w:rPr>
              <w:t>▲¥150〜300（NIM期待剥落継続）</w:t>
            </w:r>
          </w:p>
        </w:tc>
      </w:tr>
    </w:tbl>
    <w:p/>
    <w:p>
      <w:r>
        <w:rPr>
          <w:rFonts w:ascii="Meiryo UI" w:hAnsi="Meiryo UI"/>
          <w:sz w:val="20"/>
        </w:rPr>
        <w:t>ショートのリスク（踏み上げシナリオ）：</w:t>
      </w:r>
    </w:p>
    <w:p/>
    <w:p>
      <w:r>
        <w:rPr>
          <w:rFonts w:ascii="Meiryo UI" w:hAnsi="Meiryo UI"/>
          <w:sz w:val="20"/>
        </w:rPr>
        <w:t>5月・6月のBOJ会合で+25bp利上げが再開された場合、現在ショートポジションを持つ主体への踏み上げが発生する。株価は一気に¥3,050〜3,200まで上昇する可能性がある。ショートの最大損失は+12〜16%（ターゲットへの逆行）。</w:t>
      </w:r>
    </w:p>
    <w:p/>
    <w:p>
      <w:r>
        <w:t>──────────────────────────────────────────────────</w:t>
      </w:r>
    </w:p>
    <w:p/>
    <w:p>
      <w:pPr>
        <w:pStyle w:val="Heading3"/>
      </w:pPr>
      <w:r>
        <w:rPr>
          <w:rFonts w:ascii="Meiryo UI" w:hAnsi="Meiryo UI"/>
          <w:color w:val="2E74B5"/>
        </w:rPr>
        <w:t>2-3. PBR1.51倍は割高か正当か</w:t>
      </w:r>
    </w:p>
    <w:p/>
    <w:p>
      <w:pPr>
        <w:pStyle w:val="Heading4"/>
      </w:pPr>
      <w:r>
        <w:rPr>
          <w:rFonts w:ascii="Meiryo UI" w:hAnsi="Meiryo UI"/>
          <w:color w:val="2E74B5"/>
        </w:rPr>
        <w:t>日本メガバンク比較</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銘柄</w:t>
            </w:r>
          </w:p>
        </w:tc>
        <w:tc>
          <w:tcPr>
            <w:tcW w:type="dxa" w:w="2351"/>
            <w:shd w:val="clear" w:color="auto" w:fill="2E74B5"/>
          </w:tcPr>
          <w:p>
            <w:r>
              <w:rPr>
                <w:rFonts w:ascii="Meiryo UI" w:hAnsi="Meiryo UI"/>
                <w:b/>
                <w:color w:val="FFFFFF"/>
                <w:sz w:val="18"/>
              </w:rPr>
              <w:t>PBR（現在）</w:t>
            </w:r>
          </w:p>
        </w:tc>
        <w:tc>
          <w:tcPr>
            <w:tcW w:type="dxa" w:w="2351"/>
            <w:shd w:val="clear" w:color="auto" w:fill="2E74B5"/>
          </w:tcPr>
          <w:p>
            <w:r>
              <w:rPr>
                <w:rFonts w:ascii="Meiryo UI" w:hAnsi="Meiryo UI"/>
                <w:b/>
                <w:color w:val="FFFFFF"/>
                <w:sz w:val="18"/>
              </w:rPr>
              <w:t>ROE</w:t>
            </w:r>
          </w:p>
        </w:tc>
        <w:tc>
          <w:tcPr>
            <w:tcW w:type="dxa" w:w="2351"/>
            <w:shd w:val="clear" w:color="auto" w:fill="2E74B5"/>
          </w:tcPr>
          <w:p>
            <w:r>
              <w:rPr>
                <w:rFonts w:ascii="Meiryo UI" w:hAnsi="Meiryo UI"/>
                <w:b/>
                <w:color w:val="FFFFFF"/>
                <w:sz w:val="18"/>
              </w:rPr>
              <w:t>PBR正当性</w:t>
            </w:r>
          </w:p>
        </w:tc>
      </w:tr>
      <w:tr>
        <w:tc>
          <w:tcPr>
            <w:tcW w:type="dxa" w:w="2351"/>
          </w:tcPr>
          <w:p>
            <w:r>
              <w:rPr>
                <w:rFonts w:ascii="Meiryo UI" w:hAnsi="Meiryo UI"/>
                <w:sz w:val="18"/>
              </w:rPr>
              <w:t>三菱UFJ（8306）</w:t>
            </w:r>
          </w:p>
        </w:tc>
        <w:tc>
          <w:tcPr>
            <w:tcW w:type="dxa" w:w="2351"/>
          </w:tcPr>
          <w:p>
            <w:r>
              <w:rPr>
                <w:rFonts w:ascii="Meiryo UI" w:hAnsi="Meiryo UI"/>
                <w:sz w:val="18"/>
              </w:rPr>
              <w:t>1.51倍</w:t>
            </w:r>
          </w:p>
        </w:tc>
        <w:tc>
          <w:tcPr>
            <w:tcW w:type="dxa" w:w="2351"/>
          </w:tcPr>
          <w:p>
            <w:r>
              <w:rPr>
                <w:rFonts w:ascii="Meiryo UI" w:hAnsi="Meiryo UI"/>
                <w:sz w:val="18"/>
              </w:rPr>
              <w:t>6.1%</w:t>
            </w:r>
          </w:p>
        </w:tc>
        <w:tc>
          <w:tcPr>
            <w:tcW w:type="dxa" w:w="2351"/>
          </w:tcPr>
          <w:p>
            <w:r>
              <w:rPr>
                <w:rFonts w:ascii="Meiryo UI" w:hAnsi="Meiryo UI"/>
                <w:sz w:val="18"/>
              </w:rPr>
              <w:t>後述分析参照</w:t>
            </w:r>
          </w:p>
        </w:tc>
      </w:tr>
      <w:tr>
        <w:tc>
          <w:tcPr>
            <w:tcW w:type="dxa" w:w="2351"/>
            <w:shd w:val="clear" w:color="auto" w:fill="DDEBF7"/>
          </w:tcPr>
          <w:p>
            <w:r>
              <w:rPr>
                <w:rFonts w:ascii="Meiryo UI" w:hAnsi="Meiryo UI"/>
                <w:sz w:val="18"/>
              </w:rPr>
              <w:t>三井住友FG（8316）</w:t>
            </w:r>
          </w:p>
        </w:tc>
        <w:tc>
          <w:tcPr>
            <w:tcW w:type="dxa" w:w="2351"/>
            <w:shd w:val="clear" w:color="auto" w:fill="DDEBF7"/>
          </w:tcPr>
          <w:p>
            <w:r>
              <w:rPr>
                <w:rFonts w:ascii="Meiryo UI" w:hAnsi="Meiryo UI"/>
                <w:sz w:val="18"/>
              </w:rPr>
              <w:t>約1.30〜1.40倍（推定）</w:t>
            </w:r>
          </w:p>
        </w:tc>
        <w:tc>
          <w:tcPr>
            <w:tcW w:type="dxa" w:w="2351"/>
            <w:shd w:val="clear" w:color="auto" w:fill="DDEBF7"/>
          </w:tcPr>
          <w:p>
            <w:r>
              <w:rPr>
                <w:rFonts w:ascii="Meiryo UI" w:hAnsi="Meiryo UI"/>
                <w:sz w:val="18"/>
              </w:rPr>
              <w:t>約7〜8%</w:t>
            </w:r>
          </w:p>
        </w:tc>
        <w:tc>
          <w:tcPr>
            <w:tcW w:type="dxa" w:w="2351"/>
            <w:shd w:val="clear" w:color="auto" w:fill="DDEBF7"/>
          </w:tcPr>
          <w:p>
            <w:r>
              <w:rPr>
                <w:rFonts w:ascii="Meiryo UI" w:hAnsi="Meiryo UI"/>
                <w:sz w:val="18"/>
              </w:rPr>
              <w:t>やや割安</w:t>
            </w:r>
          </w:p>
        </w:tc>
      </w:tr>
      <w:tr>
        <w:tc>
          <w:tcPr>
            <w:tcW w:type="dxa" w:w="2351"/>
          </w:tcPr>
          <w:p>
            <w:r>
              <w:rPr>
                <w:rFonts w:ascii="Meiryo UI" w:hAnsi="Meiryo UI"/>
                <w:sz w:val="18"/>
              </w:rPr>
              <w:t>みずほFG（8411）</w:t>
            </w:r>
          </w:p>
        </w:tc>
        <w:tc>
          <w:tcPr>
            <w:tcW w:type="dxa" w:w="2351"/>
          </w:tcPr>
          <w:p>
            <w:r>
              <w:rPr>
                <w:rFonts w:ascii="Meiryo UI" w:hAnsi="Meiryo UI"/>
                <w:sz w:val="18"/>
              </w:rPr>
              <w:t>約0.95〜1.10倍（推定）</w:t>
            </w:r>
          </w:p>
        </w:tc>
        <w:tc>
          <w:tcPr>
            <w:tcW w:type="dxa" w:w="2351"/>
          </w:tcPr>
          <w:p>
            <w:r>
              <w:rPr>
                <w:rFonts w:ascii="Meiryo UI" w:hAnsi="Meiryo UI"/>
                <w:sz w:val="18"/>
              </w:rPr>
              <w:t>約6〜7%</w:t>
            </w:r>
          </w:p>
        </w:tc>
        <w:tc>
          <w:tcPr>
            <w:tcW w:type="dxa" w:w="2351"/>
          </w:tcPr>
          <w:p>
            <w:r>
              <w:rPr>
                <w:rFonts w:ascii="Meiryo UI" w:hAnsi="Meiryo UI"/>
                <w:sz w:val="18"/>
              </w:rPr>
              <w:t>依然ディスカウント</w:t>
            </w:r>
          </w:p>
        </w:tc>
      </w:tr>
      <w:tr>
        <w:tc>
          <w:tcPr>
            <w:tcW w:type="dxa" w:w="2351"/>
            <w:shd w:val="clear" w:color="auto" w:fill="DDEBF7"/>
          </w:tcPr>
          <w:p>
            <w:r>
              <w:rPr>
                <w:rFonts w:ascii="Meiryo UI" w:hAnsi="Meiryo UI"/>
                <w:sz w:val="18"/>
              </w:rPr>
              <w:t>JPMorgan Chase</w:t>
            </w:r>
          </w:p>
        </w:tc>
        <w:tc>
          <w:tcPr>
            <w:tcW w:type="dxa" w:w="2351"/>
            <w:shd w:val="clear" w:color="auto" w:fill="DDEBF7"/>
          </w:tcPr>
          <w:p>
            <w:r>
              <w:rPr>
                <w:rFonts w:ascii="Meiryo UI" w:hAnsi="Meiryo UI"/>
                <w:sz w:val="18"/>
              </w:rPr>
              <w:t>約2.0〜2.2倍</w:t>
            </w:r>
          </w:p>
        </w:tc>
        <w:tc>
          <w:tcPr>
            <w:tcW w:type="dxa" w:w="2351"/>
            <w:shd w:val="clear" w:color="auto" w:fill="DDEBF7"/>
          </w:tcPr>
          <w:p>
            <w:r>
              <w:rPr>
                <w:rFonts w:ascii="Meiryo UI" w:hAnsi="Meiryo UI"/>
                <w:sz w:val="18"/>
              </w:rPr>
              <w:t>約15〜17%</w:t>
            </w:r>
          </w:p>
        </w:tc>
        <w:tc>
          <w:tcPr>
            <w:tcW w:type="dxa" w:w="2351"/>
            <w:shd w:val="clear" w:color="auto" w:fill="DDEBF7"/>
          </w:tcPr>
          <w:p>
            <w:r>
              <w:rPr>
                <w:rFonts w:ascii="Meiryo UI" w:hAnsi="Meiryo UI"/>
                <w:sz w:val="18"/>
              </w:rPr>
              <w:t>プレミアム正当</w:t>
            </w:r>
          </w:p>
        </w:tc>
      </w:tr>
      <w:tr>
        <w:tc>
          <w:tcPr>
            <w:tcW w:type="dxa" w:w="2351"/>
          </w:tcPr>
          <w:p>
            <w:r>
              <w:rPr>
                <w:rFonts w:ascii="Meiryo UI" w:hAnsi="Meiryo UI"/>
                <w:sz w:val="18"/>
              </w:rPr>
              <w:t>HSBC</w:t>
            </w:r>
          </w:p>
        </w:tc>
        <w:tc>
          <w:tcPr>
            <w:tcW w:type="dxa" w:w="2351"/>
          </w:tcPr>
          <w:p>
            <w:r>
              <w:rPr>
                <w:rFonts w:ascii="Meiryo UI" w:hAnsi="Meiryo UI"/>
                <w:sz w:val="18"/>
              </w:rPr>
              <w:t>約0.9〜1.1倍</w:t>
            </w:r>
          </w:p>
        </w:tc>
        <w:tc>
          <w:tcPr>
            <w:tcW w:type="dxa" w:w="2351"/>
          </w:tcPr>
          <w:p>
            <w:r>
              <w:rPr>
                <w:rFonts w:ascii="Meiryo UI" w:hAnsi="Meiryo UI"/>
                <w:sz w:val="18"/>
              </w:rPr>
              <w:t>約10〜12%</w:t>
            </w:r>
          </w:p>
        </w:tc>
        <w:tc>
          <w:tcPr>
            <w:tcW w:type="dxa" w:w="2351"/>
          </w:tcPr>
          <w:p>
            <w:r>
              <w:rPr>
                <w:rFonts w:ascii="Meiryo UI" w:hAnsi="Meiryo UI"/>
                <w:sz w:val="18"/>
              </w:rPr>
              <w:t>新興市場ディスカウント</w:t>
            </w:r>
          </w:p>
        </w:tc>
      </w:tr>
    </w:tbl>
    <w:p/>
    <w:p>
      <w:pPr>
        <w:pStyle w:val="Heading4"/>
      </w:pPr>
      <w:r>
        <w:rPr>
          <w:rFonts w:ascii="Meiryo UI" w:hAnsi="Meiryo UI"/>
          <w:color w:val="2E74B5"/>
        </w:rPr>
        <w:t>PBRの理論的正当性：Gordon Growth Model（株主資本コスト vs ROE）</w:t>
      </w:r>
    </w:p>
    <w:p/>
    <w:p>
      <w:pPr>
        <w:shd w:val="clear" w:color="auto" w:fill="F2F2F2"/>
      </w:pPr>
      <w:r>
        <w:rPr>
          <w:rFonts w:ascii="Courier New" w:hAnsi="Courier New"/>
          <w:sz w:val="16"/>
        </w:rPr>
        <w:t>正当PBR = (ROE - g) / (Re - g)</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パラメータ</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ROE</w:t>
            </w:r>
          </w:p>
        </w:tc>
        <w:tc>
          <w:tcPr>
            <w:tcW w:type="dxa" w:w="4703"/>
          </w:tcPr>
          <w:p>
            <w:r>
              <w:rPr>
                <w:rFonts w:ascii="Meiryo UI" w:hAnsi="Meiryo UI"/>
                <w:sz w:val="18"/>
              </w:rPr>
              <w:t>6.1%（所与）</w:t>
            </w:r>
          </w:p>
        </w:tc>
      </w:tr>
      <w:tr>
        <w:tc>
          <w:tcPr>
            <w:tcW w:type="dxa" w:w="4703"/>
            <w:shd w:val="clear" w:color="auto" w:fill="DDEBF7"/>
          </w:tcPr>
          <w:p>
            <w:r>
              <w:rPr>
                <w:rFonts w:ascii="Meiryo UI" w:hAnsi="Meiryo UI"/>
                <w:sz w:val="18"/>
              </w:rPr>
              <w:t>Re（株主資本コスト）</w:t>
            </w:r>
          </w:p>
        </w:tc>
        <w:tc>
          <w:tcPr>
            <w:tcW w:type="dxa" w:w="4703"/>
            <w:shd w:val="clear" w:color="auto" w:fill="DDEBF7"/>
          </w:tcPr>
          <w:p>
            <w:r>
              <w:rPr>
                <w:rFonts w:ascii="Meiryo UI" w:hAnsi="Meiryo UI"/>
                <w:sz w:val="18"/>
              </w:rPr>
              <w:t>7.5%（後述WACC計算ベース）</w:t>
            </w:r>
          </w:p>
        </w:tc>
      </w:tr>
      <w:tr>
        <w:tc>
          <w:tcPr>
            <w:tcW w:type="dxa" w:w="4703"/>
          </w:tcPr>
          <w:p>
            <w:r>
              <w:rPr>
                <w:rFonts w:ascii="Meiryo UI" w:hAnsi="Meiryo UI"/>
                <w:sz w:val="18"/>
              </w:rPr>
              <w:t>g（長期成長率）</w:t>
            </w:r>
          </w:p>
        </w:tc>
        <w:tc>
          <w:tcPr>
            <w:tcW w:type="dxa" w:w="4703"/>
          </w:tcPr>
          <w:p>
            <w:r>
              <w:rPr>
                <w:rFonts w:ascii="Meiryo UI" w:hAnsi="Meiryo UI"/>
                <w:sz w:val="18"/>
              </w:rPr>
              <w:t>2.0%（名目GDP成長率）</w:t>
            </w:r>
          </w:p>
        </w:tc>
      </w:tr>
    </w:tbl>
    <w:p/>
    <w:p>
      <w:pPr>
        <w:shd w:val="clear" w:color="auto" w:fill="F2F2F2"/>
      </w:pPr>
      <w:r>
        <w:rPr>
          <w:rFonts w:ascii="Courier New" w:hAnsi="Courier New"/>
          <w:sz w:val="16"/>
        </w:rPr>
        <w:t>正当PBR = (6.1% - 2.0%) / (7.5% - 2.0%) = 4.1% / 5.5% = 0.745倍</w:t>
      </w:r>
    </w:p>
    <w:p/>
    <w:p>
      <w:r>
        <w:rPr>
          <w:rFonts w:ascii="Meiryo UI" w:hAnsi="Meiryo UI"/>
          <w:sz w:val="20"/>
        </w:rPr>
        <w:t>&gt; これは現在のPBR1.51倍を大幅に下回る。</w:t>
      </w:r>
    </w:p>
    <w:p/>
    <w:p>
      <w:pPr>
        <w:pStyle w:val="Heading4"/>
      </w:pPr>
      <w:r>
        <w:rPr>
          <w:rFonts w:ascii="Meiryo UI" w:hAnsi="Meiryo UI"/>
          <w:color w:val="2E74B5"/>
        </w:rPr>
        <w:t>しかし、なぜ市場は1.51倍を許容しているのか</w:t>
      </w:r>
    </w:p>
    <w:p/>
    <w:p>
      <w:r>
        <w:rPr>
          <w:rFonts w:ascii="Meiryo UI" w:hAnsi="Meiryo UI"/>
          <w:sz w:val="20"/>
        </w:rPr>
        <w:t>Gordon Growth Modelは静的ROEを前提とするが、MUFGのROEは構造的改善トレンドにある：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現在</w:t>
            </w:r>
          </w:p>
        </w:tc>
        <w:tc>
          <w:tcPr>
            <w:tcW w:type="dxa" w:w="3135"/>
            <w:shd w:val="clear" w:color="auto" w:fill="2E74B5"/>
          </w:tcPr>
          <w:p>
            <w:r>
              <w:rPr>
                <w:rFonts w:ascii="Meiryo UI" w:hAnsi="Meiryo UI"/>
                <w:b/>
                <w:color w:val="FFFFFF"/>
                <w:sz w:val="18"/>
              </w:rPr>
              <w:t>2〜3年後期待</w:t>
            </w:r>
          </w:p>
        </w:tc>
      </w:tr>
      <w:tr>
        <w:tc>
          <w:tcPr>
            <w:tcW w:type="dxa" w:w="3135"/>
          </w:tcPr>
          <w:p>
            <w:r>
              <w:rPr>
                <w:rFonts w:ascii="Meiryo UI" w:hAnsi="Meiryo UI"/>
                <w:sz w:val="18"/>
              </w:rPr>
              <w:t>ROE</w:t>
            </w:r>
          </w:p>
        </w:tc>
        <w:tc>
          <w:tcPr>
            <w:tcW w:type="dxa" w:w="3135"/>
          </w:tcPr>
          <w:p>
            <w:r>
              <w:rPr>
                <w:rFonts w:ascii="Meiryo UI" w:hAnsi="Meiryo UI"/>
                <w:sz w:val="18"/>
              </w:rPr>
              <w:t>6.1%</w:t>
            </w:r>
          </w:p>
        </w:tc>
        <w:tc>
          <w:tcPr>
            <w:tcW w:type="dxa" w:w="3135"/>
          </w:tcPr>
          <w:p>
            <w:r>
              <w:rPr>
                <w:rFonts w:ascii="Meiryo UI" w:hAnsi="Meiryo UI"/>
                <w:sz w:val="18"/>
              </w:rPr>
              <w:t>7.5〜8.5%（利上げ効果+政策株売却+自社株買い）</w:t>
            </w:r>
          </w:p>
        </w:tc>
      </w:tr>
      <w:tr>
        <w:tc>
          <w:tcPr>
            <w:tcW w:type="dxa" w:w="3135"/>
            <w:shd w:val="clear" w:color="auto" w:fill="DDEBF7"/>
          </w:tcPr>
          <w:p>
            <w:r>
              <w:rPr>
                <w:rFonts w:ascii="Meiryo UI" w:hAnsi="Meiryo UI"/>
                <w:sz w:val="18"/>
              </w:rPr>
              <w:t>正当PBR（ROE=8.0%、Re=7.5%、g=2.0%）</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1.09倍</w:t>
            </w:r>
          </w:p>
        </w:tc>
      </w:tr>
      <w:tr>
        <w:tc>
          <w:tcPr>
            <w:tcW w:type="dxa" w:w="3135"/>
          </w:tcPr>
          <w:p>
            <w:r>
              <w:rPr>
                <w:rFonts w:ascii="Meiryo UI" w:hAnsi="Meiryo UI"/>
                <w:sz w:val="18"/>
              </w:rPr>
              <w:t>正当PBR（ROE=8.5%、Re=7.5%、g=2.0%）</w:t>
            </w:r>
          </w:p>
        </w:tc>
        <w:tc>
          <w:tcPr>
            <w:tcW w:type="dxa" w:w="3135"/>
          </w:tcPr>
          <w:p>
            <w:r>
              <w:rPr>
                <w:rFonts w:ascii="Meiryo UI" w:hAnsi="Meiryo UI"/>
                <w:sz w:val="18"/>
              </w:rPr>
              <w:t>—</w:t>
            </w:r>
          </w:p>
        </w:tc>
        <w:tc>
          <w:tcPr>
            <w:tcW w:type="dxa" w:w="3135"/>
          </w:tcPr>
          <w:p>
            <w:r>
              <w:rPr>
                <w:rFonts w:ascii="Meiryo UI" w:hAnsi="Meiryo UI"/>
                <w:sz w:val="18"/>
              </w:rPr>
              <w:t>1.18倍</w:t>
            </w:r>
          </w:p>
        </w:tc>
      </w:tr>
    </w:tbl>
    <w:p/>
    <w:p>
      <w:r>
        <w:rPr>
          <w:rFonts w:ascii="Meiryo UI" w:hAnsi="Meiryo UI"/>
          <w:sz w:val="20"/>
        </w:rPr>
        <w:t>追加要因：解散価値プレミアム</w:t>
      </w:r>
    </w:p>
    <w:p/>
    <w:p>
      <w:r>
        <w:rPr>
          <w:rFonts w:ascii="Meiryo UI" w:hAnsi="Meiryo UI"/>
          <w:sz w:val="20"/>
        </w:rPr>
        <w:t>MUFGのBPS¥1,885に含まれる資産の多くは時価評価済み金融資産であり、製造業のような簿価乖離は少ない。加えて、東証のPBR1倍以上要請が官製フロアとして機能しており、機械的な売り圧力が遮断されている。</w:t>
      </w:r>
    </w:p>
    <w:p/>
    <w:p>
      <w:r>
        <w:rPr>
          <w:rFonts w:ascii="Meiryo UI" w:hAnsi="Meiryo UI"/>
          <w:sz w:val="20"/>
        </w:rPr>
        <w:t>結論②： Gordon Growth Modelによる理論PBRは0.74〜1.18倍であり、現在の1.51倍は10〜20%程度の「将来ROE改善期待プレミアム」を上乗せした水準。過度に割高とは言い切れないが、ROE改善が遅れればプレミアムは剥落しうる。ただしPBRが1.51倍だからといってショートの根拠にはならない——東証圧力×自社株買いが実質的な下値サポートとして機能する。</w:t>
      </w:r>
    </w:p>
    <w:p/>
    <w:p>
      <w:r>
        <w:t>──────────────────────────────────────────────────</w:t>
      </w:r>
    </w:p>
    <w:p/>
    <w:p>
      <w:pPr>
        <w:pStyle w:val="Heading3"/>
      </w:pPr>
      <w:r>
        <w:rPr>
          <w:rFonts w:ascii="Meiryo UI" w:hAnsi="Meiryo UI"/>
          <w:color w:val="2E74B5"/>
        </w:rPr>
        <w:t>2-4. バフェット×日本株文脈でのメガバンク評価</w:t>
      </w:r>
    </w:p>
    <w:p/>
    <w:p>
      <w:r>
        <w:rPr>
          <w:rFonts w:ascii="Meiryo UI" w:hAnsi="Meiryo UI"/>
          <w:sz w:val="20"/>
        </w:rPr>
        <w:t>バークシャー・ハサウェイは日本の5大商社株を保有し続けており（直近持分6〜9%）、日本株への長期投資姿勢を示している。メガバンクへの直接保有は確認されていないが、商社株保有の文脈で以下の波及効果がある：</w:t>
      </w:r>
    </w:p>
    <w:p/>
    <w:p>
      <w:pPr>
        <w:pStyle w:val="ListNumber"/>
      </w:pPr>
      <w:r>
        <w:rPr>
          <w:rFonts w:ascii="Meiryo UI" w:hAnsi="Meiryo UI"/>
          <w:sz w:val="20"/>
        </w:rPr>
        <w:t>グローバル機関投資家の日本金融株への注目度上昇：バフェット効果で「日本株は割安」というナラティブが定着</w:t>
      </w:r>
    </w:p>
    <w:p>
      <w:pPr>
        <w:pStyle w:val="ListNumber"/>
      </w:pPr>
      <w:r>
        <w:rPr>
          <w:rFonts w:ascii="Meiryo UI" w:hAnsi="Meiryo UI"/>
          <w:sz w:val="20"/>
        </w:rPr>
        <w:t>商社のメインバンク＝MUFG：三菱商事・三菱UFJの親密関係から間接的な評価向上</w:t>
      </w:r>
    </w:p>
    <w:p>
      <w:pPr>
        <w:pStyle w:val="ListNumber"/>
      </w:pPr>
      <w:r>
        <w:rPr>
          <w:rFonts w:ascii="Meiryo UI" w:hAnsi="Meiryo UI"/>
          <w:sz w:val="20"/>
        </w:rPr>
        <w:t>円安→バフェット利益拡大のニュース→日本株全体への追随買い：この連鎖が2023〜2025年に確認されており、2026年も継続の可能性</w:t>
      </w:r>
    </w:p>
    <w:p/>
    <w:p>
      <w:r>
        <w:rPr>
          <w:rFonts w:ascii="Meiryo UI" w:hAnsi="Meiryo UI"/>
          <w:sz w:val="20"/>
        </w:rPr>
        <w:t>結論③： バフェット文脈はメガバンク株の「センチメントフロア」として機能。ショートを仕掛けた際にこのナラティブが復活すると踏み上げリスクが高まる。</w:t>
      </w:r>
    </w:p>
    <w:p/>
    <w:p>
      <w:r>
        <w:t>──────────────────────────────────────────────────</w:t>
      </w:r>
    </w:p>
    <w:p/>
    <w:p>
      <w:pPr>
        <w:pStyle w:val="Heading3"/>
      </w:pPr>
      <w:r>
        <w:rPr>
          <w:rFonts w:ascii="Meiryo UI" w:hAnsi="Meiryo UI"/>
          <w:color w:val="2E74B5"/>
        </w:rPr>
        <w:t>2-5. 最終判断：ショート根拠は成立するか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判定軸</w:t>
            </w:r>
          </w:p>
        </w:tc>
        <w:tc>
          <w:tcPr>
            <w:tcW w:type="dxa" w:w="3135"/>
            <w:shd w:val="clear" w:color="auto" w:fill="2E74B5"/>
          </w:tcPr>
          <w:p>
            <w:r>
              <w:rPr>
                <w:rFonts w:ascii="Meiryo UI" w:hAnsi="Meiryo UI"/>
                <w:b/>
                <w:color w:val="FFFFFF"/>
                <w:sz w:val="18"/>
              </w:rPr>
              <w:t>ショート根拠</w:t>
            </w:r>
          </w:p>
        </w:tc>
        <w:tc>
          <w:tcPr>
            <w:tcW w:type="dxa" w:w="3135"/>
            <w:shd w:val="clear" w:color="auto" w:fill="2E74B5"/>
          </w:tcPr>
          <w:p>
            <w:r>
              <w:rPr>
                <w:rFonts w:ascii="Meiryo UI" w:hAnsi="Meiryo UI"/>
                <w:b/>
                <w:color w:val="FFFFFF"/>
                <w:sz w:val="18"/>
              </w:rPr>
              <w:t>強度</w:t>
            </w:r>
          </w:p>
        </w:tc>
      </w:tr>
      <w:tr>
        <w:tc>
          <w:tcPr>
            <w:tcW w:type="dxa" w:w="3135"/>
          </w:tcPr>
          <w:p>
            <w:r>
              <w:rPr>
                <w:rFonts w:ascii="Meiryo UI" w:hAnsi="Meiryo UI"/>
                <w:sz w:val="18"/>
              </w:rPr>
              <w:t>利上げ見送りEPS毀損</w:t>
            </w:r>
          </w:p>
        </w:tc>
        <w:tc>
          <w:tcPr>
            <w:tcW w:type="dxa" w:w="3135"/>
          </w:tcPr>
          <w:p>
            <w:r>
              <w:rPr>
                <w:rFonts w:ascii="Meiryo UI" w:hAnsi="Meiryo UI"/>
                <w:sz w:val="18"/>
              </w:rPr>
              <w:t>▲¥10〜12（▲6〜7%）</w:t>
            </w:r>
          </w:p>
        </w:tc>
        <w:tc>
          <w:tcPr>
            <w:tcW w:type="dxa" w:w="3135"/>
          </w:tcPr>
          <w:p>
            <w:r>
              <w:rPr>
                <w:rFonts w:ascii="Meiryo UI" w:hAnsi="Meiryo UI"/>
                <w:sz w:val="18"/>
              </w:rPr>
              <w:t>弱い（既に織り込み、一過性）</w:t>
            </w:r>
          </w:p>
        </w:tc>
      </w:tr>
      <w:tr>
        <w:tc>
          <w:tcPr>
            <w:tcW w:type="dxa" w:w="3135"/>
            <w:shd w:val="clear" w:color="auto" w:fill="DDEBF7"/>
          </w:tcPr>
          <w:p>
            <w:r>
              <w:rPr>
                <w:rFonts w:ascii="Meiryo UI" w:hAnsi="Meiryo UI"/>
                <w:sz w:val="18"/>
              </w:rPr>
              <w:t>PBR1.51倍の割高性</w:t>
            </w:r>
          </w:p>
        </w:tc>
        <w:tc>
          <w:tcPr>
            <w:tcW w:type="dxa" w:w="3135"/>
            <w:shd w:val="clear" w:color="auto" w:fill="DDEBF7"/>
          </w:tcPr>
          <w:p>
            <w:r>
              <w:rPr>
                <w:rFonts w:ascii="Meiryo UI" w:hAnsi="Meiryo UI"/>
                <w:sz w:val="18"/>
              </w:rPr>
              <w:t>Gordon Modelで0.74〜1.18倍が理論値</w:t>
            </w:r>
          </w:p>
        </w:tc>
        <w:tc>
          <w:tcPr>
            <w:tcW w:type="dxa" w:w="3135"/>
            <w:shd w:val="clear" w:color="auto" w:fill="DDEBF7"/>
          </w:tcPr>
          <w:p>
            <w:r>
              <w:rPr>
                <w:rFonts w:ascii="Meiryo UI" w:hAnsi="Meiryo UI"/>
                <w:sz w:val="18"/>
              </w:rPr>
              <w:t>中程度（ただし東証フロア・自社株買いが下値支持）</w:t>
            </w:r>
          </w:p>
        </w:tc>
      </w:tr>
      <w:tr>
        <w:tc>
          <w:tcPr>
            <w:tcW w:type="dxa" w:w="3135"/>
          </w:tcPr>
          <w:p>
            <w:r>
              <w:rPr>
                <w:rFonts w:ascii="Meiryo UI" w:hAnsi="Meiryo UI"/>
                <w:sz w:val="18"/>
              </w:rPr>
              <w:t>EPS成長性の欠如</w:t>
            </w:r>
          </w:p>
        </w:tc>
        <w:tc>
          <w:tcPr>
            <w:tcW w:type="dxa" w:w="3135"/>
          </w:tcPr>
          <w:p>
            <w:r>
              <w:rPr>
                <w:rFonts w:ascii="Meiryo UI" w:hAnsi="Meiryo UI"/>
                <w:sz w:val="18"/>
              </w:rPr>
              <w:t>ROE6.1%はグローバル比較で低い</w:t>
            </w:r>
          </w:p>
        </w:tc>
        <w:tc>
          <w:tcPr>
            <w:tcW w:type="dxa" w:w="3135"/>
          </w:tcPr>
          <w:p>
            <w:r>
              <w:rPr>
                <w:rFonts w:ascii="Meiryo UI" w:hAnsi="Meiryo UI"/>
                <w:sz w:val="18"/>
              </w:rPr>
              <w:t>弱い（改善トレンドが継続）</w:t>
            </w:r>
          </w:p>
        </w:tc>
      </w:tr>
      <w:tr>
        <w:tc>
          <w:tcPr>
            <w:tcW w:type="dxa" w:w="3135"/>
            <w:shd w:val="clear" w:color="auto" w:fill="DDEBF7"/>
          </w:tcPr>
          <w:p>
            <w:r>
              <w:rPr>
                <w:rFonts w:ascii="Meiryo UI" w:hAnsi="Meiryo UI"/>
                <w:sz w:val="18"/>
              </w:rPr>
              <w:t>踏み上げリスク</w:t>
            </w:r>
          </w:p>
        </w:tc>
        <w:tc>
          <w:tcPr>
            <w:tcW w:type="dxa" w:w="3135"/>
            <w:shd w:val="clear" w:color="auto" w:fill="DDEBF7"/>
          </w:tcPr>
          <w:p>
            <w:r>
              <w:rPr>
                <w:rFonts w:ascii="Meiryo UI" w:hAnsi="Meiryo UI"/>
                <w:sz w:val="18"/>
              </w:rPr>
              <w:t>5月BOJ利上げ再開で+10〜16%</w:t>
            </w:r>
          </w:p>
        </w:tc>
        <w:tc>
          <w:tcPr>
            <w:tcW w:type="dxa" w:w="3135"/>
            <w:shd w:val="clear" w:color="auto" w:fill="DDEBF7"/>
          </w:tcPr>
          <w:p>
            <w:r>
              <w:rPr>
                <w:rFonts w:ascii="Meiryo UI" w:hAnsi="Meiryo UI"/>
                <w:sz w:val="18"/>
              </w:rPr>
              <w:t>非常に高い</w:t>
            </w:r>
          </w:p>
        </w:tc>
      </w:tr>
      <w:tr>
        <w:tc>
          <w:tcPr>
            <w:tcW w:type="dxa" w:w="3135"/>
          </w:tcPr>
          <w:p>
            <w:r>
              <w:rPr>
                <w:rFonts w:ascii="Meiryo UI" w:hAnsi="Meiryo UI"/>
                <w:sz w:val="18"/>
              </w:rPr>
              <w:t>バフェット/センチメント</w:t>
            </w:r>
          </w:p>
        </w:tc>
        <w:tc>
          <w:tcPr>
            <w:tcW w:type="dxa" w:w="3135"/>
          </w:tcPr>
          <w:p>
            <w:r>
              <w:rPr>
                <w:rFonts w:ascii="Meiryo UI" w:hAnsi="Meiryo UI"/>
                <w:sz w:val="18"/>
              </w:rPr>
              <w:t>日本株ロングのナラティブが継続</w:t>
            </w:r>
          </w:p>
        </w:tc>
        <w:tc>
          <w:tcPr>
            <w:tcW w:type="dxa" w:w="3135"/>
          </w:tcPr>
          <w:p>
            <w:r>
              <w:rPr>
                <w:rFonts w:ascii="Meiryo UI" w:hAnsi="Meiryo UI"/>
                <w:sz w:val="18"/>
              </w:rPr>
              <w:t>ショートに不利</w:t>
            </w:r>
          </w:p>
        </w:tc>
      </w:tr>
    </w:tbl>
    <w:p/>
    <w:p>
      <w:r>
        <w:rPr>
          <w:rFonts w:ascii="Meiryo UI" w:hAnsi="Meiryo UI"/>
          <w:sz w:val="20"/>
        </w:rPr>
        <w:t>総合判定：ショート根拠は成立しない。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主要財務指標（FY2025 実績・推計）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¥2,850</w:t>
            </w:r>
          </w:p>
        </w:tc>
        <w:tc>
          <w:tcPr>
            <w:tcW w:type="dxa" w:w="3135"/>
          </w:tcPr>
          <w:p>
            <w:r>
              <w:rPr>
                <w:rFonts w:ascii="Meiryo UI" w:hAnsi="Meiryo UI"/>
                <w:sz w:val="18"/>
              </w:rPr>
              <w:t>2026/04/17 リアルタイム</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約¥32.2兆</w:t>
            </w:r>
          </w:p>
        </w:tc>
        <w:tc>
          <w:tcPr>
            <w:tcW w:type="dxa" w:w="3135"/>
            <w:shd w:val="clear" w:color="auto" w:fill="DDEBF7"/>
          </w:tcPr>
          <w:p>
            <w:r>
              <w:rPr>
                <w:rFonts w:ascii="Meiryo UI" w:hAnsi="Meiryo UI"/>
                <w:sz w:val="18"/>
              </w:rPr>
              <w:t>所与</w:t>
            </w:r>
          </w:p>
        </w:tc>
      </w:tr>
      <w:tr>
        <w:tc>
          <w:tcPr>
            <w:tcW w:type="dxa" w:w="3135"/>
          </w:tcPr>
          <w:p>
            <w:r>
              <w:rPr>
                <w:rFonts w:ascii="Meiryo UI" w:hAnsi="Meiryo UI"/>
                <w:sz w:val="18"/>
              </w:rPr>
              <w:t>PBR</w:t>
            </w:r>
          </w:p>
        </w:tc>
        <w:tc>
          <w:tcPr>
            <w:tcW w:type="dxa" w:w="3135"/>
          </w:tcPr>
          <w:p>
            <w:r>
              <w:rPr>
                <w:rFonts w:ascii="Meiryo UI" w:hAnsi="Meiryo UI"/>
                <w:sz w:val="18"/>
              </w:rPr>
              <w:t>1.51倍</w:t>
            </w:r>
          </w:p>
        </w:tc>
        <w:tc>
          <w:tcPr>
            <w:tcW w:type="dxa" w:w="3135"/>
          </w:tcPr>
          <w:p>
            <w:r>
              <w:rPr>
                <w:rFonts w:ascii="Meiryo UI" w:hAnsi="Meiryo UI"/>
                <w:sz w:val="18"/>
              </w:rPr>
              <w:t>リアルタイム所与</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¥1,885</w:t>
            </w:r>
          </w:p>
        </w:tc>
        <w:tc>
          <w:tcPr>
            <w:tcW w:type="dxa" w:w="3135"/>
            <w:shd w:val="clear" w:color="auto" w:fill="DDEBF7"/>
          </w:tcPr>
          <w:p>
            <w:r>
              <w:rPr>
                <w:rFonts w:ascii="Meiryo UI" w:hAnsi="Meiryo UI"/>
                <w:sz w:val="18"/>
              </w:rPr>
              <w:t>リアルタイム所与</w:t>
            </w:r>
          </w:p>
        </w:tc>
      </w:tr>
      <w:tr>
        <w:tc>
          <w:tcPr>
            <w:tcW w:type="dxa" w:w="3135"/>
          </w:tcPr>
          <w:p>
            <w:r>
              <w:rPr>
                <w:rFonts w:ascii="Meiryo UI" w:hAnsi="Meiryo UI"/>
                <w:sz w:val="18"/>
              </w:rPr>
              <w:t>ROE</w:t>
            </w:r>
          </w:p>
        </w:tc>
        <w:tc>
          <w:tcPr>
            <w:tcW w:type="dxa" w:w="3135"/>
          </w:tcPr>
          <w:p>
            <w:r>
              <w:rPr>
                <w:rFonts w:ascii="Meiryo UI" w:hAnsi="Meiryo UI"/>
                <w:sz w:val="18"/>
              </w:rPr>
              <w:t>6.1%</w:t>
            </w:r>
          </w:p>
        </w:tc>
        <w:tc>
          <w:tcPr>
            <w:tcW w:type="dxa" w:w="3135"/>
          </w:tcPr>
          <w:p>
            <w:r>
              <w:rPr>
                <w:rFonts w:ascii="Meiryo UI" w:hAnsi="Meiryo UI"/>
                <w:sz w:val="18"/>
              </w:rPr>
              <w:t>リアルタイム所与</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16.9倍</w:t>
            </w:r>
          </w:p>
        </w:tc>
        <w:tc>
          <w:tcPr>
            <w:tcW w:type="dxa" w:w="3135"/>
            <w:shd w:val="clear" w:color="auto" w:fill="DDEBF7"/>
          </w:tcPr>
          <w:p>
            <w:r>
              <w:rPr>
                <w:rFonts w:ascii="Meiryo UI" w:hAnsi="Meiryo UI"/>
                <w:sz w:val="18"/>
              </w:rPr>
              <w:t>所与</w:t>
            </w:r>
          </w:p>
        </w:tc>
      </w:tr>
      <w:tr>
        <w:tc>
          <w:tcPr>
            <w:tcW w:type="dxa" w:w="3135"/>
          </w:tcPr>
          <w:p>
            <w:r>
              <w:rPr>
                <w:rFonts w:ascii="Meiryo UI" w:hAnsi="Meiryo UI"/>
                <w:sz w:val="18"/>
              </w:rPr>
              <w:t>EPS</w:t>
            </w:r>
          </w:p>
        </w:tc>
        <w:tc>
          <w:tcPr>
            <w:tcW w:type="dxa" w:w="3135"/>
          </w:tcPr>
          <w:p>
            <w:r>
              <w:rPr>
                <w:rFonts w:ascii="Meiryo UI" w:hAnsi="Meiryo UI"/>
                <w:sz w:val="18"/>
              </w:rPr>
              <w:t>¥168</w:t>
            </w:r>
          </w:p>
        </w:tc>
        <w:tc>
          <w:tcPr>
            <w:tcW w:type="dxa" w:w="3135"/>
          </w:tcPr>
          <w:p>
            <w:r>
              <w:rPr>
                <w:rFonts w:ascii="Meiryo UI" w:hAnsi="Meiryo UI"/>
                <w:sz w:val="18"/>
              </w:rPr>
              <w:t>所与</w:t>
            </w:r>
          </w:p>
        </w:tc>
      </w:tr>
      <w:tr>
        <w:tc>
          <w:tcPr>
            <w:tcW w:type="dxa" w:w="3135"/>
            <w:shd w:val="clear" w:color="auto" w:fill="DDEBF7"/>
          </w:tcPr>
          <w:p>
            <w:r>
              <w:rPr>
                <w:rFonts w:ascii="Meiryo UI" w:hAnsi="Meiryo UI"/>
                <w:sz w:val="18"/>
              </w:rPr>
              <w:t>純利息収益（NII）推計</w:t>
            </w:r>
          </w:p>
        </w:tc>
        <w:tc>
          <w:tcPr>
            <w:tcW w:type="dxa" w:w="3135"/>
            <w:shd w:val="clear" w:color="auto" w:fill="DDEBF7"/>
          </w:tcPr>
          <w:p>
            <w:r>
              <w:rPr>
                <w:rFonts w:ascii="Meiryo UI" w:hAnsi="Meiryo UI"/>
                <w:sz w:val="18"/>
              </w:rPr>
              <w:t>約¥3.8〜4.0兆/年</w:t>
            </w:r>
          </w:p>
        </w:tc>
        <w:tc>
          <w:tcPr>
            <w:tcW w:type="dxa" w:w="3135"/>
            <w:shd w:val="clear" w:color="auto" w:fill="DDEBF7"/>
          </w:tcPr>
          <w:p>
            <w:r>
              <w:rPr>
                <w:rFonts w:ascii="Meiryo UI" w:hAnsi="Meiryo UI"/>
                <w:sz w:val="18"/>
              </w:rPr>
              <w:t>上下期合算</w:t>
            </w:r>
          </w:p>
        </w:tc>
      </w:tr>
      <w:tr>
        <w:tc>
          <w:tcPr>
            <w:tcW w:type="dxa" w:w="3135"/>
          </w:tcPr>
          <w:p>
            <w:r>
              <w:rPr>
                <w:rFonts w:ascii="Meiryo UI" w:hAnsi="Meiryo UI"/>
                <w:sz w:val="18"/>
              </w:rPr>
              <w:t>与信費用（推計）</w:t>
            </w:r>
          </w:p>
        </w:tc>
        <w:tc>
          <w:tcPr>
            <w:tcW w:type="dxa" w:w="3135"/>
          </w:tcPr>
          <w:p>
            <w:r>
              <w:rPr>
                <w:rFonts w:ascii="Meiryo UI" w:hAnsi="Meiryo UI"/>
                <w:sz w:val="18"/>
              </w:rPr>
              <w:t>約¥3,000〜3,500億/年</w:t>
            </w:r>
          </w:p>
        </w:tc>
        <w:tc>
          <w:tcPr>
            <w:tcW w:type="dxa" w:w="3135"/>
          </w:tcPr>
          <w:p>
            <w:r>
              <w:rPr>
                <w:rFonts w:ascii="Meiryo UI" w:hAnsi="Meiryo UI"/>
                <w:sz w:val="18"/>
              </w:rPr>
            </w:r>
          </w:p>
        </w:tc>
      </w:tr>
      <w:tr>
        <w:tc>
          <w:tcPr>
            <w:tcW w:type="dxa" w:w="3135"/>
            <w:shd w:val="clear" w:color="auto" w:fill="DDEBF7"/>
          </w:tcPr>
          <w:p>
            <w:r>
              <w:rPr>
                <w:rFonts w:ascii="Meiryo UI" w:hAnsi="Meiryo UI"/>
                <w:sz w:val="18"/>
              </w:rPr>
              <w:t>CET1比率（推計）</w:t>
            </w:r>
          </w:p>
        </w:tc>
        <w:tc>
          <w:tcPr>
            <w:tcW w:type="dxa" w:w="3135"/>
            <w:shd w:val="clear" w:color="auto" w:fill="DDEBF7"/>
          </w:tcPr>
          <w:p>
            <w:r>
              <w:rPr>
                <w:rFonts w:ascii="Meiryo UI" w:hAnsi="Meiryo UI"/>
                <w:sz w:val="18"/>
              </w:rPr>
              <w:t>約11.5%</w:t>
            </w:r>
          </w:p>
        </w:tc>
        <w:tc>
          <w:tcPr>
            <w:tcW w:type="dxa" w:w="3135"/>
            <w:shd w:val="clear" w:color="auto" w:fill="DDEBF7"/>
          </w:tcPr>
          <w:p>
            <w:r>
              <w:rPr>
                <w:rFonts w:ascii="Meiryo UI" w:hAnsi="Meiryo UI"/>
                <w:sz w:val="18"/>
              </w:rPr>
              <w:t>バーゼルIII</w:t>
            </w:r>
          </w:p>
        </w:tc>
      </w:tr>
      <w:tr>
        <w:tc>
          <w:tcPr>
            <w:tcW w:type="dxa" w:w="3135"/>
          </w:tcPr>
          <w:p>
            <w:r>
              <w:rPr>
                <w:rFonts w:ascii="Meiryo UI" w:hAnsi="Meiryo UI"/>
                <w:sz w:val="18"/>
              </w:rPr>
              <w:t>配当（FY2025）</w:t>
            </w:r>
          </w:p>
        </w:tc>
        <w:tc>
          <w:tcPr>
            <w:tcW w:type="dxa" w:w="3135"/>
          </w:tcPr>
          <w:p>
            <w:r>
              <w:rPr>
                <w:rFonts w:ascii="Meiryo UI" w:hAnsi="Meiryo UI"/>
                <w:sz w:val="18"/>
              </w:rPr>
              <w:t>¥50/株（推定）</w:t>
            </w:r>
          </w:p>
        </w:tc>
        <w:tc>
          <w:tcPr>
            <w:tcW w:type="dxa" w:w="3135"/>
          </w:tcPr>
          <w:p>
            <w:r>
              <w:rPr>
                <w:rFonts w:ascii="Meiryo UI" w:hAnsi="Meiryo UI"/>
                <w:sz w:val="18"/>
              </w:rPr>
              <w:t>配当利回り約1.75%</w:t>
            </w:r>
          </w:p>
        </w:tc>
      </w:tr>
      <w:tr>
        <w:tc>
          <w:tcPr>
            <w:tcW w:type="dxa" w:w="3135"/>
            <w:shd w:val="clear" w:color="auto" w:fill="DDEBF7"/>
          </w:tcPr>
          <w:p>
            <w:r>
              <w:rPr>
                <w:rFonts w:ascii="Meiryo UI" w:hAnsi="Meiryo UI"/>
                <w:sz w:val="18"/>
              </w:rPr>
              <w:t>自社株買い枠</w:t>
            </w:r>
          </w:p>
        </w:tc>
        <w:tc>
          <w:tcPr>
            <w:tcW w:type="dxa" w:w="3135"/>
            <w:shd w:val="clear" w:color="auto" w:fill="DDEBF7"/>
          </w:tcPr>
          <w:p>
            <w:r>
              <w:rPr>
                <w:rFonts w:ascii="Meiryo UI" w:hAnsi="Meiryo UI"/>
                <w:sz w:val="18"/>
              </w:rPr>
              <w:t>約¥4,000億（FY2025）</w:t>
            </w:r>
          </w:p>
        </w:tc>
        <w:tc>
          <w:tcPr>
            <w:tcW w:type="dxa" w:w="3135"/>
            <w:shd w:val="clear" w:color="auto" w:fill="DDEBF7"/>
          </w:tcPr>
          <w:p>
            <w:r>
              <w:rPr>
                <w:rFonts w:ascii="Meiryo UI" w:hAnsi="Meiryo UI"/>
                <w:sz w:val="18"/>
              </w:rPr>
            </w:r>
          </w:p>
        </w:tc>
      </w:tr>
    </w:tbl>
    <w:p/>
    <w:p>
      <w:pPr>
        <w:pStyle w:val="Heading3"/>
      </w:pPr>
      <w:r>
        <w:rPr>
          <w:rFonts w:ascii="Meiryo UI" w:hAnsi="Meiryo UI"/>
          <w:color w:val="2E74B5"/>
        </w:rPr>
        <w:t>3-2. ROE分解（デュポン分析）</w:t>
      </w:r>
    </w:p>
    <w:p/>
    <w:p>
      <w:pPr>
        <w:shd w:val="clear" w:color="auto" w:fill="F2F2F2"/>
      </w:pPr>
      <w:r>
        <w:rPr>
          <w:rFonts w:ascii="Courier New" w:hAnsi="Courier New"/>
          <w:sz w:val="16"/>
        </w:rPr>
        <w:t>ROE = 純利益率 × 総資産回転率 × 財務レバレッジ</w:t>
        <w:br/>
        <w:t xml:space="preserve">    = 0.44%   ×   0.012回   × 11.6倍</w:t>
        <w:br/>
        <w:t xml:space="preserve">    = 6.1%</w:t>
      </w:r>
    </w:p>
    <w:p/>
    <w:p>
      <w:r>
        <w:rPr>
          <w:rFonts w:ascii="Meiryo UI" w:hAnsi="Meiryo UI"/>
          <w:sz w:val="20"/>
        </w:rPr>
        <w:t>&gt; 銀行は財務レバレッジが大きい事業特性上、ROEは「利益率×回転率」が低くてもレバレッジで稼ぐ構造。ROE6.1%は低いが、自社株買い（発行済株数削減）とNIM改善が重なれば7〜8%への改善余地は十分。</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WACC計算前提</w:t>
      </w:r>
    </w:p>
    <w:p/>
    <w:p>
      <w:r>
        <w:rPr>
          <w:rFonts w:ascii="Meiryo UI" w:hAnsi="Meiryo UI"/>
          <w:sz w:val="20"/>
        </w:rPr>
        <w:t>銀行のDCFは事業DCFではなく株主資本DCF（Equity DCF）またはDDM（配当割引モデル）が適切。ここでは超過収益モデル（Excess Return Model）とDDMの2軸で算出する。</w:t>
      </w:r>
    </w:p>
    <w:p/>
    <w:p>
      <w:pPr>
        <w:pStyle w:val="Heading4"/>
      </w:pPr>
      <w:r>
        <w:rPr>
          <w:rFonts w:ascii="Meiryo UI" w:hAnsi="Meiryo UI"/>
          <w:color w:val="2E74B5"/>
        </w:rPr>
        <w:t>WACC / 株主資本コスト（Re）</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Rf（無リスク金利）</w:t>
            </w:r>
          </w:p>
        </w:tc>
        <w:tc>
          <w:tcPr>
            <w:tcW w:type="dxa" w:w="3135"/>
          </w:tcPr>
          <w:p>
            <w:r>
              <w:rPr>
                <w:rFonts w:ascii="Meiryo UI" w:hAnsi="Meiryo UI"/>
                <w:sz w:val="18"/>
              </w:rPr>
              <w:t>2.409%</w:t>
            </w:r>
          </w:p>
        </w:tc>
        <w:tc>
          <w:tcPr>
            <w:tcW w:type="dxa" w:w="3135"/>
          </w:tcPr>
          <w:p>
            <w:r>
              <w:rPr>
                <w:rFonts w:ascii="Meiryo UI" w:hAnsi="Meiryo UI"/>
                <w:sz w:val="18"/>
              </w:rPr>
              <w:t>JGB10Y（2026/04/17 財務省）</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2025推計）</w:t>
            </w:r>
          </w:p>
        </w:tc>
      </w:tr>
      <w:tr>
        <w:tc>
          <w:tcPr>
            <w:tcW w:type="dxa" w:w="3135"/>
          </w:tcPr>
          <w:p>
            <w:r>
              <w:rPr>
                <w:rFonts w:ascii="Meiryo UI" w:hAnsi="Meiryo UI"/>
                <w:sz w:val="18"/>
              </w:rPr>
              <w:t>β（MUFG、過去5年月次）</w:t>
            </w:r>
          </w:p>
        </w:tc>
        <w:tc>
          <w:tcPr>
            <w:tcW w:type="dxa" w:w="3135"/>
          </w:tcPr>
          <w:p>
            <w:r>
              <w:rPr>
                <w:rFonts w:ascii="Meiryo UI" w:hAnsi="Meiryo UI"/>
                <w:sz w:val="18"/>
              </w:rPr>
              <w:t>0.95</w:t>
            </w:r>
          </w:p>
        </w:tc>
        <w:tc>
          <w:tcPr>
            <w:tcW w:type="dxa" w:w="3135"/>
          </w:tcPr>
          <w:p>
            <w:r>
              <w:rPr>
                <w:rFonts w:ascii="Meiryo UI" w:hAnsi="Meiryo UI"/>
                <w:sz w:val="18"/>
              </w:rPr>
              <w:t>金融株標準。市場連動性高いが防衛的側面もあり</w:t>
            </w:r>
          </w:p>
        </w:tc>
      </w:tr>
      <w:tr>
        <w:tc>
          <w:tcPr>
            <w:tcW w:type="dxa" w:w="3135"/>
            <w:shd w:val="clear" w:color="auto" w:fill="DDEBF7"/>
          </w:tcPr>
          <w:p>
            <w:r>
              <w:rPr>
                <w:rFonts w:ascii="Meiryo UI" w:hAnsi="Meiryo UI"/>
                <w:sz w:val="18"/>
              </w:rPr>
              <w:t>Re = Rf + β × ERP</w:t>
            </w:r>
          </w:p>
        </w:tc>
        <w:tc>
          <w:tcPr>
            <w:tcW w:type="dxa" w:w="3135"/>
            <w:shd w:val="clear" w:color="auto" w:fill="DDEBF7"/>
          </w:tcPr>
          <w:p>
            <w:r>
              <w:rPr>
                <w:rFonts w:ascii="Meiryo UI" w:hAnsi="Meiryo UI"/>
                <w:sz w:val="18"/>
              </w:rPr>
              <w:t>2.409% + 0.95 × 5.5%</w:t>
            </w:r>
          </w:p>
        </w:tc>
        <w:tc>
          <w:tcPr>
            <w:tcW w:type="dxa" w:w="3135"/>
            <w:shd w:val="clear" w:color="auto" w:fill="DDEBF7"/>
          </w:tcPr>
          <w:p>
            <w:r>
              <w:rPr>
                <w:rFonts w:ascii="Meiryo UI" w:hAnsi="Meiryo UI"/>
                <w:sz w:val="18"/>
              </w:rPr>
              <w:t>= 7.634% ≒ 7.6%</w:t>
            </w:r>
          </w:p>
        </w:tc>
      </w:tr>
    </w:tbl>
    <w:p/>
    <w:p>
      <w:r>
        <w:rPr>
          <w:rFonts w:ascii="Meiryo UI" w:hAnsi="Meiryo UI"/>
          <w:sz w:val="20"/>
        </w:rPr>
        <w:t>&gt; 銀行セクターのDCFにおいてはWACCではなくReを直接適用するEquity DCFを採用。</w:t>
      </w:r>
    </w:p>
    <w:p/>
    <w:p>
      <w:pPr>
        <w:pStyle w:val="Heading4"/>
      </w:pPr>
      <w:r>
        <w:rPr>
          <w:rFonts w:ascii="Meiryo UI" w:hAnsi="Meiryo UI"/>
          <w:color w:val="2E74B5"/>
        </w:rPr>
        <w:t>Re = 7.6%（株主資本コスト）</w:t>
      </w:r>
    </w:p>
    <w:p/>
    <w:p>
      <w:pPr>
        <w:pStyle w:val="Heading3"/>
      </w:pPr>
      <w:r>
        <w:rPr>
          <w:rFonts w:ascii="Meiryo UI" w:hAnsi="Meiryo UI"/>
          <w:color w:val="2E74B5"/>
        </w:rPr>
        <w:t>4-2. DDM（配当割引モデル）</w:t>
      </w:r>
    </w:p>
    <w:p/>
    <w:p>
      <w:pPr>
        <w:pStyle w:val="Heading4"/>
      </w:pPr>
      <w:r>
        <w:rPr>
          <w:rFonts w:ascii="Meiryo UI" w:hAnsi="Meiryo UI"/>
          <w:color w:val="2E74B5"/>
        </w:rPr>
        <w:t>2段階DDM前提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DPS成長率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Phase 1（高成長）</w:t>
            </w:r>
          </w:p>
        </w:tc>
        <w:tc>
          <w:tcPr>
            <w:tcW w:type="dxa" w:w="2351"/>
          </w:tcPr>
          <w:p>
            <w:r>
              <w:rPr>
                <w:rFonts w:ascii="Meiryo UI" w:hAnsi="Meiryo UI"/>
                <w:sz w:val="18"/>
              </w:rPr>
              <w:t>FY2026〜FY2030（5年）</w:t>
            </w:r>
          </w:p>
        </w:tc>
        <w:tc>
          <w:tcPr>
            <w:tcW w:type="dxa" w:w="2351"/>
          </w:tcPr>
          <w:p>
            <w:r>
              <w:rPr>
                <w:rFonts w:ascii="Meiryo UI" w:hAnsi="Meiryo UI"/>
                <w:sz w:val="18"/>
              </w:rPr>
              <w:t>+8%/年</w:t>
            </w:r>
          </w:p>
        </w:tc>
        <w:tc>
          <w:tcPr>
            <w:tcW w:type="dxa" w:w="2351"/>
          </w:tcPr>
          <w:p>
            <w:r>
              <w:rPr>
                <w:rFonts w:ascii="Meiryo UI" w:hAnsi="Meiryo UI"/>
                <w:sz w:val="18"/>
              </w:rPr>
              <w:t>BOJ利上げ継続、自社株買い、増配（¥50→¥73推計）</w:t>
            </w:r>
          </w:p>
        </w:tc>
      </w:tr>
      <w:tr>
        <w:tc>
          <w:tcPr>
            <w:tcW w:type="dxa" w:w="2351"/>
            <w:shd w:val="clear" w:color="auto" w:fill="DDEBF7"/>
          </w:tcPr>
          <w:p>
            <w:r>
              <w:rPr>
                <w:rFonts w:ascii="Meiryo UI" w:hAnsi="Meiryo UI"/>
                <w:sz w:val="18"/>
              </w:rPr>
              <w:t>Phase 2（定常成長）</w:t>
            </w:r>
          </w:p>
        </w:tc>
        <w:tc>
          <w:tcPr>
            <w:tcW w:type="dxa" w:w="2351"/>
            <w:shd w:val="clear" w:color="auto" w:fill="DDEBF7"/>
          </w:tcPr>
          <w:p>
            <w:r>
              <w:rPr>
                <w:rFonts w:ascii="Meiryo UI" w:hAnsi="Meiryo UI"/>
                <w:sz w:val="18"/>
              </w:rPr>
              <w:t>FY2031以降（永続）</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名目GDP成長率+やや上乗せ</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DPS（¥）</w:t>
            </w:r>
          </w:p>
        </w:tc>
        <w:tc>
          <w:tcPr>
            <w:tcW w:type="dxa" w:w="2351"/>
            <w:shd w:val="clear" w:color="auto" w:fill="2E74B5"/>
          </w:tcPr>
          <w:p>
            <w:r>
              <w:rPr>
                <w:rFonts w:ascii="Meiryo UI" w:hAnsi="Meiryo UI"/>
                <w:b/>
                <w:color w:val="FFFFFF"/>
                <w:sz w:val="18"/>
              </w:rPr>
              <w:t>割引率7.6%</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FY2026</w:t>
            </w:r>
          </w:p>
        </w:tc>
        <w:tc>
          <w:tcPr>
            <w:tcW w:type="dxa" w:w="2351"/>
          </w:tcPr>
          <w:p>
            <w:r>
              <w:rPr>
                <w:rFonts w:ascii="Meiryo UI" w:hAnsi="Meiryo UI"/>
                <w:sz w:val="18"/>
              </w:rPr>
              <w:t>54.0</w:t>
            </w:r>
          </w:p>
        </w:tc>
        <w:tc>
          <w:tcPr>
            <w:tcW w:type="dxa" w:w="2351"/>
          </w:tcPr>
          <w:p>
            <w:r>
              <w:rPr>
                <w:rFonts w:ascii="Meiryo UI" w:hAnsi="Meiryo UI"/>
                <w:sz w:val="18"/>
              </w:rPr>
              <w:t>1.076</w:t>
            </w:r>
          </w:p>
        </w:tc>
        <w:tc>
          <w:tcPr>
            <w:tcW w:type="dxa" w:w="2351"/>
          </w:tcPr>
          <w:p>
            <w:r>
              <w:rPr>
                <w:rFonts w:ascii="Meiryo UI" w:hAnsi="Meiryo UI"/>
                <w:sz w:val="18"/>
              </w:rPr>
              <w:t>50.2</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58.3</w:t>
            </w:r>
          </w:p>
        </w:tc>
        <w:tc>
          <w:tcPr>
            <w:tcW w:type="dxa" w:w="2351"/>
            <w:shd w:val="clear" w:color="auto" w:fill="DDEBF7"/>
          </w:tcPr>
          <w:p>
            <w:r>
              <w:rPr>
                <w:rFonts w:ascii="Meiryo UI" w:hAnsi="Meiryo UI"/>
                <w:sz w:val="18"/>
              </w:rPr>
              <w:t>1.158</w:t>
            </w:r>
          </w:p>
        </w:tc>
        <w:tc>
          <w:tcPr>
            <w:tcW w:type="dxa" w:w="2351"/>
            <w:shd w:val="clear" w:color="auto" w:fill="DDEBF7"/>
          </w:tcPr>
          <w:p>
            <w:r>
              <w:rPr>
                <w:rFonts w:ascii="Meiryo UI" w:hAnsi="Meiryo UI"/>
                <w:sz w:val="18"/>
              </w:rPr>
              <w:t>50.3</w:t>
            </w:r>
          </w:p>
        </w:tc>
      </w:tr>
      <w:tr>
        <w:tc>
          <w:tcPr>
            <w:tcW w:type="dxa" w:w="2351"/>
          </w:tcPr>
          <w:p>
            <w:r>
              <w:rPr>
                <w:rFonts w:ascii="Meiryo UI" w:hAnsi="Meiryo UI"/>
                <w:sz w:val="18"/>
              </w:rPr>
              <w:t>FY2028</w:t>
            </w:r>
          </w:p>
        </w:tc>
        <w:tc>
          <w:tcPr>
            <w:tcW w:type="dxa" w:w="2351"/>
          </w:tcPr>
          <w:p>
            <w:r>
              <w:rPr>
                <w:rFonts w:ascii="Meiryo UI" w:hAnsi="Meiryo UI"/>
                <w:sz w:val="18"/>
              </w:rPr>
              <w:t>63.0</w:t>
            </w:r>
          </w:p>
        </w:tc>
        <w:tc>
          <w:tcPr>
            <w:tcW w:type="dxa" w:w="2351"/>
          </w:tcPr>
          <w:p>
            <w:r>
              <w:rPr>
                <w:rFonts w:ascii="Meiryo UI" w:hAnsi="Meiryo UI"/>
                <w:sz w:val="18"/>
              </w:rPr>
              <w:t>1.246</w:t>
            </w:r>
          </w:p>
        </w:tc>
        <w:tc>
          <w:tcPr>
            <w:tcW w:type="dxa" w:w="2351"/>
          </w:tcPr>
          <w:p>
            <w:r>
              <w:rPr>
                <w:rFonts w:ascii="Meiryo UI" w:hAnsi="Meiryo UI"/>
                <w:sz w:val="18"/>
              </w:rPr>
              <w:t>50.5</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68.0</w:t>
            </w:r>
          </w:p>
        </w:tc>
        <w:tc>
          <w:tcPr>
            <w:tcW w:type="dxa" w:w="2351"/>
            <w:shd w:val="clear" w:color="auto" w:fill="DDEBF7"/>
          </w:tcPr>
          <w:p>
            <w:r>
              <w:rPr>
                <w:rFonts w:ascii="Meiryo UI" w:hAnsi="Meiryo UI"/>
                <w:sz w:val="18"/>
              </w:rPr>
              <w:t>1.341</w:t>
            </w:r>
          </w:p>
        </w:tc>
        <w:tc>
          <w:tcPr>
            <w:tcW w:type="dxa" w:w="2351"/>
            <w:shd w:val="clear" w:color="auto" w:fill="DDEBF7"/>
          </w:tcPr>
          <w:p>
            <w:r>
              <w:rPr>
                <w:rFonts w:ascii="Meiryo UI" w:hAnsi="Meiryo UI"/>
                <w:sz w:val="18"/>
              </w:rPr>
              <w:t>50.7</w:t>
            </w:r>
          </w:p>
        </w:tc>
      </w:tr>
      <w:tr>
        <w:tc>
          <w:tcPr>
            <w:tcW w:type="dxa" w:w="2351"/>
          </w:tcPr>
          <w:p>
            <w:r>
              <w:rPr>
                <w:rFonts w:ascii="Meiryo UI" w:hAnsi="Meiryo UI"/>
                <w:sz w:val="18"/>
              </w:rPr>
              <w:t>FY2030</w:t>
            </w:r>
          </w:p>
        </w:tc>
        <w:tc>
          <w:tcPr>
            <w:tcW w:type="dxa" w:w="2351"/>
          </w:tcPr>
          <w:p>
            <w:r>
              <w:rPr>
                <w:rFonts w:ascii="Meiryo UI" w:hAnsi="Meiryo UI"/>
                <w:sz w:val="18"/>
              </w:rPr>
              <w:t>73.5</w:t>
            </w:r>
          </w:p>
        </w:tc>
        <w:tc>
          <w:tcPr>
            <w:tcW w:type="dxa" w:w="2351"/>
          </w:tcPr>
          <w:p>
            <w:r>
              <w:rPr>
                <w:rFonts w:ascii="Meiryo UI" w:hAnsi="Meiryo UI"/>
                <w:sz w:val="18"/>
              </w:rPr>
              <w:t>1.443</w:t>
            </w:r>
          </w:p>
        </w:tc>
        <w:tc>
          <w:tcPr>
            <w:tcW w:type="dxa" w:w="2351"/>
          </w:tcPr>
          <w:p>
            <w:r>
              <w:rPr>
                <w:rFonts w:ascii="Meiryo UI" w:hAnsi="Meiryo UI"/>
                <w:sz w:val="18"/>
              </w:rPr>
              <w:t>50.9</w:t>
            </w:r>
          </w:p>
        </w:tc>
      </w:tr>
      <w:tr>
        <w:tc>
          <w:tcPr>
            <w:tcW w:type="dxa" w:w="2351"/>
            <w:shd w:val="clear" w:color="auto" w:fill="DDEBF7"/>
          </w:tcPr>
          <w:p>
            <w:r>
              <w:rPr>
                <w:rFonts w:ascii="Meiryo UI" w:hAnsi="Meiryo UI"/>
                <w:sz w:val="18"/>
              </w:rPr>
              <w:t>Phase 1 合計PV</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252.6</w:t>
            </w:r>
          </w:p>
        </w:tc>
      </w:tr>
    </w:tbl>
    <w:p/>
    <w:p>
      <w:r>
        <w:rPr>
          <w:rFonts w:ascii="Meiryo UI" w:hAnsi="Meiryo UI"/>
          <w:sz w:val="20"/>
        </w:rPr>
        <w:t>Terminal Value（TV）= DPS2031 / (Re - g)</w:t>
      </w:r>
    </w:p>
    <w:p/>
    <w:p>
      <w:pPr>
        <w:shd w:val="clear" w:color="auto" w:fill="F2F2F2"/>
      </w:pPr>
      <w:r>
        <w:rPr>
          <w:rFonts w:ascii="Courier New" w:hAnsi="Courier New"/>
          <w:sz w:val="16"/>
        </w:rPr>
        <w:t>DPS2031 = 73.5 × 1.025 = ¥75.3</w:t>
        <w:br/>
        <w:t>TV = 75.3 / (7.6% - 2.5%) = 75.3 / 5.1% = ¥1,476</w:t>
        <w:br/>
        <w:t>PV(TV) = 1,476 / 1.443 = ¥1,023</w:t>
      </w:r>
    </w:p>
    <w:p/>
    <w:p>
      <w:r>
        <w:rPr>
          <w:rFonts w:ascii="Meiryo UI" w:hAnsi="Meiryo UI"/>
          <w:sz w:val="20"/>
        </w:rPr>
        <w:t>DDM理論株価 = 252.6 + 1,023 = ¥1,276</w:t>
      </w:r>
    </w:p>
    <w:p/>
    <w:p>
      <w:r>
        <w:rPr>
          <w:rFonts w:ascii="Meiryo UI" w:hAnsi="Meiryo UI"/>
          <w:sz w:val="20"/>
        </w:rPr>
        <w:t>&gt; ⚠️ DDMは配当のみをキャッシュフローとするため、自社株買いを含む総還元ベースに修正する。</w:t>
      </w:r>
    </w:p>
    <w:p/>
    <w:p>
      <w:pPr>
        <w:pStyle w:val="Heading4"/>
      </w:pPr>
      <w:r>
        <w:rPr>
          <w:rFonts w:ascii="Meiryo UI" w:hAnsi="Meiryo UI"/>
          <w:color w:val="2E74B5"/>
        </w:rPr>
        <w:t>修正：総還元DDM（配当+自社株買いEPS換算）</w:t>
      </w:r>
    </w:p>
    <w:p/>
    <w:p>
      <w:r>
        <w:rPr>
          <w:rFonts w:ascii="Meiryo UI" w:hAnsi="Meiryo UI"/>
          <w:sz w:val="20"/>
        </w:rPr>
        <w:t>自社株買い¥4,000億 ÷ 発行済株数（約113.5億株）= ¥35/株の実質追加配当相当</w:t>
      </w:r>
    </w:p>
    <w:p/>
    <w:p>
      <w:r>
        <w:rPr>
          <w:rFonts w:ascii="Meiryo UI" w:hAnsi="Meiryo UI"/>
          <w:sz w:val="20"/>
        </w:rPr>
        <w:t>修正DPS（Phase1）= ¥54 + ¥35 = ¥89として再計算</w:t>
      </w:r>
    </w:p>
    <w:p/>
    <w:p>
      <w:pPr>
        <w:shd w:val="clear" w:color="auto" w:fill="F2F2F2"/>
      </w:pPr>
      <w:r>
        <w:rPr>
          <w:rFonts w:ascii="Courier New" w:hAnsi="Courier New"/>
          <w:sz w:val="16"/>
        </w:rPr>
        <w:t>Phase1 PV合計（DPS¥89基準、+8%成長）:</w:t>
        <w:br/>
        <w:t>FY2026: 89.0/1.076 = 82.7</w:t>
        <w:br/>
        <w:t>FY2027: 96.1/1.158 = 83.0</w:t>
        <w:br/>
        <w:t>FY2028: 103.8/1.246 = 83.3</w:t>
        <w:br/>
        <w:t>FY2029: 112.1/1.341 = 83.6</w:t>
        <w:br/>
        <w:t>FY2030: 121.1/1.443 = 83.9</w:t>
        <w:br/>
        <w:t>合計: 416.5</w:t>
        <w:br/>
        <w:br/>
        <w:t>TV基準DPS = 121.1 × 1.025 = 124.1</w:t>
        <w:br/>
        <w:t>TV = 124.1 / 5.1% = 2,433</w:t>
        <w:br/>
        <w:t>PV(TV) = 2,433 / 1.443 = 1,686</w:t>
      </w:r>
    </w:p>
    <w:p/>
    <w:p>
      <w:r>
        <w:rPr>
          <w:rFonts w:ascii="Meiryo UI" w:hAnsi="Meiryo UI"/>
          <w:sz w:val="20"/>
        </w:rPr>
        <w:t>修正DDM理論株価 = 416.5 + 1,686 = ¥2,103</w:t>
      </w:r>
    </w:p>
    <w:p/>
    <w:p>
      <w:pPr>
        <w:pStyle w:val="Heading3"/>
      </w:pPr>
      <w:r>
        <w:rPr>
          <w:rFonts w:ascii="Meiryo UI" w:hAnsi="Meiryo UI"/>
          <w:color w:val="2E74B5"/>
        </w:rPr>
        <w:t>4-3. 超過収益モデル（Excess Return Model）</w:t>
      </w:r>
    </w:p>
    <w:p/>
    <w:p>
      <w:pPr>
        <w:shd w:val="clear" w:color="auto" w:fill="F2F2F2"/>
      </w:pPr>
      <w:r>
        <w:rPr>
          <w:rFonts w:ascii="Courier New" w:hAnsi="Courier New"/>
          <w:sz w:val="16"/>
        </w:rPr>
        <w:t>理論株価 = BPS + PV(超過ROE × BPS)</w:t>
        <w:br/>
        <w:t>超過ROE = ROE - Re = 6.1% - 7.6% = ▲1.5%（現在は超過収益マイナス）</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ROE仮定（3年後）</w:t>
            </w:r>
          </w:p>
        </w:tc>
        <w:tc>
          <w:tcPr>
            <w:tcW w:type="dxa" w:w="1568"/>
            <w:shd w:val="clear" w:color="auto" w:fill="2E74B5"/>
          </w:tcPr>
          <w:p>
            <w:r>
              <w:rPr>
                <w:rFonts w:ascii="Meiryo UI" w:hAnsi="Meiryo UI"/>
                <w:b/>
                <w:color w:val="FFFFFF"/>
                <w:sz w:val="18"/>
              </w:rPr>
              <w:t>超過ROE</w:t>
            </w:r>
          </w:p>
        </w:tc>
        <w:tc>
          <w:tcPr>
            <w:tcW w:type="dxa" w:w="1568"/>
            <w:shd w:val="clear" w:color="auto" w:fill="2E74B5"/>
          </w:tcPr>
          <w:p>
            <w:r>
              <w:rPr>
                <w:rFonts w:ascii="Meiryo UI" w:hAnsi="Meiryo UI"/>
                <w:b/>
                <w:color w:val="FFFFFF"/>
                <w:sz w:val="18"/>
              </w:rPr>
              <w:t>PV（超過収益）</w:t>
            </w:r>
          </w:p>
        </w:tc>
        <w:tc>
          <w:tcPr>
            <w:tcW w:type="dxa" w:w="1568"/>
            <w:shd w:val="clear" w:color="auto" w:fill="2E74B5"/>
          </w:tcPr>
          <w:p>
            <w:r>
              <w:rPr>
                <w:rFonts w:ascii="Meiryo UI" w:hAnsi="Meiryo UI"/>
                <w:b/>
                <w:color w:val="FFFFFF"/>
                <w:sz w:val="18"/>
              </w:rPr>
              <w:t>理論PBR</w:t>
            </w:r>
          </w:p>
        </w:tc>
        <w:tc>
          <w:tcPr>
            <w:tcW w:type="dxa" w:w="1568"/>
            <w:shd w:val="clear" w:color="auto" w:fill="2E74B5"/>
          </w:tcPr>
          <w:p>
            <w:r>
              <w:rPr>
                <w:rFonts w:ascii="Meiryo UI" w:hAnsi="Meiryo UI"/>
                <w:b/>
                <w:color w:val="FFFFFF"/>
                <w:sz w:val="18"/>
              </w:rPr>
              <w:t>理論株価</w:t>
            </w:r>
          </w:p>
        </w:tc>
      </w:tr>
      <w:tr>
        <w:tc>
          <w:tcPr>
            <w:tcW w:type="dxa" w:w="1568"/>
          </w:tcPr>
          <w:p>
            <w:r>
              <w:rPr>
                <w:rFonts w:ascii="Meiryo UI" w:hAnsi="Meiryo UI"/>
                <w:sz w:val="18"/>
              </w:rPr>
              <w:t>弱気</w:t>
            </w:r>
          </w:p>
        </w:tc>
        <w:tc>
          <w:tcPr>
            <w:tcW w:type="dxa" w:w="1568"/>
          </w:tcPr>
          <w:p>
            <w:r>
              <w:rPr>
                <w:rFonts w:ascii="Meiryo UI" w:hAnsi="Meiryo UI"/>
                <w:sz w:val="18"/>
              </w:rPr>
              <w:t>6.5%</w:t>
            </w:r>
          </w:p>
        </w:tc>
        <w:tc>
          <w:tcPr>
            <w:tcW w:type="dxa" w:w="1568"/>
          </w:tcPr>
          <w:p>
            <w:r>
              <w:rPr>
                <w:rFonts w:ascii="Meiryo UI" w:hAnsi="Meiryo UI"/>
                <w:sz w:val="18"/>
              </w:rPr>
              <w:t>▲1.1%</w:t>
            </w:r>
          </w:p>
        </w:tc>
        <w:tc>
          <w:tcPr>
            <w:tcW w:type="dxa" w:w="1568"/>
          </w:tcPr>
          <w:p>
            <w:r>
              <w:rPr>
                <w:rFonts w:ascii="Meiryo UI" w:hAnsi="Meiryo UI"/>
                <w:sz w:val="18"/>
              </w:rPr>
              <w:t>▲¥208</w:t>
            </w:r>
          </w:p>
        </w:tc>
        <w:tc>
          <w:tcPr>
            <w:tcW w:type="dxa" w:w="1568"/>
          </w:tcPr>
          <w:p>
            <w:r>
              <w:rPr>
                <w:rFonts w:ascii="Meiryo UI" w:hAnsi="Meiryo UI"/>
                <w:sz w:val="18"/>
              </w:rPr>
              <w:t>0.89倍</w:t>
            </w:r>
          </w:p>
        </w:tc>
        <w:tc>
          <w:tcPr>
            <w:tcW w:type="dxa" w:w="1568"/>
          </w:tcPr>
          <w:p>
            <w:r>
              <w:rPr>
                <w:rFonts w:ascii="Meiryo UI" w:hAnsi="Meiryo UI"/>
                <w:sz w:val="18"/>
              </w:rPr>
              <w:t>¥1,677</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7.8%</w:t>
            </w:r>
          </w:p>
        </w:tc>
        <w:tc>
          <w:tcPr>
            <w:tcW w:type="dxa" w:w="1568"/>
            <w:shd w:val="clear" w:color="auto" w:fill="DDEBF7"/>
          </w:tcPr>
          <w:p>
            <w:r>
              <w:rPr>
                <w:rFonts w:ascii="Meiryo UI" w:hAnsi="Meiryo UI"/>
                <w:sz w:val="18"/>
              </w:rPr>
              <w:t>+0.2%</w:t>
            </w:r>
          </w:p>
        </w:tc>
        <w:tc>
          <w:tcPr>
            <w:tcW w:type="dxa" w:w="1568"/>
            <w:shd w:val="clear" w:color="auto" w:fill="DDEBF7"/>
          </w:tcPr>
          <w:p>
            <w:r>
              <w:rPr>
                <w:rFonts w:ascii="Meiryo UI" w:hAnsi="Meiryo UI"/>
                <w:sz w:val="18"/>
              </w:rPr>
              <w:t>+¥38</w:t>
            </w:r>
          </w:p>
        </w:tc>
        <w:tc>
          <w:tcPr>
            <w:tcW w:type="dxa" w:w="1568"/>
            <w:shd w:val="clear" w:color="auto" w:fill="DDEBF7"/>
          </w:tcPr>
          <w:p>
            <w:r>
              <w:rPr>
                <w:rFonts w:ascii="Meiryo UI" w:hAnsi="Meiryo UI"/>
                <w:sz w:val="18"/>
              </w:rPr>
              <w:t>1.02倍</w:t>
            </w:r>
          </w:p>
        </w:tc>
        <w:tc>
          <w:tcPr>
            <w:tcW w:type="dxa" w:w="1568"/>
            <w:shd w:val="clear" w:color="auto" w:fill="DDEBF7"/>
          </w:tcPr>
          <w:p>
            <w:r>
              <w:rPr>
                <w:rFonts w:ascii="Meiryo UI" w:hAnsi="Meiryo UI"/>
                <w:sz w:val="18"/>
              </w:rPr>
              <w:t>¥1,923</w:t>
            </w:r>
          </w:p>
        </w:tc>
      </w:tr>
      <w:tr>
        <w:tc>
          <w:tcPr>
            <w:tcW w:type="dxa" w:w="1568"/>
          </w:tcPr>
          <w:p>
            <w:r>
              <w:rPr>
                <w:rFonts w:ascii="Meiryo UI" w:hAnsi="Meiryo UI"/>
                <w:sz w:val="18"/>
              </w:rPr>
              <w:t>強気</w:t>
            </w:r>
          </w:p>
        </w:tc>
        <w:tc>
          <w:tcPr>
            <w:tcW w:type="dxa" w:w="1568"/>
          </w:tcPr>
          <w:p>
            <w:r>
              <w:rPr>
                <w:rFonts w:ascii="Meiryo UI" w:hAnsi="Meiryo UI"/>
                <w:sz w:val="18"/>
              </w:rPr>
              <w:t>9.0%</w:t>
            </w:r>
          </w:p>
        </w:tc>
        <w:tc>
          <w:tcPr>
            <w:tcW w:type="dxa" w:w="1568"/>
          </w:tcPr>
          <w:p>
            <w:r>
              <w:rPr>
                <w:rFonts w:ascii="Meiryo UI" w:hAnsi="Meiryo UI"/>
                <w:sz w:val="18"/>
              </w:rPr>
              <w:t>+1.4%</w:t>
            </w:r>
          </w:p>
        </w:tc>
        <w:tc>
          <w:tcPr>
            <w:tcW w:type="dxa" w:w="1568"/>
          </w:tcPr>
          <w:p>
            <w:r>
              <w:rPr>
                <w:rFonts w:ascii="Meiryo UI" w:hAnsi="Meiryo UI"/>
                <w:sz w:val="18"/>
              </w:rPr>
              <w:t>+¥263</w:t>
            </w:r>
          </w:p>
        </w:tc>
        <w:tc>
          <w:tcPr>
            <w:tcW w:type="dxa" w:w="1568"/>
          </w:tcPr>
          <w:p>
            <w:r>
              <w:rPr>
                <w:rFonts w:ascii="Meiryo UI" w:hAnsi="Meiryo UI"/>
                <w:sz w:val="18"/>
              </w:rPr>
              <w:t>1.14倍</w:t>
            </w:r>
          </w:p>
        </w:tc>
        <w:tc>
          <w:tcPr>
            <w:tcW w:type="dxa" w:w="1568"/>
          </w:tcPr>
          <w:p>
            <w:r>
              <w:rPr>
                <w:rFonts w:ascii="Meiryo UI" w:hAnsi="Meiryo UI"/>
                <w:sz w:val="18"/>
              </w:rPr>
              <w:t>¥2,149</w:t>
            </w:r>
          </w:p>
        </w:tc>
      </w:tr>
    </w:tbl>
    <w:p/>
    <w:p>
      <w:r>
        <w:rPr>
          <w:rFonts w:ascii="Meiryo UI" w:hAnsi="Meiryo UI"/>
          <w:sz w:val="20"/>
        </w:rPr>
        <w:t>&gt; 注： 超過収益モデルは現在の低ROE状態をそのまま反映するため、純粋BPS+超過収益では現株価¥2,850を正当化できない。これは市場がROE改善期待の先取りをしていることを示す。</w:t>
      </w:r>
    </w:p>
    <w:p/>
    <w:p>
      <w:pPr>
        <w:pStyle w:val="Heading3"/>
      </w:pPr>
      <w:r>
        <w:rPr>
          <w:rFonts w:ascii="Meiryo UI" w:hAnsi="Meiryo UI"/>
          <w:color w:val="2E74B5"/>
        </w:rPr>
        <w:t>4-4. 総合バリュエーション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モデル</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重み</w:t>
            </w:r>
          </w:p>
        </w:tc>
      </w:tr>
      <w:tr>
        <w:tc>
          <w:tcPr>
            <w:tcW w:type="dxa" w:w="3135"/>
          </w:tcPr>
          <w:p>
            <w:r>
              <w:rPr>
                <w:rFonts w:ascii="Meiryo UI" w:hAnsi="Meiryo UI"/>
                <w:sz w:val="18"/>
              </w:rPr>
              <w:t>修正総還元DDM</w:t>
            </w:r>
          </w:p>
        </w:tc>
        <w:tc>
          <w:tcPr>
            <w:tcW w:type="dxa" w:w="3135"/>
          </w:tcPr>
          <w:p>
            <w:r>
              <w:rPr>
                <w:rFonts w:ascii="Meiryo UI" w:hAnsi="Meiryo UI"/>
                <w:sz w:val="18"/>
              </w:rPr>
              <w:t>¥2,103</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超過収益（基本）</w:t>
            </w:r>
          </w:p>
        </w:tc>
        <w:tc>
          <w:tcPr>
            <w:tcW w:type="dxa" w:w="3135"/>
            <w:shd w:val="clear" w:color="auto" w:fill="DDEBF7"/>
          </w:tcPr>
          <w:p>
            <w:r>
              <w:rPr>
                <w:rFonts w:ascii="Meiryo UI" w:hAnsi="Meiryo UI"/>
                <w:sz w:val="18"/>
              </w:rPr>
              <w:t>¥1,923</w:t>
            </w:r>
          </w:p>
        </w:tc>
        <w:tc>
          <w:tcPr>
            <w:tcW w:type="dxa" w:w="3135"/>
            <w:shd w:val="clear" w:color="auto" w:fill="DDEBF7"/>
          </w:tcPr>
          <w:p>
            <w:r>
              <w:rPr>
                <w:rFonts w:ascii="Meiryo UI" w:hAnsi="Meiryo UI"/>
                <w:sz w:val="18"/>
              </w:rPr>
              <w:t>20%</w:t>
            </w:r>
          </w:p>
        </w:tc>
      </w:tr>
      <w:tr>
        <w:tc>
          <w:tcPr>
            <w:tcW w:type="dxa" w:w="3135"/>
          </w:tcPr>
          <w:p>
            <w:r>
              <w:rPr>
                <w:rFonts w:ascii="Meiryo UI" w:hAnsi="Meiryo UI"/>
                <w:sz w:val="18"/>
              </w:rPr>
              <w:t>PER法（EPS×目標倍率18倍）</w:t>
            </w:r>
          </w:p>
        </w:tc>
        <w:tc>
          <w:tcPr>
            <w:tcW w:type="dxa" w:w="3135"/>
          </w:tcPr>
          <w:p>
            <w:r>
              <w:rPr>
                <w:rFonts w:ascii="Meiryo UI" w:hAnsi="Meiryo UI"/>
                <w:sz w:val="18"/>
              </w:rPr>
              <w:t>¥3,024</w:t>
            </w:r>
          </w:p>
        </w:tc>
        <w:tc>
          <w:tcPr>
            <w:tcW w:type="dxa" w:w="3135"/>
          </w:tcPr>
          <w:p>
            <w:r>
              <w:rPr>
                <w:rFonts w:ascii="Meiryo UI" w:hAnsi="Meiryo UI"/>
                <w:sz w:val="18"/>
              </w:rPr>
              <w:t>30%</w:t>
            </w:r>
          </w:p>
        </w:tc>
      </w:tr>
      <w:tr>
        <w:tc>
          <w:tcPr>
            <w:tcW w:type="dxa" w:w="3135"/>
            <w:shd w:val="clear" w:color="auto" w:fill="DDEBF7"/>
          </w:tcPr>
          <w:p>
            <w:r>
              <w:rPr>
                <w:rFonts w:ascii="Meiryo UI" w:hAnsi="Meiryo UI"/>
                <w:sz w:val="18"/>
              </w:rPr>
              <w:t>PBR法（目標PBR1.4倍×BPS¥1,885）</w:t>
            </w:r>
          </w:p>
        </w:tc>
        <w:tc>
          <w:tcPr>
            <w:tcW w:type="dxa" w:w="3135"/>
            <w:shd w:val="clear" w:color="auto" w:fill="DDEBF7"/>
          </w:tcPr>
          <w:p>
            <w:r>
              <w:rPr>
                <w:rFonts w:ascii="Meiryo UI" w:hAnsi="Meiryo UI"/>
                <w:sz w:val="18"/>
              </w:rPr>
              <w:t>¥2,639</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アナリストコンセンサス比較調整</w:t>
            </w:r>
          </w:p>
        </w:tc>
        <w:tc>
          <w:tcPr>
            <w:tcW w:type="dxa" w:w="3135"/>
          </w:tcPr>
          <w:p>
            <w:r>
              <w:rPr>
                <w:rFonts w:ascii="Meiryo UI" w:hAnsi="Meiryo UI"/>
                <w:sz w:val="18"/>
              </w:rPr>
              <w:t>¥3,200</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加重平均理論株価</w:t>
            </w:r>
          </w:p>
        </w:tc>
        <w:tc>
          <w:tcPr>
            <w:tcW w:type="dxa" w:w="3135"/>
            <w:shd w:val="clear" w:color="auto" w:fill="DDEBF7"/>
          </w:tcPr>
          <w:p>
            <w:r>
              <w:rPr>
                <w:rFonts w:ascii="Meiryo UI" w:hAnsi="Meiryo UI"/>
                <w:sz w:val="18"/>
              </w:rPr>
              <w:t>¥2,657〜¥2,720</w:t>
            </w:r>
          </w:p>
        </w:tc>
        <w:tc>
          <w:tcPr>
            <w:tcW w:type="dxa" w:w="3135"/>
            <w:shd w:val="clear" w:color="auto" w:fill="DDEBF7"/>
          </w:tcPr>
          <w:p>
            <w:r>
              <w:rPr>
                <w:rFonts w:ascii="Meiryo UI" w:hAnsi="Meiryo UI"/>
                <w:sz w:val="18"/>
              </w:rPr>
              <w:t>100%</w:t>
            </w:r>
          </w:p>
        </w:tc>
      </w:tr>
    </w:tbl>
    <w:p/>
    <w:p>
      <w:r>
        <w:rPr>
          <w:rFonts w:ascii="Meiryo UI" w:hAnsi="Meiryo UI"/>
          <w:sz w:val="20"/>
        </w:rPr>
        <w:t>&gt; 市場コンセンサス（推定¥3,200）は楽観的すぎる一方、DCFは保守的。現株価¥2,850はこの中間に位置しており、理論的にはやや割高〜中立域。</w:t>
      </w:r>
    </w:p>
    <w:p/>
    <w:p>
      <w:pPr>
        <w:pStyle w:val="Heading3"/>
      </w:pPr>
      <w:r>
        <w:rPr>
          <w:rFonts w:ascii="Meiryo UI" w:hAnsi="Meiryo UI"/>
          <w:color w:val="2E74B5"/>
        </w:rPr>
        <w:t>4-5. バリュエーション調整：センチメント・カタリストプレミアム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調整要因</w:t>
            </w:r>
          </w:p>
        </w:tc>
        <w:tc>
          <w:tcPr>
            <w:tcW w:type="dxa" w:w="4703"/>
            <w:shd w:val="clear" w:color="auto" w:fill="2E74B5"/>
          </w:tcPr>
          <w:p>
            <w:r>
              <w:rPr>
                <w:rFonts w:ascii="Meiryo UI" w:hAnsi="Meiryo UI"/>
                <w:b/>
                <w:color w:val="FFFFFF"/>
                <w:sz w:val="18"/>
              </w:rPr>
              <w:t>プレミアム/ディスカウント</w:t>
            </w:r>
          </w:p>
        </w:tc>
      </w:tr>
      <w:tr>
        <w:tc>
          <w:tcPr>
            <w:tcW w:type="dxa" w:w="4703"/>
          </w:tcPr>
          <w:p>
            <w:r>
              <w:rPr>
                <w:rFonts w:ascii="Meiryo UI" w:hAnsi="Meiryo UI"/>
                <w:sz w:val="18"/>
              </w:rPr>
              <w:t>BOJ利上げ再開期待（5〜6月）</w:t>
            </w:r>
          </w:p>
        </w:tc>
        <w:tc>
          <w:tcPr>
            <w:tcW w:type="dxa" w:w="4703"/>
          </w:tcPr>
          <w:p>
            <w:r>
              <w:rPr>
                <w:rFonts w:ascii="Meiryo UI" w:hAnsi="Meiryo UI"/>
                <w:sz w:val="18"/>
              </w:rPr>
              <w:t>+¥200〜300</w:t>
            </w:r>
          </w:p>
        </w:tc>
      </w:tr>
      <w:tr>
        <w:tc>
          <w:tcPr>
            <w:tcW w:type="dxa" w:w="4703"/>
            <w:shd w:val="clear" w:color="auto" w:fill="DDEBF7"/>
          </w:tcPr>
          <w:p>
            <w:r>
              <w:rPr>
                <w:rFonts w:ascii="Meiryo UI" w:hAnsi="Meiryo UI"/>
                <w:sz w:val="18"/>
              </w:rPr>
              <w:t>東証PBR改善要請×自社株買い</w:t>
            </w:r>
          </w:p>
        </w:tc>
        <w:tc>
          <w:tcPr>
            <w:tcW w:type="dxa" w:w="4703"/>
            <w:shd w:val="clear" w:color="auto" w:fill="DDEBF7"/>
          </w:tcPr>
          <w:p>
            <w:r>
              <w:rPr>
                <w:rFonts w:ascii="Meiryo UI" w:hAnsi="Meiryo UI"/>
                <w:sz w:val="18"/>
              </w:rPr>
              <w:t>+¥150〜200</w:t>
            </w:r>
          </w:p>
        </w:tc>
      </w:tr>
      <w:tr>
        <w:tc>
          <w:tcPr>
            <w:tcW w:type="dxa" w:w="4703"/>
          </w:tcPr>
          <w:p>
            <w:r>
              <w:rPr>
                <w:rFonts w:ascii="Meiryo UI" w:hAnsi="Meiryo UI"/>
                <w:sz w:val="18"/>
              </w:rPr>
              <w:t>バフェット/日本株ナラティブ</w:t>
            </w:r>
          </w:p>
        </w:tc>
        <w:tc>
          <w:tcPr>
            <w:tcW w:type="dxa" w:w="4703"/>
          </w:tcPr>
          <w:p>
            <w:r>
              <w:rPr>
                <w:rFonts w:ascii="Meiryo UI" w:hAnsi="Meiryo UI"/>
                <w:sz w:val="18"/>
              </w:rPr>
              <w:t>+¥100〜150</w:t>
            </w:r>
          </w:p>
        </w:tc>
      </w:tr>
      <w:tr>
        <w:tc>
          <w:tcPr>
            <w:tcW w:type="dxa" w:w="4703"/>
            <w:shd w:val="clear" w:color="auto" w:fill="DDEBF7"/>
          </w:tcPr>
          <w:p>
            <w:r>
              <w:rPr>
                <w:rFonts w:ascii="Meiryo UI" w:hAnsi="Meiryo UI"/>
                <w:sz w:val="18"/>
              </w:rPr>
              <w:t>4月利上げ見送りディスカウント</w:t>
            </w:r>
          </w:p>
        </w:tc>
        <w:tc>
          <w:tcPr>
            <w:tcW w:type="dxa" w:w="4703"/>
            <w:shd w:val="clear" w:color="auto" w:fill="DDEBF7"/>
          </w:tcPr>
          <w:p>
            <w:r>
              <w:rPr>
                <w:rFonts w:ascii="Meiryo UI" w:hAnsi="Meiryo UI"/>
                <w:sz w:val="18"/>
              </w:rPr>
              <w:t>▲¥100〜150</w:t>
            </w:r>
          </w:p>
        </w:tc>
      </w:tr>
      <w:tr>
        <w:tc>
          <w:tcPr>
            <w:tcW w:type="dxa" w:w="4703"/>
          </w:tcPr>
          <w:p>
            <w:r>
              <w:rPr>
                <w:rFonts w:ascii="Meiryo UI" w:hAnsi="Meiryo UI"/>
                <w:sz w:val="18"/>
              </w:rPr>
              <w:t>ネット調整</w:t>
            </w:r>
          </w:p>
        </w:tc>
        <w:tc>
          <w:tcPr>
            <w:tcW w:type="dxa" w:w="4703"/>
          </w:tcPr>
          <w:p>
            <w:r>
              <w:rPr>
                <w:rFonts w:ascii="Meiryo UI" w:hAnsi="Meiryo UI"/>
                <w:sz w:val="18"/>
              </w:rPr>
              <w:t>+¥350〜500</w:t>
            </w:r>
          </w:p>
        </w:tc>
      </w:tr>
    </w:tbl>
    <w:p/>
    <w:p>
      <w:r>
        <w:rPr>
          <w:rFonts w:ascii="Meiryo UI" w:hAnsi="Meiryo UI"/>
          <w:sz w:val="20"/>
        </w:rPr>
        <w:t>最終理論株価レンジ：</w:t>
      </w:r>
    </w:p>
    <w:p/>
    <w:p>
      <w:pPr>
        <w:shd w:val="clear" w:color="auto" w:fill="F2F2F2"/>
      </w:pPr>
      <w:r>
        <w:rPr>
          <w:rFonts w:ascii="Courier New" w:hAnsi="Courier New"/>
          <w:sz w:val="16"/>
        </w:rPr>
        <w:t>保守的（弱気）: ¥2,657 + ¥350 × 50% = 約¥2,832 → ¥2,800</w:t>
        <w:br/>
        <w:t>基本: ¥2,720 + ¥430 = 約¥3,150 → ¥3,180</w:t>
        <w:br/>
        <w:t>楽観的（強気）: ¥2,720 + ¥600 = 約¥3,320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現値比</w:t>
            </w:r>
          </w:p>
        </w:tc>
      </w:tr>
      <w:tr>
        <w:tc>
          <w:tcPr>
            <w:tcW w:type="dxa" w:w="3135"/>
          </w:tcPr>
          <w:p>
            <w:r>
              <w:rPr>
                <w:rFonts w:ascii="Meiryo UI" w:hAnsi="Meiryo UI"/>
                <w:sz w:val="18"/>
              </w:rPr>
              <w:t>弱気</w:t>
            </w:r>
          </w:p>
        </w:tc>
        <w:tc>
          <w:tcPr>
            <w:tcW w:type="dxa" w:w="3135"/>
          </w:tcPr>
          <w:p>
            <w:r>
              <w:rPr>
                <w:rFonts w:ascii="Meiryo UI" w:hAnsi="Meiryo UI"/>
                <w:sz w:val="18"/>
              </w:rPr>
              <w:t>¥2,520</w:t>
            </w:r>
          </w:p>
        </w:tc>
        <w:tc>
          <w:tcPr>
            <w:tcW w:type="dxa" w:w="3135"/>
          </w:tcPr>
          <w:p>
            <w:r>
              <w:rPr>
                <w:rFonts w:ascii="Meiryo UI" w:hAnsi="Meiryo UI"/>
                <w:sz w:val="18"/>
              </w:rPr>
              <w:t>▲11.6%</w:t>
            </w:r>
          </w:p>
        </w:tc>
      </w:tr>
      <w:tr>
        <w:tc>
          <w:tcPr>
            <w:tcW w:type="dxa" w:w="3135"/>
            <w:shd w:val="clear" w:color="auto" w:fill="DDEBF7"/>
          </w:tcPr>
          <w:p>
            <w:r>
              <w:rPr>
                <w:rFonts w:ascii="Meiryo UI" w:hAnsi="Meiryo UI"/>
                <w:sz w:val="18"/>
              </w:rPr>
              <w:t>基本（メイン）</w:t>
            </w:r>
          </w:p>
        </w:tc>
        <w:tc>
          <w:tcPr>
            <w:tcW w:type="dxa" w:w="3135"/>
            <w:shd w:val="clear" w:color="auto" w:fill="DDEBF7"/>
          </w:tcPr>
          <w:p>
            <w:r>
              <w:rPr>
                <w:rFonts w:ascii="Meiryo UI" w:hAnsi="Meiryo UI"/>
                <w:sz w:val="18"/>
              </w:rPr>
              <w:t>¥3,180</w:t>
            </w:r>
          </w:p>
        </w:tc>
        <w:tc>
          <w:tcPr>
            <w:tcW w:type="dxa" w:w="3135"/>
            <w:shd w:val="clear" w:color="auto" w:fill="DDEBF7"/>
          </w:tcPr>
          <w:p>
            <w:r>
              <w:rPr>
                <w:rFonts w:ascii="Meiryo UI" w:hAnsi="Meiryo UI"/>
                <w:sz w:val="18"/>
              </w:rPr>
              <w:t>+11.6%</w:t>
            </w:r>
          </w:p>
        </w:tc>
      </w:tr>
      <w:tr>
        <w:tc>
          <w:tcPr>
            <w:tcW w:type="dxa" w:w="3135"/>
          </w:tcPr>
          <w:p>
            <w:r>
              <w:rPr>
                <w:rFonts w:ascii="Meiryo UI" w:hAnsi="Meiryo UI"/>
                <w:sz w:val="18"/>
              </w:rPr>
              <w:t>強気</w:t>
            </w:r>
          </w:p>
        </w:tc>
        <w:tc>
          <w:tcPr>
            <w:tcW w:type="dxa" w:w="3135"/>
          </w:tcPr>
          <w:p>
            <w:r>
              <w:rPr>
                <w:rFonts w:ascii="Meiryo UI" w:hAnsi="Meiryo UI"/>
                <w:sz w:val="18"/>
              </w:rPr>
              <w:t>¥3,320</w:t>
            </w:r>
          </w:p>
        </w:tc>
        <w:tc>
          <w:tcPr>
            <w:tcW w:type="dxa" w:w="3135"/>
          </w:tcPr>
          <w:p>
            <w:r>
              <w:rPr>
                <w:rFonts w:ascii="Meiryo UI" w:hAnsi="Meiryo UI"/>
                <w:sz w:val="18"/>
              </w:rPr>
              <w:t>+16.5%</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投資判断</w:t>
      </w:r>
    </w:p>
    <w:p/>
    <w:p>
      <w:r>
        <w:rPr>
          <w:rFonts w:ascii="Meiryo UI" w:hAnsi="Meiryo UI"/>
          <w:sz w:val="20"/>
        </w:rPr>
        <w:t>評価：【中立→戦術的買い待機】（強い買い / 買い待機 / 中立 / 売り / 強い売り）</w:t>
      </w:r>
    </w:p>
    <w:p/>
    <w:p>
      <w:pPr>
        <w:pStyle w:val="Heading3"/>
      </w:pPr>
      <w:r>
        <w:rPr>
          <w:rFonts w:ascii="Meiryo UI" w:hAnsi="Meiryo UI"/>
          <w:color w:val="2E74B5"/>
        </w:rPr>
        <w:t>5-2. 安全域（Margin of Safety）分析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基本シナリオ理論株価</w:t>
            </w:r>
          </w:p>
        </w:tc>
        <w:tc>
          <w:tcPr>
            <w:tcW w:type="dxa" w:w="4703"/>
          </w:tcPr>
          <w:p>
            <w:r>
              <w:rPr>
                <w:rFonts w:ascii="Meiryo UI" w:hAnsi="Meiryo UI"/>
                <w:sz w:val="18"/>
              </w:rPr>
              <w:t>¥3,180</w:t>
            </w:r>
          </w:p>
        </w:tc>
      </w:tr>
      <w:tr>
        <w:tc>
          <w:tcPr>
            <w:tcW w:type="dxa" w:w="4703"/>
            <w:shd w:val="clear" w:color="auto" w:fill="DDEBF7"/>
          </w:tcPr>
          <w:p>
            <w:r>
              <w:rPr>
                <w:rFonts w:ascii="Meiryo UI" w:hAnsi="Meiryo UI"/>
                <w:sz w:val="18"/>
              </w:rPr>
              <w:t>安全域30%割引</w:t>
            </w:r>
          </w:p>
        </w:tc>
        <w:tc>
          <w:tcPr>
            <w:tcW w:type="dxa" w:w="4703"/>
            <w:shd w:val="clear" w:color="auto" w:fill="DDEBF7"/>
          </w:tcPr>
          <w:p>
            <w:r>
              <w:rPr>
                <w:rFonts w:ascii="Meiryo UI" w:hAnsi="Meiryo UI"/>
                <w:sz w:val="18"/>
              </w:rPr>
              <w:t>¥2,226</w:t>
            </w:r>
          </w:p>
        </w:tc>
      </w:tr>
      <w:tr>
        <w:tc>
          <w:tcPr>
            <w:tcW w:type="dxa" w:w="4703"/>
          </w:tcPr>
          <w:p>
            <w:r>
              <w:rPr>
                <w:rFonts w:ascii="Meiryo UI" w:hAnsi="Meiryo UI"/>
                <w:sz w:val="18"/>
              </w:rPr>
              <w:t>安全域20%割引</w:t>
            </w:r>
          </w:p>
        </w:tc>
        <w:tc>
          <w:tcPr>
            <w:tcW w:type="dxa" w:w="4703"/>
          </w:tcPr>
          <w:p>
            <w:r>
              <w:rPr>
                <w:rFonts w:ascii="Meiryo UI" w:hAnsi="Meiryo UI"/>
                <w:sz w:val="18"/>
              </w:rPr>
              <w:t>¥2,544</w:t>
            </w:r>
          </w:p>
        </w:tc>
      </w:tr>
      <w:tr>
        <w:tc>
          <w:tcPr>
            <w:tcW w:type="dxa" w:w="4703"/>
            <w:shd w:val="clear" w:color="auto" w:fill="DDEBF7"/>
          </w:tcPr>
          <w:p>
            <w:r>
              <w:rPr>
                <w:rFonts w:ascii="Meiryo UI" w:hAnsi="Meiryo UI"/>
                <w:sz w:val="18"/>
              </w:rPr>
              <w:t>安全域15%割引（実質的買いゾーン）</w:t>
            </w:r>
          </w:p>
        </w:tc>
        <w:tc>
          <w:tcPr>
            <w:tcW w:type="dxa" w:w="4703"/>
            <w:shd w:val="clear" w:color="auto" w:fill="DDEBF7"/>
          </w:tcPr>
          <w:p>
            <w:r>
              <w:rPr>
                <w:rFonts w:ascii="Meiryo UI" w:hAnsi="Meiryo UI"/>
                <w:sz w:val="18"/>
              </w:rPr>
              <w:t>¥2,703</w:t>
            </w:r>
          </w:p>
        </w:tc>
      </w:tr>
      <w:tr>
        <w:tc>
          <w:tcPr>
            <w:tcW w:type="dxa" w:w="4703"/>
          </w:tcPr>
          <w:p>
            <w:r>
              <w:rPr>
                <w:rFonts w:ascii="Meiryo UI" w:hAnsi="Meiryo UI"/>
                <w:sz w:val="18"/>
              </w:rPr>
              <w:t>現在株価</w:t>
            </w:r>
          </w:p>
        </w:tc>
        <w:tc>
          <w:tcPr>
            <w:tcW w:type="dxa" w:w="4703"/>
          </w:tcPr>
          <w:p>
            <w:r>
              <w:rPr>
                <w:rFonts w:ascii="Meiryo UI" w:hAnsi="Meiryo UI"/>
                <w:sz w:val="18"/>
              </w:rPr>
              <w:t>¥2,850</w:t>
            </w:r>
          </w:p>
        </w:tc>
      </w:tr>
      <w:tr>
        <w:tc>
          <w:tcPr>
            <w:tcW w:type="dxa" w:w="4703"/>
            <w:shd w:val="clear" w:color="auto" w:fill="DDEBF7"/>
          </w:tcPr>
          <w:p>
            <w:r>
              <w:rPr>
                <w:rFonts w:ascii="Meiryo UI" w:hAnsi="Meiryo UI"/>
                <w:sz w:val="18"/>
              </w:rPr>
              <w:t>現値での安全域</w:t>
            </w:r>
          </w:p>
        </w:tc>
        <w:tc>
          <w:tcPr>
            <w:tcW w:type="dxa" w:w="4703"/>
            <w:shd w:val="clear" w:color="auto" w:fill="DDEBF7"/>
          </w:tcPr>
          <w:p>
            <w:r>
              <w:rPr>
                <w:rFonts w:ascii="Meiryo UI" w:hAnsi="Meiryo UI"/>
                <w:sz w:val="18"/>
              </w:rPr>
              <w:t>▲10.4%（理論値への乖離）</w:t>
            </w:r>
          </w:p>
        </w:tc>
      </w:tr>
    </w:tbl>
    <w:p/>
    <w:p>
      <w:r>
        <w:rPr>
          <w:rFonts w:ascii="Meiryo UI" w:hAnsi="Meiryo UI"/>
          <w:sz w:val="20"/>
        </w:rPr>
        <w:t>&gt; 現在値¥2,850では安全域が十分でない。¥2,700〜¥2,800ゾーンへの調整時が理想的エントリー。</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3ケース詳細</w:t>
      </w:r>
    </w:p>
    <w:p/>
    <w:p>
      <w:pPr>
        <w:pStyle w:val="Heading4"/>
      </w:pPr>
      <w:r>
        <w:rPr>
          <w:rFonts w:ascii="Meiryo UI" w:hAnsi="Meiryo UI"/>
          <w:color w:val="2E74B5"/>
        </w:rPr>
        <w:t>📈 強気シナリオ（確率：25%）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BOJ政策</w:t>
            </w:r>
          </w:p>
        </w:tc>
        <w:tc>
          <w:tcPr>
            <w:tcW w:type="dxa" w:w="4703"/>
          </w:tcPr>
          <w:p>
            <w:r>
              <w:rPr>
                <w:rFonts w:ascii="Meiryo UI" w:hAnsi="Meiryo UI"/>
                <w:sz w:val="18"/>
              </w:rPr>
              <w:t>6月+25bp、10月+25bp（計+50bp追加）</w:t>
            </w:r>
          </w:p>
        </w:tc>
      </w:tr>
      <w:tr>
        <w:tc>
          <w:tcPr>
            <w:tcW w:type="dxa" w:w="4703"/>
            <w:shd w:val="clear" w:color="auto" w:fill="DDEBF7"/>
          </w:tcPr>
          <w:p>
            <w:r>
              <w:rPr>
                <w:rFonts w:ascii="Meiryo UI" w:hAnsi="Meiryo UI"/>
                <w:sz w:val="18"/>
              </w:rPr>
              <w:t>EPS（FY2026）</w:t>
            </w:r>
          </w:p>
        </w:tc>
        <w:tc>
          <w:tcPr>
            <w:tcW w:type="dxa" w:w="4703"/>
            <w:shd w:val="clear" w:color="auto" w:fill="DDEBF7"/>
          </w:tcPr>
          <w:p>
            <w:r>
              <w:rPr>
                <w:rFonts w:ascii="Meiryo UI" w:hAnsi="Meiryo UI"/>
                <w:sz w:val="18"/>
              </w:rPr>
              <w:t>¥195〜205</w:t>
            </w:r>
          </w:p>
        </w:tc>
      </w:tr>
      <w:tr>
        <w:tc>
          <w:tcPr>
            <w:tcW w:type="dxa" w:w="4703"/>
          </w:tcPr>
          <w:p>
            <w:r>
              <w:rPr>
                <w:rFonts w:ascii="Meiryo UI" w:hAnsi="Meiryo UI"/>
                <w:sz w:val="18"/>
              </w:rPr>
              <w:t>ROE</w:t>
            </w:r>
          </w:p>
        </w:tc>
        <w:tc>
          <w:tcPr>
            <w:tcW w:type="dxa" w:w="4703"/>
          </w:tcPr>
          <w:p>
            <w:r>
              <w:rPr>
                <w:rFonts w:ascii="Meiryo UI" w:hAnsi="Meiryo UI"/>
                <w:sz w:val="18"/>
              </w:rPr>
              <w:t>8.5〜9.0%</w:t>
            </w:r>
          </w:p>
        </w:tc>
      </w:tr>
      <w:tr>
        <w:tc>
          <w:tcPr>
            <w:tcW w:type="dxa" w:w="4703"/>
            <w:shd w:val="clear" w:color="auto" w:fill="DDEBF7"/>
          </w:tcPr>
          <w:p>
            <w:r>
              <w:rPr>
                <w:rFonts w:ascii="Meiryo UI" w:hAnsi="Meiryo UI"/>
                <w:sz w:val="18"/>
              </w:rPr>
              <w:t>目標PBR</w:t>
            </w:r>
          </w:p>
        </w:tc>
        <w:tc>
          <w:tcPr>
            <w:tcW w:type="dxa" w:w="4703"/>
            <w:shd w:val="clear" w:color="auto" w:fill="DDEBF7"/>
          </w:tcPr>
          <w:p>
            <w:r>
              <w:rPr>
                <w:rFonts w:ascii="Meiryo UI" w:hAnsi="Meiryo UI"/>
                <w:sz w:val="18"/>
              </w:rPr>
              <w:t>1.65〜1.70倍</w:t>
            </w:r>
          </w:p>
        </w:tc>
      </w:tr>
      <w:tr>
        <w:tc>
          <w:tcPr>
            <w:tcW w:type="dxa" w:w="4703"/>
          </w:tcPr>
          <w:p>
            <w:r>
              <w:rPr>
                <w:rFonts w:ascii="Meiryo UI" w:hAnsi="Meiryo UI"/>
                <w:sz w:val="18"/>
              </w:rPr>
              <w:t>理論株価</w:t>
            </w:r>
          </w:p>
        </w:tc>
        <w:tc>
          <w:tcPr>
            <w:tcW w:type="dxa" w:w="4703"/>
          </w:tcPr>
          <w:p>
            <w:r>
              <w:rPr>
                <w:rFonts w:ascii="Meiryo UI" w:hAnsi="Meiryo UI"/>
                <w:sz w:val="18"/>
              </w:rPr>
              <w:t>¥3,300〜3,500</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BOJ利上げ再開＋大幅増配（¥60〜65）＋追加自社株買い¥5,000億</w:t>
            </w:r>
          </w:p>
        </w:tc>
      </w:tr>
    </w:tbl>
    <w:p/>
    <w:p>
      <w:pPr>
        <w:pStyle w:val="Heading4"/>
      </w:pPr>
      <w:r>
        <w:rPr>
          <w:rFonts w:ascii="Meiryo UI" w:hAnsi="Meiryo UI"/>
          <w:color w:val="2E74B5"/>
        </w:rPr>
        <w:t>📊 基本シナリオ（確率：55%）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BOJ政策</w:t>
            </w:r>
          </w:p>
        </w:tc>
        <w:tc>
          <w:tcPr>
            <w:tcW w:type="dxa" w:w="4703"/>
          </w:tcPr>
          <w:p>
            <w:r>
              <w:rPr>
                <w:rFonts w:ascii="Meiryo UI" w:hAnsi="Meiryo UI"/>
                <w:sz w:val="18"/>
              </w:rPr>
              <w:t>6月+25bp（年1回）</w:t>
            </w:r>
          </w:p>
        </w:tc>
      </w:tr>
      <w:tr>
        <w:tc>
          <w:tcPr>
            <w:tcW w:type="dxa" w:w="4703"/>
            <w:shd w:val="clear" w:color="auto" w:fill="DDEBF7"/>
          </w:tcPr>
          <w:p>
            <w:r>
              <w:rPr>
                <w:rFonts w:ascii="Meiryo UI" w:hAnsi="Meiryo UI"/>
                <w:sz w:val="18"/>
              </w:rPr>
              <w:t>EPS（FY2026）</w:t>
            </w:r>
          </w:p>
        </w:tc>
        <w:tc>
          <w:tcPr>
            <w:tcW w:type="dxa" w:w="4703"/>
            <w:shd w:val="clear" w:color="auto" w:fill="DDEBF7"/>
          </w:tcPr>
          <w:p>
            <w:r>
              <w:rPr>
                <w:rFonts w:ascii="Meiryo UI" w:hAnsi="Meiryo UI"/>
                <w:sz w:val="18"/>
              </w:rPr>
              <w:t>¥180〜188</w:t>
            </w:r>
          </w:p>
        </w:tc>
      </w:tr>
      <w:tr>
        <w:tc>
          <w:tcPr>
            <w:tcW w:type="dxa" w:w="4703"/>
          </w:tcPr>
          <w:p>
            <w:r>
              <w:rPr>
                <w:rFonts w:ascii="Meiryo UI" w:hAnsi="Meiryo UI"/>
                <w:sz w:val="18"/>
              </w:rPr>
              <w:t>ROE</w:t>
            </w:r>
          </w:p>
        </w:tc>
        <w:tc>
          <w:tcPr>
            <w:tcW w:type="dxa" w:w="4703"/>
          </w:tcPr>
          <w:p>
            <w:r>
              <w:rPr>
                <w:rFonts w:ascii="Meiryo UI" w:hAnsi="Meiryo UI"/>
                <w:sz w:val="18"/>
              </w:rPr>
              <w:t>7.0〜7.5%</w:t>
            </w:r>
          </w:p>
        </w:tc>
      </w:tr>
      <w:tr>
        <w:tc>
          <w:tcPr>
            <w:tcW w:type="dxa" w:w="4703"/>
            <w:shd w:val="clear" w:color="auto" w:fill="DDEBF7"/>
          </w:tcPr>
          <w:p>
            <w:r>
              <w:rPr>
                <w:rFonts w:ascii="Meiryo UI" w:hAnsi="Meiryo UI"/>
                <w:sz w:val="18"/>
              </w:rPr>
              <w:t>目標PBR</w:t>
            </w:r>
          </w:p>
        </w:tc>
        <w:tc>
          <w:tcPr>
            <w:tcW w:type="dxa" w:w="4703"/>
            <w:shd w:val="clear" w:color="auto" w:fill="DDEBF7"/>
          </w:tcPr>
          <w:p>
            <w:r>
              <w:rPr>
                <w:rFonts w:ascii="Meiryo UI" w:hAnsi="Meiryo UI"/>
                <w:sz w:val="18"/>
              </w:rPr>
              <w:t>1.45〜1.55倍</w:t>
            </w:r>
          </w:p>
        </w:tc>
      </w:tr>
      <w:tr>
        <w:tc>
          <w:tcPr>
            <w:tcW w:type="dxa" w:w="4703"/>
          </w:tcPr>
          <w:p>
            <w:r>
              <w:rPr>
                <w:rFonts w:ascii="Meiryo UI" w:hAnsi="Meiryo UI"/>
                <w:sz w:val="18"/>
              </w:rPr>
              <w:t>理論株価</w:t>
            </w:r>
          </w:p>
        </w:tc>
        <w:tc>
          <w:tcPr>
            <w:tcW w:type="dxa" w:w="4703"/>
          </w:tcPr>
          <w:p>
            <w:r>
              <w:rPr>
                <w:rFonts w:ascii="Meiryo UI" w:hAnsi="Meiryo UI"/>
                <w:sz w:val="18"/>
              </w:rPr>
              <w:t>¥3,050〜3,320</w:t>
            </w:r>
          </w:p>
        </w:tc>
      </w:tr>
      <w:tr>
        <w:tc>
          <w:tcPr>
            <w:tcW w:type="dxa" w:w="4703"/>
            <w:shd w:val="clear" w:color="auto" w:fill="DDEBF7"/>
          </w:tcPr>
          <w:p>
            <w:r>
              <w:rPr>
                <w:rFonts w:ascii="Meiryo UI" w:hAnsi="Meiryo UI"/>
                <w:sz w:val="18"/>
              </w:rPr>
              <w:t>カタリスト</w:t>
            </w:r>
          </w:p>
        </w:tc>
        <w:tc>
          <w:tcPr>
            <w:tcW w:type="dxa" w:w="4703"/>
            <w:shd w:val="clear" w:color="auto" w:fill="DDEBF7"/>
          </w:tcPr>
          <w:p>
            <w:r>
              <w:rPr>
                <w:rFonts w:ascii="Meiryo UI" w:hAnsi="Meiryo UI"/>
                <w:sz w:val="18"/>
              </w:rPr>
              <w:t>5月本決算での還元強化、緩やかなNIM改善継続</w:t>
            </w:r>
          </w:p>
        </w:tc>
      </w:tr>
    </w:tbl>
    <w:p/>
    <w:p>
      <w:pPr>
        <w:pStyle w:val="Heading4"/>
      </w:pPr>
      <w:r>
        <w:rPr>
          <w:rFonts w:ascii="Meiryo UI" w:hAnsi="Meiryo UI"/>
          <w:color w:val="2E74B5"/>
        </w:rPr>
        <w:t>📉 弱気シナリオ（確率：20%）</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BOJ政策</w:t>
            </w:r>
          </w:p>
        </w:tc>
        <w:tc>
          <w:tcPr>
            <w:tcW w:type="dxa" w:w="4703"/>
          </w:tcPr>
          <w:p>
            <w:r>
              <w:rPr>
                <w:rFonts w:ascii="Meiryo UI" w:hAnsi="Meiryo UI"/>
                <w:sz w:val="18"/>
              </w:rPr>
              <w:t>2026年内利上げゼロ、2027年以降も不透明</w:t>
            </w:r>
          </w:p>
        </w:tc>
      </w:tr>
      <w:tr>
        <w:tc>
          <w:tcPr>
            <w:tcW w:type="dxa" w:w="4703"/>
            <w:shd w:val="clear" w:color="auto" w:fill="DDEBF7"/>
          </w:tcPr>
          <w:p>
            <w:r>
              <w:rPr>
                <w:rFonts w:ascii="Meiryo UI" w:hAnsi="Meiryo UI"/>
                <w:sz w:val="18"/>
              </w:rPr>
              <w:t>EPS（FY2026）</w:t>
            </w:r>
          </w:p>
        </w:tc>
        <w:tc>
          <w:tcPr>
            <w:tcW w:type="dxa" w:w="4703"/>
            <w:shd w:val="clear" w:color="auto" w:fill="DDEBF7"/>
          </w:tcPr>
          <w:p>
            <w:r>
              <w:rPr>
                <w:rFonts w:ascii="Meiryo UI" w:hAnsi="Meiryo UI"/>
                <w:sz w:val="18"/>
              </w:rPr>
              <w:t>¥152〜160（与信費用増）</w:t>
            </w:r>
          </w:p>
        </w:tc>
      </w:tr>
      <w:tr>
        <w:tc>
          <w:tcPr>
            <w:tcW w:type="dxa" w:w="4703"/>
          </w:tcPr>
          <w:p>
            <w:r>
              <w:rPr>
                <w:rFonts w:ascii="Meiryo UI" w:hAnsi="Meiryo UI"/>
                <w:sz w:val="18"/>
              </w:rPr>
              <w:t>ROE</w:t>
            </w:r>
          </w:p>
        </w:tc>
        <w:tc>
          <w:tcPr>
            <w:tcW w:type="dxa" w:w="4703"/>
          </w:tcPr>
          <w:p>
            <w:r>
              <w:rPr>
                <w:rFonts w:ascii="Meiryo UI" w:hAnsi="Meiryo UI"/>
                <w:sz w:val="18"/>
              </w:rPr>
              <w:t>5.5〜6.0%</w:t>
            </w:r>
          </w:p>
        </w:tc>
      </w:tr>
      <w:tr>
        <w:tc>
          <w:tcPr>
            <w:tcW w:type="dxa" w:w="4703"/>
            <w:shd w:val="clear" w:color="auto" w:fill="DDEBF7"/>
          </w:tcPr>
          <w:p>
            <w:r>
              <w:rPr>
                <w:rFonts w:ascii="Meiryo UI" w:hAnsi="Meiryo UI"/>
                <w:sz w:val="18"/>
              </w:rPr>
              <w:t>目標PBR</w:t>
            </w:r>
          </w:p>
        </w:tc>
        <w:tc>
          <w:tcPr>
            <w:tcW w:type="dxa" w:w="4703"/>
            <w:shd w:val="clear" w:color="auto" w:fill="DDEBF7"/>
          </w:tcPr>
          <w:p>
            <w:r>
              <w:rPr>
                <w:rFonts w:ascii="Meiryo UI" w:hAnsi="Meiryo UI"/>
                <w:sz w:val="18"/>
              </w:rPr>
              <w:t>1.20〜1.30倍</w:t>
            </w:r>
          </w:p>
        </w:tc>
      </w:tr>
      <w:tr>
        <w:tc>
          <w:tcPr>
            <w:tcW w:type="dxa" w:w="4703"/>
          </w:tcPr>
          <w:p>
            <w:r>
              <w:rPr>
                <w:rFonts w:ascii="Meiryo UI" w:hAnsi="Meiryo UI"/>
                <w:sz w:val="18"/>
              </w:rPr>
              <w:t>理論株価</w:t>
            </w:r>
          </w:p>
        </w:tc>
        <w:tc>
          <w:tcPr>
            <w:tcW w:type="dxa" w:w="4703"/>
          </w:tcPr>
          <w:p>
            <w:r>
              <w:rPr>
                <w:rFonts w:ascii="Meiryo UI" w:hAnsi="Meiryo UI"/>
                <w:sz w:val="18"/>
              </w:rPr>
              <w:t>¥2,262〜2,451</w:t>
            </w:r>
          </w:p>
        </w:tc>
      </w:tr>
      <w:tr>
        <w:tc>
          <w:tcPr>
            <w:tcW w:type="dxa" w:w="4703"/>
            <w:shd w:val="clear" w:color="auto" w:fill="DDEBF7"/>
          </w:tcPr>
          <w:p>
            <w:r>
              <w:rPr>
                <w:rFonts w:ascii="Meiryo UI" w:hAnsi="Meiryo UI"/>
                <w:sz w:val="18"/>
              </w:rPr>
              <w:t>リスク</w:t>
            </w:r>
          </w:p>
        </w:tc>
        <w:tc>
          <w:tcPr>
            <w:tcW w:type="dxa" w:w="4703"/>
            <w:shd w:val="clear" w:color="auto" w:fill="DDEBF7"/>
          </w:tcPr>
          <w:p>
            <w:r>
              <w:rPr>
                <w:rFonts w:ascii="Meiryo UI" w:hAnsi="Meiryo UI"/>
                <w:sz w:val="18"/>
              </w:rPr>
              <w:t>米景気後退→海外CIB収益悪化、円高進行、与信費用急増</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浅井速報スコア：+0（BUY）との整合性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センチメント</w:t>
            </w:r>
          </w:p>
        </w:tc>
        <w:tc>
          <w:tcPr>
            <w:tcW w:type="dxa" w:w="2351"/>
          </w:tcPr>
          <w:p>
            <w:r>
              <w:rPr>
                <w:rFonts w:ascii="Meiryo UI" w:hAnsi="Meiryo UI"/>
                <w:sz w:val="18"/>
              </w:rPr>
              <w:t>BUY（+0）</w:t>
            </w:r>
          </w:p>
        </w:tc>
        <w:tc>
          <w:tcPr>
            <w:tcW w:type="dxa" w:w="2351"/>
          </w:tcPr>
          <w:p>
            <w:r>
              <w:rPr>
                <w:rFonts w:ascii="Meiryo UI" w:hAnsi="Meiryo UI"/>
                <w:sz w:val="18"/>
              </w:rPr>
              <w:t>中立〜弱気</w:t>
            </w:r>
          </w:p>
        </w:tc>
        <w:tc>
          <w:tcPr>
            <w:tcW w:type="dxa" w:w="2351"/>
          </w:tcPr>
          <w:p>
            <w:r>
              <w:rPr>
                <w:rFonts w:ascii="Meiryo UI" w:hAnsi="Meiryo UI"/>
                <w:sz w:val="18"/>
              </w:rPr>
              <w:t>✅ 整合（即時BUYは時期尚早）</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¥3,000超示唆</w:t>
            </w:r>
          </w:p>
        </w:tc>
        <w:tc>
          <w:tcPr>
            <w:tcW w:type="dxa" w:w="2351"/>
            <w:shd w:val="clear" w:color="auto" w:fill="DDEBF7"/>
          </w:tcPr>
          <w:p>
            <w:r>
              <w:rPr>
                <w:rFonts w:ascii="Meiryo UI" w:hAnsi="Meiryo UI"/>
                <w:sz w:val="18"/>
              </w:rPr>
              <w:t>¥3,180（基本）</w:t>
            </w:r>
          </w:p>
        </w:tc>
        <w:tc>
          <w:tcPr>
            <w:tcW w:type="dxa" w:w="2351"/>
            <w:shd w:val="clear" w:color="auto" w:fill="DDEBF7"/>
          </w:tcPr>
          <w:p>
            <w:r>
              <w:rPr>
                <w:rFonts w:ascii="Meiryo UI" w:hAnsi="Meiryo UI"/>
                <w:sz w:val="18"/>
              </w:rPr>
              <w:t>✅ ほぼ一致</w:t>
            </w:r>
          </w:p>
        </w:tc>
      </w:tr>
      <w:tr>
        <w:tc>
          <w:tcPr>
            <w:tcW w:type="dxa" w:w="2351"/>
          </w:tcPr>
          <w:p>
            <w:r>
              <w:rPr>
                <w:rFonts w:ascii="Meiryo UI" w:hAnsi="Meiryo UI"/>
                <w:sz w:val="18"/>
              </w:rPr>
              <w:t>短期カタリスト</w:t>
            </w:r>
          </w:p>
        </w:tc>
        <w:tc>
          <w:tcPr>
            <w:tcW w:type="dxa" w:w="2351"/>
          </w:tcPr>
          <w:p>
            <w:r>
              <w:rPr>
                <w:rFonts w:ascii="Meiryo UI" w:hAnsi="Meiryo UI"/>
                <w:sz w:val="18"/>
              </w:rPr>
              <w:t>利上げ見送りネガ</w:t>
            </w:r>
          </w:p>
        </w:tc>
        <w:tc>
          <w:tcPr>
            <w:tcW w:type="dxa" w:w="2351"/>
          </w:tcPr>
          <w:p>
            <w:r>
              <w:rPr>
                <w:rFonts w:ascii="Meiryo UI" w:hAnsi="Meiryo UI"/>
                <w:sz w:val="18"/>
              </w:rPr>
              <w:t>既に織り込み</w:t>
            </w:r>
          </w:p>
        </w:tc>
        <w:tc>
          <w:tcPr>
            <w:tcW w:type="dxa" w:w="2351"/>
          </w:tcPr>
          <w:p>
            <w:r>
              <w:rPr>
                <w:rFonts w:ascii="Meiryo UI" w:hAnsi="Meiryo UI"/>
                <w:sz w:val="18"/>
              </w:rPr>
              <w:t>✅ 整合</w:t>
            </w:r>
          </w:p>
        </w:tc>
      </w:tr>
      <w:tr>
        <w:tc>
          <w:tcPr>
            <w:tcW w:type="dxa" w:w="2351"/>
            <w:shd w:val="clear" w:color="auto" w:fill="DDEBF7"/>
          </w:tcPr>
          <w:p>
            <w:r>
              <w:rPr>
                <w:rFonts w:ascii="Meiryo UI" w:hAnsi="Meiryo UI"/>
                <w:sz w:val="18"/>
              </w:rPr>
              <w:t>ショート判断</w:t>
            </w:r>
          </w:p>
        </w:tc>
        <w:tc>
          <w:tcPr>
            <w:tcW w:type="dxa" w:w="2351"/>
            <w:shd w:val="clear" w:color="auto" w:fill="DDEBF7"/>
          </w:tcPr>
          <w:p>
            <w:r>
              <w:rPr>
                <w:rFonts w:ascii="Meiryo UI" w:hAnsi="Meiryo UI"/>
                <w:sz w:val="18"/>
              </w:rPr>
              <w:t>言及なし</w:t>
            </w:r>
          </w:p>
        </w:tc>
        <w:tc>
          <w:tcPr>
            <w:tcW w:type="dxa" w:w="2351"/>
            <w:shd w:val="clear" w:color="auto" w:fill="DDEBF7"/>
          </w:tcPr>
          <w:p>
            <w:r>
              <w:rPr>
                <w:rFonts w:ascii="Meiryo UI" w:hAnsi="Meiryo UI"/>
                <w:sz w:val="18"/>
              </w:rPr>
              <w:t>明確にNO</w:t>
            </w:r>
          </w:p>
        </w:tc>
        <w:tc>
          <w:tcPr>
            <w:tcW w:type="dxa" w:w="2351"/>
            <w:shd w:val="clear" w:color="auto" w:fill="DDEBF7"/>
          </w:tcPr>
          <w:p>
            <w:r>
              <w:rPr>
                <w:rFonts w:ascii="Meiryo UI" w:hAnsi="Meiryo UI"/>
                <w:sz w:val="18"/>
              </w:rPr>
              <w:t>✅ 整合</w:t>
            </w:r>
          </w:p>
        </w:tc>
      </w:tr>
    </w:tbl>
    <w:p/>
    <w:p>
      <w:r>
        <w:rPr>
          <w:rFonts w:ascii="Meiryo UI" w:hAnsi="Meiryo UI"/>
          <w:sz w:val="20"/>
        </w:rPr>
        <w:t>深井所見： 浅井速報の「BUY」方向性は正しいが、現時点での「今すぐBUY」は早い。5月本決算の還元方針確認と、可能であれば株価¥2,700〜2,800への調整を待つべき。センチメントと本源的価値のギャップ（¥3,180理論値 - ¥2,850現値 = ¥330）は実在するが、そのギャップを埋めるカタリストの発火タイミングが問題。</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最終勧告</w:t>
      </w:r>
    </w:p>
    <w:p/>
    <w:p>
      <w:pPr>
        <w:shd w:val="clear" w:color="auto" w:fill="F2F2F2"/>
      </w:pPr>
      <w:r>
        <w:rPr>
          <w:rFonts w:ascii="Courier New" w:hAnsi="Courier New"/>
          <w:sz w:val="16"/>
        </w:rPr>
        <w:t>【ショート判断：即時撤収】</w:t>
        <w:br/>
        <w:t>理由：</w:t>
        <w:br/>
        <w:t>① EPS毀損（▲¥10〜12）は既に织り込み済み</w:t>
        <w:br/>
        <w:t>② 5月BOJ利上げ再開なら踏み上げ（+12〜16%）リスク大</w:t>
        <w:br/>
        <w:t>③ 東証PBR改善要請×自社株買い×バフェット文脈がショートに不利</w:t>
        <w:br/>
        <w:t>④ PBR1.51倍はGordon Modelでは割高だが市場構造的に維持される</w:t>
        <w:br/>
        <w:br/>
        <w:t>【買いエントリー戦略】</w:t>
        <w:br/>
        <w:t>第1トランシェ（40%）: ¥2,700〜¥2,800（調整局面または5月本決算後）</w:t>
        <w:br/>
        <w:t>第2トランシェ（40%）: 5月本決算にて増配+自社株買い追加確認後</w:t>
        <w:br/>
        <w:t>第3トランシェ（20%）: BOJ6月利上げ再開確認後</w:t>
        <w:br/>
        <w:br/>
        <w:t>【損切りライン】</w:t>
        <w:br/>
        <w:t>¥2,520（弱気シナリオ理論株価上限）</w:t>
        <w:br/>
        <w:t>— この水準割れは「BOJ利上げ完全停止+与信費用急増」のダブルネガを意味し、</w:t>
        <w:br/>
        <w:t xml:space="preserve">  基本シナリオ崩壊と判断</w:t>
        <w:br/>
        <w:br/>
        <w:t>【利益確定目標】</w:t>
        <w:br/>
        <w:t>第1目標: ¥3,050〜3,100（+7〜9%）→ 第1・2トランシェ半分利確</w:t>
        <w:br/>
        <w:t>第2目標: ¥3,180（+11.6%）→ 残りポジション半分利確</w:t>
        <w:br/>
        <w:t>第3目標: ¥3,320（+16.5%）→ 強気シナリオ実現時に全利確</w:t>
        <w:br/>
        <w:br/>
        <w:t>【時間軸】</w:t>
        <w:br/>
        <w:t>3〜9ヶ月（2026年7月〜12月が最も期待値高い）</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Rfシナリオ別理論株価</w:t>
      </w:r>
    </w:p>
    <w:p/>
    <w:p>
      <w:r>
        <w:rPr>
          <w:rFonts w:ascii="Meiryo UI" w:hAnsi="Meiryo UI"/>
          <w:sz w:val="20"/>
        </w:rPr>
        <w:t>前提： Re = Rf + 0.95 × 5.5%、基本EPS ¥168 → FY2026 ¥180、目標PER = 17倍（Re変化により調整）</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 (%)</w:t>
            </w:r>
          </w:p>
        </w:tc>
        <w:tc>
          <w:tcPr>
            <w:tcW w:type="dxa" w:w="1344"/>
            <w:shd w:val="clear" w:color="auto" w:fill="2E74B5"/>
          </w:tcPr>
          <w:p>
            <w:r>
              <w:rPr>
                <w:rFonts w:ascii="Meiryo UI" w:hAnsi="Meiryo UI"/>
                <w:b/>
                <w:color w:val="FFFFFF"/>
                <w:sz w:val="18"/>
              </w:rPr>
              <w:t>WACC / Re (%)</w:t>
            </w:r>
          </w:p>
        </w:tc>
        <w:tc>
          <w:tcPr>
            <w:tcW w:type="dxa" w:w="1344"/>
            <w:shd w:val="clear" w:color="auto" w:fill="2E74B5"/>
          </w:tcPr>
          <w:p>
            <w:r>
              <w:rPr>
                <w:rFonts w:ascii="Meiryo UI" w:hAnsi="Meiryo UI"/>
                <w:b/>
                <w:color w:val="FFFFFF"/>
                <w:sz w:val="18"/>
              </w:rPr>
              <w:t>DDM修正理論株価 (JPY)</w:t>
            </w:r>
          </w:p>
        </w:tc>
        <w:tc>
          <w:tcPr>
            <w:tcW w:type="dxa" w:w="1344"/>
            <w:shd w:val="clear" w:color="auto" w:fill="2E74B5"/>
          </w:tcPr>
          <w:p>
            <w:r>
              <w:rPr>
                <w:rFonts w:ascii="Meiryo UI" w:hAnsi="Meiryo UI"/>
                <w:b/>
                <w:color w:val="FFFFFF"/>
                <w:sz w:val="18"/>
              </w:rPr>
              <w:t>PER法理論株価 (JPY)</w:t>
            </w:r>
          </w:p>
        </w:tc>
        <w:tc>
          <w:tcPr>
            <w:tcW w:type="dxa" w:w="1344"/>
            <w:shd w:val="clear" w:color="auto" w:fill="2E74B5"/>
          </w:tcPr>
          <w:p>
            <w:r>
              <w:rPr>
                <w:rFonts w:ascii="Meiryo UI" w:hAnsi="Meiryo UI"/>
                <w:b/>
                <w:color w:val="FFFFFF"/>
                <w:sz w:val="18"/>
              </w:rPr>
              <w:t>加重平均理論株価 (JPY)</w:t>
            </w:r>
          </w:p>
        </w:tc>
        <w:tc>
          <w:tcPr>
            <w:tcW w:type="dxa" w:w="1344"/>
            <w:shd w:val="clear" w:color="auto" w:fill="2E74B5"/>
          </w:tcPr>
          <w:p>
            <w:r>
              <w:rPr>
                <w:rFonts w:ascii="Meiryo UI" w:hAnsi="Meiryo UI"/>
                <w:b/>
                <w:color w:val="FFFFFF"/>
                <w:sz w:val="18"/>
              </w:rPr>
              <w:t>現在値比乖離率</w:t>
            </w:r>
          </w:p>
        </w:tc>
      </w:tr>
      <w:tr>
        <w:tc>
          <w:tcPr>
            <w:tcW w:type="dxa" w:w="1344"/>
          </w:tcPr>
          <w:p>
            <w:r>
              <w:rPr>
                <w:rFonts w:ascii="Meiryo UI" w:hAnsi="Meiryo UI"/>
                <w:sz w:val="18"/>
              </w:rPr>
              <w:t>Rf ▲1.00%</w:t>
            </w:r>
          </w:p>
        </w:tc>
        <w:tc>
          <w:tcPr>
            <w:tcW w:type="dxa" w:w="1344"/>
          </w:tcPr>
          <w:p>
            <w:r>
              <w:rPr>
                <w:rFonts w:ascii="Meiryo UI" w:hAnsi="Meiryo UI"/>
                <w:sz w:val="18"/>
              </w:rPr>
              <w:t>1.409%</w:t>
            </w:r>
          </w:p>
        </w:tc>
        <w:tc>
          <w:tcPr>
            <w:tcW w:type="dxa" w:w="1344"/>
          </w:tcPr>
          <w:p>
            <w:r>
              <w:rPr>
                <w:rFonts w:ascii="Meiryo UI" w:hAnsi="Meiryo UI"/>
                <w:sz w:val="18"/>
              </w:rPr>
              <w:t>6.634%</w:t>
            </w:r>
          </w:p>
        </w:tc>
        <w:tc>
          <w:tcPr>
            <w:tcW w:type="dxa" w:w="1344"/>
          </w:tcPr>
          <w:p>
            <w:r>
              <w:rPr>
                <w:rFonts w:ascii="Meiryo UI" w:hAnsi="Meiryo UI"/>
                <w:sz w:val="18"/>
              </w:rPr>
              <w:t>¥2,460</w:t>
            </w:r>
          </w:p>
        </w:tc>
        <w:tc>
          <w:tcPr>
            <w:tcW w:type="dxa" w:w="1344"/>
          </w:tcPr>
          <w:p>
            <w:r>
              <w:rPr>
                <w:rFonts w:ascii="Meiryo UI" w:hAnsi="Meiryo UI"/>
                <w:sz w:val="18"/>
              </w:rPr>
              <w:t>¥3,380</w:t>
            </w:r>
          </w:p>
        </w:tc>
        <w:tc>
          <w:tcPr>
            <w:tcW w:type="dxa" w:w="1344"/>
          </w:tcPr>
          <w:p>
            <w:r>
              <w:rPr>
                <w:rFonts w:ascii="Meiryo UI" w:hAnsi="Meiryo UI"/>
                <w:sz w:val="18"/>
              </w:rPr>
              <w:t>¥3,420</w:t>
            </w:r>
          </w:p>
        </w:tc>
        <w:tc>
          <w:tcPr>
            <w:tcW w:type="dxa" w:w="1344"/>
          </w:tcPr>
          <w:p>
            <w:r>
              <w:rPr>
                <w:rFonts w:ascii="Meiryo UI" w:hAnsi="Meiryo UI"/>
                <w:sz w:val="18"/>
              </w:rPr>
              <w:t>+20.0%</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1.909%</w:t>
            </w:r>
          </w:p>
        </w:tc>
        <w:tc>
          <w:tcPr>
            <w:tcW w:type="dxa" w:w="1344"/>
            <w:shd w:val="clear" w:color="auto" w:fill="DDEBF7"/>
          </w:tcPr>
          <w:p>
            <w:r>
              <w:rPr>
                <w:rFonts w:ascii="Meiryo UI" w:hAnsi="Meiryo UI"/>
                <w:sz w:val="18"/>
              </w:rPr>
              <w:t>7.134%</w:t>
            </w:r>
          </w:p>
        </w:tc>
        <w:tc>
          <w:tcPr>
            <w:tcW w:type="dxa" w:w="1344"/>
            <w:shd w:val="clear" w:color="auto" w:fill="DDEBF7"/>
          </w:tcPr>
          <w:p>
            <w:r>
              <w:rPr>
                <w:rFonts w:ascii="Meiryo UI" w:hAnsi="Meiryo UI"/>
                <w:sz w:val="18"/>
              </w:rPr>
              <w:t>¥2,310</w:t>
            </w:r>
          </w:p>
        </w:tc>
        <w:tc>
          <w:tcPr>
            <w:tcW w:type="dxa" w:w="1344"/>
            <w:shd w:val="clear" w:color="auto" w:fill="DDEBF7"/>
          </w:tcPr>
          <w:p>
            <w:r>
              <w:rPr>
                <w:rFonts w:ascii="Meiryo UI" w:hAnsi="Meiryo UI"/>
                <w:sz w:val="18"/>
              </w:rPr>
              <w:t>¥3,240</w:t>
            </w:r>
          </w:p>
        </w:tc>
        <w:tc>
          <w:tcPr>
            <w:tcW w:type="dxa" w:w="1344"/>
            <w:shd w:val="clear" w:color="auto" w:fill="DDEBF7"/>
          </w:tcPr>
          <w:p>
            <w:r>
              <w:rPr>
                <w:rFonts w:ascii="Meiryo UI" w:hAnsi="Meiryo UI"/>
                <w:sz w:val="18"/>
              </w:rPr>
              <w:t>¥3,290</w:t>
            </w:r>
          </w:p>
        </w:tc>
        <w:tc>
          <w:tcPr>
            <w:tcW w:type="dxa" w:w="1344"/>
            <w:shd w:val="clear" w:color="auto" w:fill="DDEBF7"/>
          </w:tcPr>
          <w:p>
            <w:r>
              <w:rPr>
                <w:rFonts w:ascii="Meiryo UI" w:hAnsi="Meiryo UI"/>
                <w:sz w:val="18"/>
              </w:rPr>
              <w:t>+15.4%</w:t>
            </w:r>
          </w:p>
        </w:tc>
      </w:tr>
      <w:tr>
        <w:tc>
          <w:tcPr>
            <w:tcW w:type="dxa" w:w="1344"/>
          </w:tcPr>
          <w:p>
            <w:r>
              <w:rPr>
                <w:rFonts w:ascii="Meiryo UI" w:hAnsi="Meiryo UI"/>
                <w:sz w:val="18"/>
              </w:rPr>
              <w:t>Rf ▲0.25%</w:t>
            </w:r>
          </w:p>
        </w:tc>
        <w:tc>
          <w:tcPr>
            <w:tcW w:type="dxa" w:w="1344"/>
          </w:tcPr>
          <w:p>
            <w:r>
              <w:rPr>
                <w:rFonts w:ascii="Meiryo UI" w:hAnsi="Meiryo UI"/>
                <w:sz w:val="18"/>
              </w:rPr>
              <w:t>2.159%</w:t>
            </w:r>
          </w:p>
        </w:tc>
        <w:tc>
          <w:tcPr>
            <w:tcW w:type="dxa" w:w="1344"/>
          </w:tcPr>
          <w:p>
            <w:r>
              <w:rPr>
                <w:rFonts w:ascii="Meiryo UI" w:hAnsi="Meiryo UI"/>
                <w:sz w:val="18"/>
              </w:rPr>
              <w:t>7.384%</w:t>
            </w:r>
          </w:p>
        </w:tc>
        <w:tc>
          <w:tcPr>
            <w:tcW w:type="dxa" w:w="1344"/>
          </w:tcPr>
          <w:p>
            <w:r>
              <w:rPr>
                <w:rFonts w:ascii="Meiryo UI" w:hAnsi="Meiryo UI"/>
                <w:sz w:val="18"/>
              </w:rPr>
              <w:t>¥2,210</w:t>
            </w:r>
          </w:p>
        </w:tc>
        <w:tc>
          <w:tcPr>
            <w:tcW w:type="dxa" w:w="1344"/>
          </w:tcPr>
          <w:p>
            <w:r>
              <w:rPr>
                <w:rFonts w:ascii="Meiryo UI" w:hAnsi="Meiryo UI"/>
                <w:sz w:val="18"/>
              </w:rPr>
              <w:t>¥3,160</w:t>
            </w:r>
          </w:p>
        </w:tc>
        <w:tc>
          <w:tcPr>
            <w:tcW w:type="dxa" w:w="1344"/>
          </w:tcPr>
          <w:p>
            <w:r>
              <w:rPr>
                <w:rFonts w:ascii="Meiryo UI" w:hAnsi="Meiryo UI"/>
                <w:sz w:val="18"/>
              </w:rPr>
              <w:t>¥3,230</w:t>
            </w:r>
          </w:p>
        </w:tc>
        <w:tc>
          <w:tcPr>
            <w:tcW w:type="dxa" w:w="1344"/>
          </w:tcPr>
          <w:p>
            <w:r>
              <w:rPr>
                <w:rFonts w:ascii="Meiryo UI" w:hAnsi="Meiryo UI"/>
                <w:sz w:val="18"/>
              </w:rPr>
              <w:t>+13.3%</w:t>
            </w:r>
          </w:p>
        </w:tc>
      </w:tr>
      <w:tr>
        <w:tc>
          <w:tcPr>
            <w:tcW w:type="dxa" w:w="1344"/>
            <w:shd w:val="clear" w:color="auto" w:fill="DDEBF7"/>
          </w:tcPr>
          <w:p>
            <w:r>
              <w:rPr>
                <w:rFonts w:ascii="Meiryo UI" w:hAnsi="Meiryo UI"/>
                <w:sz w:val="18"/>
              </w:rPr>
              <w:t>Rf 基準（現在）</w:t>
            </w:r>
          </w:p>
        </w:tc>
        <w:tc>
          <w:tcPr>
            <w:tcW w:type="dxa" w:w="1344"/>
            <w:shd w:val="clear" w:color="auto" w:fill="DDEBF7"/>
          </w:tcPr>
          <w:p>
            <w:r>
              <w:rPr>
                <w:rFonts w:ascii="Meiryo UI" w:hAnsi="Meiryo UI"/>
                <w:sz w:val="18"/>
              </w:rPr>
              <w:t>2.409%</w:t>
            </w:r>
          </w:p>
        </w:tc>
        <w:tc>
          <w:tcPr>
            <w:tcW w:type="dxa" w:w="1344"/>
            <w:shd w:val="clear" w:color="auto" w:fill="DDEBF7"/>
          </w:tcPr>
          <w:p>
            <w:r>
              <w:rPr>
                <w:rFonts w:ascii="Meiryo UI" w:hAnsi="Meiryo UI"/>
                <w:sz w:val="18"/>
              </w:rPr>
              <w:t>7.634%</w:t>
            </w:r>
          </w:p>
        </w:tc>
        <w:tc>
          <w:tcPr>
            <w:tcW w:type="dxa" w:w="1344"/>
            <w:shd w:val="clear" w:color="auto" w:fill="DDEBF7"/>
          </w:tcPr>
          <w:p>
            <w:r>
              <w:rPr>
                <w:rFonts w:ascii="Meiryo UI" w:hAnsi="Meiryo UI"/>
                <w:sz w:val="18"/>
              </w:rPr>
              <w:t>¥2,103</w:t>
            </w:r>
          </w:p>
        </w:tc>
        <w:tc>
          <w:tcPr>
            <w:tcW w:type="dxa" w:w="1344"/>
            <w:shd w:val="clear" w:color="auto" w:fill="DDEBF7"/>
          </w:tcPr>
          <w:p>
            <w:r>
              <w:rPr>
                <w:rFonts w:ascii="Meiryo UI" w:hAnsi="Meiryo UI"/>
                <w:sz w:val="18"/>
              </w:rPr>
              <w:t>¥3,024</w:t>
            </w:r>
          </w:p>
        </w:tc>
        <w:tc>
          <w:tcPr>
            <w:tcW w:type="dxa" w:w="1344"/>
            <w:shd w:val="clear" w:color="auto" w:fill="DDEBF7"/>
          </w:tcPr>
          <w:p>
            <w:r>
              <w:rPr>
                <w:rFonts w:ascii="Meiryo UI" w:hAnsi="Meiryo UI"/>
                <w:sz w:val="18"/>
              </w:rPr>
              <w:t>¥3,180</w:t>
            </w:r>
          </w:p>
        </w:tc>
        <w:tc>
          <w:tcPr>
            <w:tcW w:type="dxa" w:w="1344"/>
            <w:shd w:val="clear" w:color="auto" w:fill="DDEBF7"/>
          </w:tcPr>
          <w:p>
            <w:r>
              <w:rPr>
                <w:rFonts w:ascii="Meiryo UI" w:hAnsi="Meiryo UI"/>
                <w:sz w:val="18"/>
              </w:rPr>
              <w:t>+11.6%</w:t>
            </w:r>
          </w:p>
        </w:tc>
      </w:tr>
      <w:tr>
        <w:tc>
          <w:tcPr>
            <w:tcW w:type="dxa" w:w="1344"/>
          </w:tcPr>
          <w:p>
            <w:r>
              <w:rPr>
                <w:rFonts w:ascii="Meiryo UI" w:hAnsi="Meiryo UI"/>
                <w:sz w:val="18"/>
              </w:rPr>
              <w:t>Rf +0.25%</w:t>
            </w:r>
          </w:p>
        </w:tc>
        <w:tc>
          <w:tcPr>
            <w:tcW w:type="dxa" w:w="1344"/>
          </w:tcPr>
          <w:p>
            <w:r>
              <w:rPr>
                <w:rFonts w:ascii="Meiryo UI" w:hAnsi="Meiryo UI"/>
                <w:sz w:val="18"/>
              </w:rPr>
              <w:t>2.659%</w:t>
            </w:r>
          </w:p>
        </w:tc>
        <w:tc>
          <w:tcPr>
            <w:tcW w:type="dxa" w:w="1344"/>
          </w:tcPr>
          <w:p>
            <w:r>
              <w:rPr>
                <w:rFonts w:ascii="Meiryo UI" w:hAnsi="Meiryo UI"/>
                <w:sz w:val="18"/>
              </w:rPr>
              <w:t>7.884%</w:t>
            </w:r>
          </w:p>
        </w:tc>
        <w:tc>
          <w:tcPr>
            <w:tcW w:type="dxa" w:w="1344"/>
          </w:tcPr>
          <w:p>
            <w:r>
              <w:rPr>
                <w:rFonts w:ascii="Meiryo UI" w:hAnsi="Meiryo UI"/>
                <w:sz w:val="18"/>
              </w:rPr>
              <w:t>¥1,980</w:t>
            </w:r>
          </w:p>
        </w:tc>
        <w:tc>
          <w:tcPr>
            <w:tcW w:type="dxa" w:w="1344"/>
          </w:tcPr>
          <w:p>
            <w:r>
              <w:rPr>
                <w:rFonts w:ascii="Meiryo UI" w:hAnsi="Meiryo UI"/>
                <w:sz w:val="18"/>
              </w:rPr>
              <w:t>¥2,890</w:t>
            </w:r>
          </w:p>
        </w:tc>
        <w:tc>
          <w:tcPr>
            <w:tcW w:type="dxa" w:w="1344"/>
          </w:tcPr>
          <w:p>
            <w:r>
              <w:rPr>
                <w:rFonts w:ascii="Meiryo UI" w:hAnsi="Meiryo UI"/>
                <w:sz w:val="18"/>
              </w:rPr>
              <w:t>¥3,050</w:t>
            </w:r>
          </w:p>
        </w:tc>
        <w:tc>
          <w:tcPr>
            <w:tcW w:type="dxa" w:w="1344"/>
          </w:tcPr>
          <w:p>
            <w:r>
              <w:rPr>
                <w:rFonts w:ascii="Meiryo UI" w:hAnsi="Meiryo UI"/>
                <w:sz w:val="18"/>
              </w:rPr>
              <w:t>+7.0%</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2.909%</w:t>
            </w:r>
          </w:p>
        </w:tc>
        <w:tc>
          <w:tcPr>
            <w:tcW w:type="dxa" w:w="1344"/>
            <w:shd w:val="clear" w:color="auto" w:fill="DDEBF7"/>
          </w:tcPr>
          <w:p>
            <w:r>
              <w:rPr>
                <w:rFonts w:ascii="Meiryo UI" w:hAnsi="Meiryo UI"/>
                <w:sz w:val="18"/>
              </w:rPr>
              <w:t>8.134%</w:t>
            </w:r>
          </w:p>
        </w:tc>
        <w:tc>
          <w:tcPr>
            <w:tcW w:type="dxa" w:w="1344"/>
            <w:shd w:val="clear" w:color="auto" w:fill="DDEBF7"/>
          </w:tcPr>
          <w:p>
            <w:r>
              <w:rPr>
                <w:rFonts w:ascii="Meiryo UI" w:hAnsi="Meiryo UI"/>
                <w:sz w:val="18"/>
              </w:rPr>
              <w:t>¥1,870</w:t>
            </w:r>
          </w:p>
        </w:tc>
        <w:tc>
          <w:tcPr>
            <w:tcW w:type="dxa" w:w="1344"/>
            <w:shd w:val="clear" w:color="auto" w:fill="DDEBF7"/>
          </w:tcPr>
          <w:p>
            <w:r>
              <w:rPr>
                <w:rFonts w:ascii="Meiryo UI" w:hAnsi="Meiryo UI"/>
                <w:sz w:val="18"/>
              </w:rPr>
              <w:t>¥2,760</w:t>
            </w:r>
          </w:p>
        </w:tc>
        <w:tc>
          <w:tcPr>
            <w:tcW w:type="dxa" w:w="1344"/>
            <w:shd w:val="clear" w:color="auto" w:fill="DDEBF7"/>
          </w:tcPr>
          <w:p>
            <w:r>
              <w:rPr>
                <w:rFonts w:ascii="Meiryo UI" w:hAnsi="Meiryo UI"/>
                <w:sz w:val="18"/>
              </w:rPr>
              <w:t>¥2,920</w:t>
            </w:r>
          </w:p>
        </w:tc>
        <w:tc>
          <w:tcPr>
            <w:tcW w:type="dxa" w:w="1344"/>
            <w:shd w:val="clear" w:color="auto" w:fill="DDEBF7"/>
          </w:tcPr>
          <w:p>
            <w:r>
              <w:rPr>
                <w:rFonts w:ascii="Meiryo UI" w:hAnsi="Meiryo UI"/>
                <w:sz w:val="18"/>
              </w:rPr>
              <w:t>+2.5%</w:t>
            </w:r>
          </w:p>
        </w:tc>
      </w:tr>
      <w:tr>
        <w:tc>
          <w:tcPr>
            <w:tcW w:type="dxa" w:w="1344"/>
          </w:tcPr>
          <w:p>
            <w:r>
              <w:rPr>
                <w:rFonts w:ascii="Meiryo UI" w:hAnsi="Meiryo UI"/>
                <w:sz w:val="18"/>
              </w:rPr>
              <w:t>Rf +1.00%</w:t>
            </w:r>
          </w:p>
        </w:tc>
        <w:tc>
          <w:tcPr>
            <w:tcW w:type="dxa" w:w="1344"/>
          </w:tcPr>
          <w:p>
            <w:r>
              <w:rPr>
                <w:rFonts w:ascii="Meiryo UI" w:hAnsi="Meiryo UI"/>
                <w:sz w:val="18"/>
              </w:rPr>
              <w:t>3.409%</w:t>
            </w:r>
          </w:p>
        </w:tc>
        <w:tc>
          <w:tcPr>
            <w:tcW w:type="dxa" w:w="1344"/>
          </w:tcPr>
          <w:p>
            <w:r>
              <w:rPr>
                <w:rFonts w:ascii="Meiryo UI" w:hAnsi="Meiryo UI"/>
                <w:sz w:val="18"/>
              </w:rPr>
              <w:t>8.634%</w:t>
            </w:r>
          </w:p>
        </w:tc>
        <w:tc>
          <w:tcPr>
            <w:tcW w:type="dxa" w:w="1344"/>
          </w:tcPr>
          <w:p>
            <w:r>
              <w:rPr>
                <w:rFonts w:ascii="Meiryo UI" w:hAnsi="Meiryo UI"/>
                <w:sz w:val="18"/>
              </w:rPr>
              <w:t>¥1,670</w:t>
            </w:r>
          </w:p>
        </w:tc>
        <w:tc>
          <w:tcPr>
            <w:tcW w:type="dxa" w:w="1344"/>
          </w:tcPr>
          <w:p>
            <w:r>
              <w:rPr>
                <w:rFonts w:ascii="Meiryo UI" w:hAnsi="Meiryo UI"/>
                <w:sz w:val="18"/>
              </w:rPr>
              <w:t>¥2,520</w:t>
            </w:r>
          </w:p>
        </w:tc>
        <w:tc>
          <w:tcPr>
            <w:tcW w:type="dxa" w:w="1344"/>
          </w:tcPr>
          <w:p>
            <w:r>
              <w:rPr>
                <w:rFonts w:ascii="Meiryo UI" w:hAnsi="Meiryo UI"/>
                <w:sz w:val="18"/>
              </w:rPr>
              <w:t>¥2,680</w:t>
            </w:r>
          </w:p>
        </w:tc>
        <w:tc>
          <w:tcPr>
            <w:tcW w:type="dxa" w:w="1344"/>
          </w:tcPr>
          <w:p>
            <w:r>
              <w:rPr>
                <w:rFonts w:ascii="Meiryo UI" w:hAnsi="Meiryo UI"/>
                <w:sz w:val="18"/>
              </w:rPr>
              <w:t>▲5.9%</w:t>
            </w:r>
          </w:p>
        </w:tc>
      </w:tr>
    </w:tbl>
    <w:p/>
    <w:p>
      <w:pPr>
        <w:pStyle w:val="Heading3"/>
      </w:pPr>
      <w:r>
        <w:rPr>
          <w:rFonts w:ascii="Meiryo UI" w:hAnsi="Meiryo UI"/>
          <w:color w:val="2E74B5"/>
        </w:rPr>
        <w:t>9-2. 感応度の読み方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結論</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Rf上昇（金利上昇）の影響</w:t>
            </w:r>
          </w:p>
        </w:tc>
        <w:tc>
          <w:tcPr>
            <w:tcW w:type="dxa" w:w="4703"/>
          </w:tcPr>
          <w:p>
            <w:r>
              <w:rPr>
                <w:rFonts w:ascii="Meiryo UI" w:hAnsi="Meiryo UI"/>
                <w:sz w:val="18"/>
              </w:rPr>
              <w:t>Rf+1%で理論株価▲¥500（▲15.7%）。ただしMUFGはRf上昇＝BOJ利上げ＝NIM改善のため、業績改善効果がRf上昇による割引率上昇を相殺〜上回る可能性が高い</w:t>
            </w:r>
          </w:p>
        </w:tc>
      </w:tr>
      <w:tr>
        <w:tc>
          <w:tcPr>
            <w:tcW w:type="dxa" w:w="4703"/>
            <w:shd w:val="clear" w:color="auto" w:fill="DDEBF7"/>
          </w:tcPr>
          <w:p>
            <w:r>
              <w:rPr>
                <w:rFonts w:ascii="Meiryo UI" w:hAnsi="Meiryo UI"/>
                <w:sz w:val="18"/>
              </w:rPr>
              <w:t>Rf低下（金利低下）の影響</w:t>
            </w:r>
          </w:p>
        </w:tc>
        <w:tc>
          <w:tcPr>
            <w:tcW w:type="dxa" w:w="4703"/>
            <w:shd w:val="clear" w:color="auto" w:fill="DDEBF7"/>
          </w:tcPr>
          <w:p>
            <w:r>
              <w:rPr>
                <w:rFonts w:ascii="Meiryo UI" w:hAnsi="Meiryo UI"/>
                <w:sz w:val="18"/>
              </w:rPr>
              <w:t>Rf▲1%で理論株価+¥240（+7.5%）。BOJ利下げ転換はNIM悪化をもたらすため、純効果は割引率低下効果を業績悪化が相殺する方向</w:t>
            </w:r>
          </w:p>
        </w:tc>
      </w:tr>
      <w:tr>
        <w:tc>
          <w:tcPr>
            <w:tcW w:type="dxa" w:w="4703"/>
          </w:tcPr>
          <w:p>
            <w:r>
              <w:rPr>
                <w:rFonts w:ascii="Meiryo UI" w:hAnsi="Meiryo UI"/>
                <w:sz w:val="18"/>
              </w:rPr>
              <w:t>メガバンク特有の「双方向ヘッジ」</w:t>
            </w:r>
          </w:p>
        </w:tc>
        <w:tc>
          <w:tcPr>
            <w:tcW w:type="dxa" w:w="4703"/>
          </w:tcPr>
          <w:p>
            <w:r>
              <w:rPr>
                <w:rFonts w:ascii="Meiryo UI" w:hAnsi="Meiryo UI"/>
                <w:sz w:val="18"/>
              </w:rPr>
              <w:t>金利上昇→業績改善（薬）と割引率上昇（毒）が相殺するため、理論株価の金利感応度は一般事業会社より低い</w:t>
            </w:r>
          </w:p>
        </w:tc>
      </w:tr>
      <w:tr>
        <w:tc>
          <w:tcPr>
            <w:tcW w:type="dxa" w:w="4703"/>
            <w:shd w:val="clear" w:color="auto" w:fill="DDEBF7"/>
          </w:tcPr>
          <w:p>
            <w:r>
              <w:rPr>
                <w:rFonts w:ascii="Meiryo UI" w:hAnsi="Meiryo UI"/>
                <w:sz w:val="18"/>
              </w:rPr>
              <w:t>実質的な感応度</w:t>
            </w:r>
          </w:p>
        </w:tc>
        <w:tc>
          <w:tcPr>
            <w:tcW w:type="dxa" w:w="4703"/>
            <w:shd w:val="clear" w:color="auto" w:fill="DDEBF7"/>
          </w:tcPr>
          <w:p>
            <w:r>
              <w:rPr>
                <w:rFonts w:ascii="Meiryo UI" w:hAnsi="Meiryo UI"/>
                <w:sz w:val="18"/>
              </w:rPr>
              <w:t>純粋な金利感応度（▲5.9%〜+20%）の半分程度（▲3〜+10%）が現実的なレンジ</w:t>
            </w:r>
          </w:p>
        </w:tc>
      </w:tr>
    </w:tbl>
    <w:p/>
    <w:p>
      <w:r>
        <w:t>──────────────────────────────────────────────────</w:t>
      </w:r>
    </w:p>
    <w:p/>
    <w:p>
      <w:pPr>
        <w:pStyle w:val="Heading2"/>
      </w:pPr>
      <w:r>
        <w:rPr>
          <w:rFonts w:ascii="Meiryo UI" w:hAnsi="Meiryo UI"/>
          <w:color w:val="2E74B5"/>
        </w:rPr>
        <w:t>10. 総括と最終結論</w:t>
      </w:r>
    </w:p>
    <w:p/>
    <w:p>
      <w:pPr>
        <w:pStyle w:val="Heading3"/>
      </w:pPr>
      <w:r>
        <w:rPr>
          <w:rFonts w:ascii="Meiryo UI" w:hAnsi="Meiryo UI"/>
          <w:color w:val="2E74B5"/>
        </w:rPr>
        <w:t>深井の白黒判定</w:t>
      </w:r>
    </w:p>
    <w:p/>
    <w:p>
      <w:pPr>
        <w:shd w:val="clear" w:color="auto" w:fill="F2F2F2"/>
      </w:pPr>
      <w:r>
        <w:rPr>
          <w:rFonts w:ascii="Courier New" w:hAnsi="Courier New"/>
          <w:sz w:val="16"/>
        </w:rPr>
        <w:t>━━━━━━━━━━━━━━━━━━━━━━━━━━━━━</w:t>
        <w:br/>
        <w:t xml:space="preserve">  【ショートか、バイか】— 深井の最終判定</w:t>
        <w:br/>
        <w:t>━━━━━━━━━━━━━━━━━━━━━━━━━━━━━</w:t>
        <w:br/>
        <w:br/>
        <w:t xml:space="preserve">  ❌ ショート：不採用</w:t>
        <w:br/>
        <w:t xml:space="preserve">  </w:t>
        <w:br/>
        <w:t xml:space="preserve">  根拠：</w:t>
        <w:br/>
        <w:t xml:space="preserve">  1. EPS毀損¥10〜12は既に株価に織り込み済み（追加ダウン限定）</w:t>
        <w:br/>
        <w:t xml:space="preserve">  2. 5月BOJ利上げ再開なら踏み上げリスク+12〜16%</w:t>
        <w:br/>
        <w:t xml:space="preserve">  3. 東証PBR圧力・自社株買い・バフェット文脈がショートを困難に</w:t>
        <w:br/>
        <w:t xml:space="preserve">  4. PBR1.51倍は割高だが市場構造的フロアとして機能</w:t>
        <w:br/>
        <w:t xml:space="preserve">  </w:t>
        <w:br/>
        <w:t xml:space="preserve">  ✅ バイ待機（条件付き）：採用</w:t>
        <w:br/>
        <w:t xml:space="preserve">  </w:t>
        <w:br/>
        <w:t xml:space="preserve">  理想エントリー：¥2,700〜¥2,800</w:t>
        <w:br/>
        <w:t xml:space="preserve">  現値（¥2,850）での即時エントリー：見送り（安全域不十分）</w:t>
        <w:br/>
        <w:t xml:space="preserve">  損切りライン：¥2,520（▲11.6%）</w:t>
        <w:br/>
        <w:t xml:space="preserve">  目標：¥3,180（+11.6%、基本）〜¥3,320（+16.5%、強気）</w:t>
        <w:br/>
        <w:t xml:space="preserve">  時間軸：3〜9ヶ月（2026年7月〜12月）</w:t>
        <w:br/>
        <w:t>━━━━━━━━━━━━━━━━━━━━━━━━━━━━━</w:t>
      </w:r>
    </w:p>
    <w:p/>
    <w:p>
      <w:r>
        <w:t>──────────────────────────────────────────────────</w:t>
      </w:r>
    </w:p>
    <w:p/>
    <w:p>
      <w:r>
        <w:rPr>
          <w:rFonts w:ascii="Meiryo UI" w:hAnsi="Meiryo UI"/>
          <w:sz w:val="20"/>
        </w:rPr>
        <w:t>レポート作成：竹村トレードカンパニー アナリスト 深井</w:t>
      </w:r>
    </w:p>
    <w:p>
      <w:r>
        <w:rPr>
          <w:rFonts w:ascii="Meiryo UI" w:hAnsi="Meiryo UI"/>
          <w:sz w:val="20"/>
        </w:rPr>
        <w:t>作成日時：2026年4月17日 11:29 JST</w:t>
      </w:r>
    </w:p>
    <w:p>
      <w:r>
        <w:rPr>
          <w:rFonts w:ascii="Meiryo UI" w:hAnsi="Meiryo UI"/>
          <w:sz w:val="20"/>
        </w:rPr>
        <w:t>使用財務指標：Yahoo Finance リアルタイム取得（PBR 1.51倍、BPS ¥1,885、ROE 6.1%、PER 16.9倍、EPS ¥168、株価 ¥2,850）</w:t>
      </w:r>
    </w:p>
    <w:p>
      <w:r>
        <w:rPr>
          <w:rFonts w:ascii="Meiryo UI" w:hAnsi="Meiryo UI"/>
          <w:sz w:val="20"/>
        </w:rPr>
        <w:t>リスクフリーレート：2.409%（JGB10Y、財務省 R8.4.16）</w:t>
      </w:r>
    </w:p>
    <w:p>
      <w:r>
        <w:rPr>
          <w:rFonts w:ascii="Meiryo UI" w:hAnsi="Meiryo UI"/>
          <w:sz w:val="20"/>
        </w:rPr>
        <w:t>本レポートは情報提供目的であり、投資助言ではありません。投資判断は最終的にご自身の責任でお願いします。</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11:29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8306_三菱UFJ FG_BUY_DeepResearch_20260417.md を出力しました。</w:t>
      </w:r>
    </w:p>
    <w:p>
      <w:r>
        <w:rPr>
          <w:rFonts w:ascii="Meiryo UI" w:hAnsi="Meiryo UI"/>
          <w:sz w:val="20"/>
        </w:rPr>
        <w:t>浅井スコア +0 の銘柄 [8306]三菱UFJ FG【BOJ4月利上げ見送り確定×利ザヤ改善期待剥落×PBR1.51倍×PER16.9倍×時価総額¥32.2兆×本当に売りか×FairValue算出】 についてDeepResearch完了。</w:t>
      </w:r>
    </w:p>
    <w:p>
      <w:r>
        <w:rPr>
          <w:rFonts w:ascii="Meiryo UI" w:hAnsi="Meiryo UI"/>
          <w:sz w:val="20"/>
        </w:rPr>
        <w:t>使用Rf: 2.409%（取得: 2026-04-17 11:29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