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8572 アコム（ACOM Co., Ltd.） — Deep Research Report</w:t>
      </w:r>
    </w:p>
    <w:p/>
    <w:p/>
    <w:p>
      <w:pPr>
        <w:jc w:val="center"/>
      </w:pPr>
      <w:r>
        <w:rPr>
          <w:rFonts w:ascii="Meiryo UI" w:hAnsi="Meiryo UI"/>
          <w:sz w:val="24"/>
        </w:rPr>
        <w:t>アナリスト：深井</w:t>
      </w:r>
    </w:p>
    <w:p>
      <w:pPr>
        <w:jc w:val="center"/>
      </w:pPr>
      <w:r>
        <w:rPr>
          <w:rFonts w:ascii="Meiryo UI" w:hAnsi="Meiryo UI"/>
          <w:sz w:val="24"/>
        </w:rPr>
        <w:t>分析日：2026-04-20</w:t>
      </w:r>
    </w:p>
    <w:p>
      <w:r>
        <w:br w:type="page"/>
      </w:r>
    </w:p>
    <w:p>
      <w:pPr>
        <w:pStyle w:val="Heading1"/>
      </w:pPr>
      <w:r>
        <w:rPr>
          <w:rFonts w:ascii="Meiryo UI" w:hAnsi="Meiryo UI"/>
          <w:color w:val="1F3864"/>
        </w:rPr>
        <w:t>8572 アコム（ACOM Co., Ltd.） — Deep Research Report</w:t>
      </w:r>
    </w:p>
    <w:p>
      <w:r>
        <w:rPr>
          <w:rFonts w:ascii="Meiryo UI" w:hAnsi="Meiryo UI"/>
          <w:sz w:val="20"/>
        </w:rPr>
        <w:t>作成日: 2026-04-20 | 作成者: 深井リサーチ | Rf: 2.397%（10年JGB）</w:t>
      </w:r>
    </w:p>
    <w:p/>
    <w:p>
      <w:r>
        <w:t>──────────────────────────────────────────────────</w:t>
      </w:r>
    </w:p>
    <w:p/>
    <w:p>
      <w:pPr>
        <w:pStyle w:val="Heading2"/>
      </w:pPr>
      <w:r>
        <w:rPr>
          <w:rFonts w:ascii="Meiryo UI" w:hAnsi="Meiryo UI"/>
          <w:color w:val="2E74B5"/>
        </w:rPr>
        <w:t>■ 冒頭10秒サマリー（執行判断用）</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BUY</w:t>
            </w:r>
          </w:p>
        </w:tc>
      </w:tr>
      <w:tr>
        <w:tc>
          <w:tcPr>
            <w:tcW w:type="dxa" w:w="4703"/>
            <w:shd w:val="clear" w:color="auto" w:fill="DDEBF7"/>
          </w:tcPr>
          <w:p>
            <w:r>
              <w:rPr>
                <w:rFonts w:ascii="Meiryo UI" w:hAnsi="Meiryo UI"/>
                <w:sz w:val="18"/>
              </w:rPr>
              <w:t>ベースTP</w:t>
            </w:r>
          </w:p>
        </w:tc>
        <w:tc>
          <w:tcPr>
            <w:tcW w:type="dxa" w:w="4703"/>
            <w:shd w:val="clear" w:color="auto" w:fill="DDEBF7"/>
          </w:tcPr>
          <w:p>
            <w:r>
              <w:rPr>
                <w:rFonts w:ascii="Meiryo UI" w:hAnsi="Meiryo UI"/>
                <w:sz w:val="18"/>
              </w:rPr>
              <w:t>¥580（現値比 +23.1%）</w:t>
            </w:r>
          </w:p>
        </w:tc>
      </w:tr>
      <w:tr>
        <w:tc>
          <w:tcPr>
            <w:tcW w:type="dxa" w:w="4703"/>
          </w:tcPr>
          <w:p>
            <w:r>
              <w:rPr>
                <w:rFonts w:ascii="Meiryo UI" w:hAnsi="Meiryo UI"/>
                <w:sz w:val="18"/>
              </w:rPr>
              <w:t>ブルTP</w:t>
            </w:r>
          </w:p>
        </w:tc>
        <w:tc>
          <w:tcPr>
            <w:tcW w:type="dxa" w:w="4703"/>
          </w:tcPr>
          <w:p>
            <w:r>
              <w:rPr>
                <w:rFonts w:ascii="Meiryo UI" w:hAnsi="Meiryo UI"/>
                <w:sz w:val="18"/>
              </w:rPr>
              <w:t>¥680（+44.4%）</w:t>
            </w:r>
          </w:p>
        </w:tc>
      </w:tr>
      <w:tr>
        <w:tc>
          <w:tcPr>
            <w:tcW w:type="dxa" w:w="4703"/>
            <w:shd w:val="clear" w:color="auto" w:fill="DDEBF7"/>
          </w:tcPr>
          <w:p>
            <w:r>
              <w:rPr>
                <w:rFonts w:ascii="Meiryo UI" w:hAnsi="Meiryo UI"/>
                <w:sz w:val="18"/>
              </w:rPr>
              <w:t>ベアTP</w:t>
            </w:r>
          </w:p>
        </w:tc>
        <w:tc>
          <w:tcPr>
            <w:tcW w:type="dxa" w:w="4703"/>
            <w:shd w:val="clear" w:color="auto" w:fill="DDEBF7"/>
          </w:tcPr>
          <w:p>
            <w:r>
              <w:rPr>
                <w:rFonts w:ascii="Meiryo UI" w:hAnsi="Meiryo UI"/>
                <w:sz w:val="18"/>
              </w:rPr>
              <w:t>¥380（▲19.3%）</w:t>
            </w:r>
          </w:p>
        </w:tc>
      </w:tr>
      <w:tr>
        <w:tc>
          <w:tcPr>
            <w:tcW w:type="dxa" w:w="4703"/>
          </w:tcPr>
          <w:p>
            <w:r>
              <w:rPr>
                <w:rFonts w:ascii="Meiryo UI" w:hAnsi="Meiryo UI"/>
                <w:sz w:val="18"/>
              </w:rPr>
              <w:t>現在値（参考）</w:t>
            </w:r>
          </w:p>
        </w:tc>
        <w:tc>
          <w:tcPr>
            <w:tcW w:type="dxa" w:w="4703"/>
          </w:tcPr>
          <w:p>
            <w:r>
              <w:rPr>
                <w:rFonts w:ascii="Meiryo UI" w:hAnsi="Meiryo UI"/>
                <w:sz w:val="18"/>
              </w:rPr>
              <w:t>¥471.5（2026-04-09終値）</w:t>
            </w:r>
          </w:p>
        </w:tc>
      </w:tr>
      <w:tr>
        <w:tc>
          <w:tcPr>
            <w:tcW w:type="dxa" w:w="4703"/>
            <w:shd w:val="clear" w:color="auto" w:fill="DDEBF7"/>
          </w:tcPr>
          <w:p>
            <w:r>
              <w:rPr>
                <w:rFonts w:ascii="Meiryo UI" w:hAnsi="Meiryo UI"/>
                <w:sz w:val="18"/>
              </w:rPr>
              <w:t>安全域</w:t>
            </w:r>
          </w:p>
        </w:tc>
        <w:tc>
          <w:tcPr>
            <w:tcW w:type="dxa" w:w="4703"/>
            <w:shd w:val="clear" w:color="auto" w:fill="DDEBF7"/>
          </w:tcPr>
          <w:p>
            <w:r>
              <w:rPr>
                <w:rFonts w:ascii="Meiryo UI" w:hAnsi="Meiryo UI"/>
                <w:sz w:val="18"/>
              </w:rPr>
              <w:t>¥420以上でBUY継続</w:t>
            </w:r>
          </w:p>
        </w:tc>
      </w:tr>
      <w:tr>
        <w:tc>
          <w:tcPr>
            <w:tcW w:type="dxa" w:w="4703"/>
          </w:tcPr>
          <w:p>
            <w:r>
              <w:rPr>
                <w:rFonts w:ascii="Meiryo UI" w:hAnsi="Meiryo UI"/>
                <w:sz w:val="18"/>
              </w:rPr>
              <w:t>推奨アクション</w:t>
            </w:r>
          </w:p>
        </w:tc>
        <w:tc>
          <w:tcPr>
            <w:tcW w:type="dxa" w:w="4703"/>
          </w:tcPr>
          <w:p>
            <w:r>
              <w:rPr>
                <w:rFonts w:ascii="Meiryo UI" w:hAnsi="Meiryo UI"/>
                <w:sz w:val="18"/>
              </w:rPr>
              <w:t>現値〜¥500でエントリー。最大1.0%。SL ¥400（PBR割れ水準）</w:t>
            </w:r>
          </w:p>
        </w:tc>
      </w:tr>
    </w:tbl>
    <w:p/>
    <w:p>
      <w:r>
        <w:rPr>
          <w:rFonts w:ascii="Meiryo UI" w:hAnsi="Meiryo UI"/>
          <w:sz w:val="20"/>
        </w:rPr>
        <w:t>3つの弾丸:</w:t>
      </w:r>
    </w:p>
    <w:p>
      <w:pPr>
        <w:pStyle w:val="ListNumber"/>
      </w:pPr>
      <w:r>
        <w:rPr>
          <w:rFonts w:ascii="Meiryo UI" w:hAnsi="Meiryo UI"/>
          <w:sz w:val="20"/>
        </w:rPr>
        <w:t>FY3/26 上方修正（4/20発表） — Q3（4〜12月）累計経常利益¥821億が通期計画¥889億の92.5%達成。Q4（1〜3月）は消費金融業の季節的ピーク（年度末借入需要高）。FY26実績は¥920〜950億（計画比+3〜7%超過）見込み。EPS改善→配当増額期待</w:t>
      </w:r>
    </w:p>
    <w:p>
      <w:pPr>
        <w:pStyle w:val="ListNumber"/>
      </w:pPr>
      <w:r>
        <w:rPr>
          <w:rFonts w:ascii="Meiryo UI" w:hAnsi="Meiryo UI"/>
          <w:sz w:val="20"/>
        </w:rPr>
        <w:t>MUFG親会社バックアップ × 信用保証フィー拡大 — 三菱UFJ銀行向け保証残高拡大継続。フィンテック経由の新規顧客獲得加速（デジタル促進部門新設4/1）。銀行融資保証ビジネスはカードローン以上に安定収益</w:t>
      </w:r>
    </w:p>
    <w:p>
      <w:pPr>
        <w:pStyle w:val="ListNumber"/>
      </w:pPr>
      <w:r>
        <w:rPr>
          <w:rFonts w:ascii="Meiryo UI" w:hAnsi="Meiryo UI"/>
          <w:sz w:val="20"/>
        </w:rPr>
        <w:t>金利上昇サイクルでの収益改善 — 消費者金融貸出金利（上限~14%）は政策金利より遥かに高い。調達コスト（MUFG親会社グループ資金）の上昇よりも貸出利回りの優位性が大。「金利上昇でもマージン縮小は軽微」の業界構造的優位性</w:t>
      </w:r>
    </w:p>
    <w:p/>
    <w:p>
      <w:r>
        <w:rPr>
          <w:rFonts w:ascii="Meiryo UI" w:hAnsi="Meiryo UI"/>
          <w:sz w:val="20"/>
        </w:rPr>
        <w:t>1つの主要リスク（定量）: 信用コスト急増リスク。景気後退局面での消費者ローン不良債権化→貸倒引当金急増→経常利益▲¥50〜100億。EPS▲¥3〜6/株。FV Impact: ▲¥24〜48（P/E 8x）。景気感応度が最大の下方リスク。</w:t>
      </w:r>
    </w:p>
    <w:p/>
    <w:p>
      <w:r>
        <w:t>──────────────────────────────────────────────────</w:t>
      </w:r>
    </w:p>
    <w:p/>
    <w:p>
      <w:pPr>
        <w:pStyle w:val="Heading2"/>
      </w:pPr>
      <w:r>
        <w:rPr>
          <w:rFonts w:ascii="Meiryo UI" w:hAnsi="Meiryo UI"/>
          <w:color w:val="2E74B5"/>
        </w:rPr>
        <w:t>■ IR情報・コンタクト先</w:t>
      </w:r>
    </w:p>
    <w:p/>
    <w:p>
      <w:pPr>
        <w:pStyle w:val="ListBullet"/>
      </w:pPr>
      <w:r>
        <w:rPr>
          <w:rFonts w:ascii="Meiryo UI" w:hAnsi="Meiryo UI"/>
          <w:sz w:val="20"/>
        </w:rPr>
        <w:t>会社名: アコム株式会社（ACOM CO., LTD.）</w:t>
      </w:r>
    </w:p>
    <w:p>
      <w:pPr>
        <w:pStyle w:val="ListBullet"/>
      </w:pPr>
      <w:r>
        <w:rPr>
          <w:rFonts w:ascii="Meiryo UI" w:hAnsi="Meiryo UI"/>
          <w:sz w:val="20"/>
        </w:rPr>
        <w:t>証券コード: 8572（東証プライム → 実際はスタンダード；要確認）</w:t>
      </w:r>
    </w:p>
    <w:p>
      <w:pPr>
        <w:pStyle w:val="ListBullet"/>
      </w:pPr>
      <w:r>
        <w:rPr>
          <w:rFonts w:ascii="Meiryo UI" w:hAnsi="Meiryo UI"/>
          <w:sz w:val="20"/>
        </w:rPr>
        <w:t>IRページ: https://www.acom.co.jp/corp/english/ir/</w:t>
      </w:r>
    </w:p>
    <w:p>
      <w:pPr>
        <w:pStyle w:val="ListBullet"/>
      </w:pPr>
      <w:r>
        <w:rPr>
          <w:rFonts w:ascii="Meiryo UI" w:hAnsi="Meiryo UI"/>
          <w:sz w:val="20"/>
        </w:rPr>
        <w:t>本社: 〒107-0062 東京都港区南青山2-3-6 住友不動産青山通りビル</w:t>
      </w:r>
    </w:p>
    <w:p>
      <w:pPr>
        <w:pStyle w:val="ListBullet"/>
      </w:pPr>
      <w:r>
        <w:rPr>
          <w:rFonts w:ascii="Meiryo UI" w:hAnsi="Meiryo UI"/>
          <w:sz w:val="20"/>
        </w:rPr>
        <w:t>IR担当メール: ir@acom.co.jp（推定）</w:t>
      </w:r>
    </w:p>
    <w:p>
      <w:pPr>
        <w:pStyle w:val="ListBullet"/>
      </w:pPr>
      <w:r>
        <w:rPr>
          <w:rFonts w:ascii="Meiryo UI" w:hAnsi="Meiryo UI"/>
          <w:sz w:val="20"/>
        </w:rPr>
        <w:t>IR電話: +81-3-5411-0011（代表）</w:t>
      </w:r>
    </w:p>
    <w:p>
      <w:pPr>
        <w:pStyle w:val="ListBullet"/>
      </w:pPr>
      <w:r>
        <w:rPr>
          <w:rFonts w:ascii="Meiryo UI" w:hAnsi="Meiryo UI"/>
          <w:sz w:val="20"/>
        </w:rPr>
        <w:t>決算発表（FY3/26通期）: 2026年4月下旬〜5月初旬（予定；本日4/20上方修正開示の可能性）</w:t>
      </w:r>
    </w:p>
    <w:p>
      <w:pPr>
        <w:pStyle w:val="ListBullet"/>
      </w:pPr>
      <w:r>
        <w:rPr>
          <w:rFonts w:ascii="Meiryo UI" w:hAnsi="Meiryo UI"/>
          <w:sz w:val="20"/>
        </w:rPr>
        <w:t>親会社: 三菱UFJフィナンシャル・グループ（MUFG、持分〜40%）</w:t>
      </w:r>
    </w:p>
    <w:p/>
    <w:p>
      <w:r>
        <w:t>──────────────────────────────────────────────────</w:t>
      </w:r>
    </w:p>
    <w:p/>
    <w:p>
      <w:pPr>
        <w:pStyle w:val="Heading2"/>
      </w:pPr>
      <w:r>
        <w:rPr>
          <w:rFonts w:ascii="Meiryo UI" w:hAnsi="Meiryo UI"/>
          <w:color w:val="2E74B5"/>
        </w:rPr>
        <w:t>1. 企業概要・事業モデル</w:t>
      </w:r>
    </w:p>
    <w:p/>
    <w:p>
      <w:r>
        <w:rPr>
          <w:rFonts w:ascii="Meiryo UI" w:hAnsi="Meiryo UI"/>
          <w:sz w:val="20"/>
        </w:rPr>
        <w:t>アコムは日本最大級の消費者金融会社。個人向けカードローン（「ACマスターカード」等）・信用保証・海外事業（タイ等）を主力とする。MUFGグループの消費者金融中核として位置付けられ、三菱UFJ銀行向けの保証業務（銀行カードローン）でグループ内取引が厚い。</w:t>
      </w:r>
    </w:p>
    <w:p/>
    <w:p>
      <w:r>
        <w:rPr>
          <w:rFonts w:ascii="Meiryo UI" w:hAnsi="Meiryo UI"/>
          <w:sz w:val="20"/>
        </w:rPr>
        <w:t>業界背景（重要）：</w:t>
      </w:r>
    </w:p>
    <w:p>
      <w:r>
        <w:rPr>
          <w:rFonts w:ascii="Meiryo UI" w:hAnsi="Meiryo UI"/>
          <w:sz w:val="20"/>
        </w:rPr>
        <w:t>消費者金融業界は2006〜2010年の「過払い金返還問題」（グレーゾーン金利撤廃）で壊滅的打撃を受け、アコムも特別損失を計上。以降は保守的経営に転換し、健全化が進む。現在は「貸金業法に基づく適正な貸出」体制が定着。</w:t>
      </w:r>
    </w:p>
    <w:p/>
    <w:p>
      <w:r>
        <w:rPr>
          <w:rFonts w:ascii="Meiryo UI" w:hAnsi="Meiryo UI"/>
          <w:sz w:val="20"/>
        </w:rPr>
        <w:t>事業区分:</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事業</w:t>
            </w:r>
          </w:p>
        </w:tc>
        <w:tc>
          <w:tcPr>
            <w:tcW w:type="dxa" w:w="3135"/>
            <w:shd w:val="clear" w:color="auto" w:fill="2E74B5"/>
          </w:tcPr>
          <w:p>
            <w:r>
              <w:rPr>
                <w:rFonts w:ascii="Meiryo UI" w:hAnsi="Meiryo UI"/>
                <w:b/>
                <w:color w:val="FFFFFF"/>
                <w:sz w:val="18"/>
              </w:rPr>
              <w:t>特性</w:t>
            </w:r>
          </w:p>
        </w:tc>
        <w:tc>
          <w:tcPr>
            <w:tcW w:type="dxa" w:w="3135"/>
            <w:shd w:val="clear" w:color="auto" w:fill="2E74B5"/>
          </w:tcPr>
          <w:p>
            <w:r>
              <w:rPr>
                <w:rFonts w:ascii="Meiryo UI" w:hAnsi="Meiryo UI"/>
                <w:b/>
                <w:color w:val="FFFFFF"/>
                <w:sz w:val="18"/>
              </w:rPr>
              <w:t>収益安定性</w:t>
            </w:r>
          </w:p>
        </w:tc>
      </w:tr>
      <w:tr>
        <w:tc>
          <w:tcPr>
            <w:tcW w:type="dxa" w:w="3135"/>
          </w:tcPr>
          <w:p>
            <w:r>
              <w:rPr>
                <w:rFonts w:ascii="Meiryo UI" w:hAnsi="Meiryo UI"/>
                <w:sz w:val="18"/>
              </w:rPr>
              <w:t>個人向けカードローン</w:t>
            </w:r>
          </w:p>
        </w:tc>
        <w:tc>
          <w:tcPr>
            <w:tcW w:type="dxa" w:w="3135"/>
          </w:tcPr>
          <w:p>
            <w:r>
              <w:rPr>
                <w:rFonts w:ascii="Meiryo UI" w:hAnsi="Meiryo UI"/>
                <w:sz w:val="18"/>
              </w:rPr>
              <w:t>スポット収益型・金利感応</w:t>
            </w:r>
          </w:p>
        </w:tc>
        <w:tc>
          <w:tcPr>
            <w:tcW w:type="dxa" w:w="3135"/>
          </w:tcPr>
          <w:p>
            <w:r>
              <w:rPr>
                <w:rFonts w:ascii="Meiryo UI" w:hAnsi="Meiryo UI"/>
                <w:sz w:val="18"/>
              </w:rPr>
              <w:t>中（景気連動）</w:t>
            </w:r>
          </w:p>
        </w:tc>
      </w:tr>
      <w:tr>
        <w:tc>
          <w:tcPr>
            <w:tcW w:type="dxa" w:w="3135"/>
            <w:shd w:val="clear" w:color="auto" w:fill="DDEBF7"/>
          </w:tcPr>
          <w:p>
            <w:r>
              <w:rPr>
                <w:rFonts w:ascii="Meiryo UI" w:hAnsi="Meiryo UI"/>
                <w:sz w:val="18"/>
              </w:rPr>
              <w:t>信用保証（MUFG向け）</w:t>
            </w:r>
          </w:p>
        </w:tc>
        <w:tc>
          <w:tcPr>
            <w:tcW w:type="dxa" w:w="3135"/>
            <w:shd w:val="clear" w:color="auto" w:fill="DDEBF7"/>
          </w:tcPr>
          <w:p>
            <w:r>
              <w:rPr>
                <w:rFonts w:ascii="Meiryo UI" w:hAnsi="Meiryo UI"/>
                <w:sz w:val="18"/>
              </w:rPr>
              <w:t>フィー収入型・安定</w:t>
            </w:r>
          </w:p>
        </w:tc>
        <w:tc>
          <w:tcPr>
            <w:tcW w:type="dxa" w:w="3135"/>
            <w:shd w:val="clear" w:color="auto" w:fill="DDEBF7"/>
          </w:tcPr>
          <w:p>
            <w:r>
              <w:rPr>
                <w:rFonts w:ascii="Meiryo UI" w:hAnsi="Meiryo UI"/>
                <w:sz w:val="18"/>
              </w:rPr>
              <w:t>高（グループ取引）</w:t>
            </w:r>
          </w:p>
        </w:tc>
      </w:tr>
      <w:tr>
        <w:tc>
          <w:tcPr>
            <w:tcW w:type="dxa" w:w="3135"/>
          </w:tcPr>
          <w:p>
            <w:r>
              <w:rPr>
                <w:rFonts w:ascii="Meiryo UI" w:hAnsi="Meiryo UI"/>
                <w:sz w:val="18"/>
              </w:rPr>
              <w:t>海外事業（タイ等）</w:t>
            </w:r>
          </w:p>
        </w:tc>
        <w:tc>
          <w:tcPr>
            <w:tcW w:type="dxa" w:w="3135"/>
          </w:tcPr>
          <w:p>
            <w:r>
              <w:rPr>
                <w:rFonts w:ascii="Meiryo UI" w:hAnsi="Meiryo UI"/>
                <w:sz w:val="18"/>
              </w:rPr>
              <w:t>成長ドライバー</w:t>
            </w:r>
          </w:p>
        </w:tc>
        <w:tc>
          <w:tcPr>
            <w:tcW w:type="dxa" w:w="3135"/>
          </w:tcPr>
          <w:p>
            <w:r>
              <w:rPr>
                <w:rFonts w:ascii="Meiryo UI" w:hAnsi="Meiryo UI"/>
                <w:sz w:val="18"/>
              </w:rPr>
              <w:t>中（為替・現地景気リスク）</w:t>
            </w:r>
          </w:p>
        </w:tc>
      </w:tr>
      <w:tr>
        <w:tc>
          <w:tcPr>
            <w:tcW w:type="dxa" w:w="3135"/>
            <w:shd w:val="clear" w:color="auto" w:fill="DDEBF7"/>
          </w:tcPr>
          <w:p>
            <w:r>
              <w:rPr>
                <w:rFonts w:ascii="Meiryo UI" w:hAnsi="Meiryo UI"/>
                <w:sz w:val="18"/>
              </w:rPr>
              <w:t>その他金融</w:t>
            </w:r>
          </w:p>
        </w:tc>
        <w:tc>
          <w:tcPr>
            <w:tcW w:type="dxa" w:w="3135"/>
            <w:shd w:val="clear" w:color="auto" w:fill="DDEBF7"/>
          </w:tcPr>
          <w:p>
            <w:r>
              <w:rPr>
                <w:rFonts w:ascii="Meiryo UI" w:hAnsi="Meiryo UI"/>
                <w:sz w:val="18"/>
              </w:rPr>
              <w:t>小型</w:t>
            </w:r>
          </w:p>
        </w:tc>
        <w:tc>
          <w:tcPr>
            <w:tcW w:type="dxa" w:w="3135"/>
            <w:shd w:val="clear" w:color="auto" w:fill="DDEBF7"/>
          </w:tcPr>
          <w:p>
            <w:r>
              <w:rPr>
                <w:rFonts w:ascii="Meiryo UI" w:hAnsi="Meiryo UI"/>
                <w:sz w:val="18"/>
              </w:rPr>
              <w:t>−</w:t>
            </w:r>
          </w:p>
        </w:tc>
      </w:tr>
    </w:tbl>
    <w:p/>
    <w:p>
      <w:r>
        <w:rPr>
          <w:rFonts w:ascii="Meiryo UI" w:hAnsi="Meiryo UI"/>
          <w:sz w:val="20"/>
        </w:rPr>
        <w:t>発行済株数（概算）:</w:t>
      </w:r>
    </w:p>
    <w:p>
      <w:r>
        <w:rPr>
          <w:rFonts w:ascii="Meiryo UI" w:hAnsi="Meiryo UI"/>
          <w:sz w:val="20"/>
        </w:rPr>
        <w:t>市場時価総額 ¥733.96B ÷ 株価 ¥471.5 = 約1,556M株</w:t>
      </w:r>
    </w:p>
    <w:p/>
    <w:p>
      <w:r>
        <w:t>──────────────────────────────────────────────────</w:t>
      </w:r>
    </w:p>
    <w:p/>
    <w:p>
      <w:pPr>
        <w:pStyle w:val="Heading2"/>
      </w:pPr>
      <w:r>
        <w:rPr>
          <w:rFonts w:ascii="Meiryo UI" w:hAnsi="Meiryo UI"/>
          <w:color w:val="2E74B5"/>
        </w:rPr>
        <w:t>2. 上方修正内容（4/20発表：ユーザー確認情報）</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旧ガイダンス（期初）</w:t>
            </w:r>
          </w:p>
        </w:tc>
        <w:tc>
          <w:tcPr>
            <w:tcW w:type="dxa" w:w="2351"/>
            <w:shd w:val="clear" w:color="auto" w:fill="2E74B5"/>
          </w:tcPr>
          <w:p>
            <w:r>
              <w:rPr>
                <w:rFonts w:ascii="Meiryo UI" w:hAnsi="Meiryo UI"/>
                <w:b/>
                <w:color w:val="FFFFFF"/>
                <w:sz w:val="18"/>
              </w:rPr>
              <w:t>推定実績/修正後</w:t>
            </w:r>
          </w:p>
        </w:tc>
        <w:tc>
          <w:tcPr>
            <w:tcW w:type="dxa" w:w="2351"/>
            <w:shd w:val="clear" w:color="auto" w:fill="2E74B5"/>
          </w:tcPr>
          <w:p>
            <w:r>
              <w:rPr>
                <w:rFonts w:ascii="Meiryo UI" w:hAnsi="Meiryo UI"/>
                <w:b/>
                <w:color w:val="FFFFFF"/>
                <w:sz w:val="18"/>
              </w:rPr>
              <w:t>変化</w:t>
            </w:r>
          </w:p>
        </w:tc>
      </w:tr>
      <w:tr>
        <w:tc>
          <w:tcPr>
            <w:tcW w:type="dxa" w:w="2351"/>
          </w:tcPr>
          <w:p>
            <w:r>
              <w:rPr>
                <w:rFonts w:ascii="Meiryo UI" w:hAnsi="Meiryo UI"/>
                <w:sz w:val="18"/>
              </w:rPr>
              <w:t>営業収益（売上）</w:t>
            </w:r>
          </w:p>
        </w:tc>
        <w:tc>
          <w:tcPr>
            <w:tcW w:type="dxa" w:w="2351"/>
          </w:tcPr>
          <w:p>
            <w:r>
              <w:rPr>
                <w:rFonts w:ascii="Meiryo UI" w:hAnsi="Meiryo UI"/>
                <w:sz w:val="18"/>
              </w:rPr>
              <w:t>¥3,318億</w:t>
            </w:r>
          </w:p>
        </w:tc>
        <w:tc>
          <w:tcPr>
            <w:tcW w:type="dxa" w:w="2351"/>
          </w:tcPr>
          <w:p>
            <w:r>
              <w:rPr>
                <w:rFonts w:ascii="Meiryo UI" w:hAnsi="Meiryo UI"/>
                <w:sz w:val="18"/>
              </w:rPr>
              <w:t>¥3,350〜3,400億（推定）</w:t>
            </w:r>
          </w:p>
        </w:tc>
        <w:tc>
          <w:tcPr>
            <w:tcW w:type="dxa" w:w="2351"/>
          </w:tcPr>
          <w:p>
            <w:r>
              <w:rPr>
                <w:rFonts w:ascii="Meiryo UI" w:hAnsi="Meiryo UI"/>
                <w:sz w:val="18"/>
              </w:rPr>
              <w:t>+1〜2%</w:t>
            </w:r>
          </w:p>
        </w:tc>
      </w:tr>
      <w:tr>
        <w:tc>
          <w:tcPr>
            <w:tcW w:type="dxa" w:w="2351"/>
            <w:shd w:val="clear" w:color="auto" w:fill="DDEBF7"/>
          </w:tcPr>
          <w:p>
            <w:r>
              <w:rPr>
                <w:rFonts w:ascii="Meiryo UI" w:hAnsi="Meiryo UI"/>
                <w:sz w:val="18"/>
              </w:rPr>
              <w:t>経常利益</w:t>
            </w:r>
          </w:p>
        </w:tc>
        <w:tc>
          <w:tcPr>
            <w:tcW w:type="dxa" w:w="2351"/>
            <w:shd w:val="clear" w:color="auto" w:fill="DDEBF7"/>
          </w:tcPr>
          <w:p>
            <w:r>
              <w:rPr>
                <w:rFonts w:ascii="Meiryo UI" w:hAnsi="Meiryo UI"/>
                <w:sz w:val="18"/>
              </w:rPr>
              <w:t>¥889億</w:t>
            </w:r>
          </w:p>
        </w:tc>
        <w:tc>
          <w:tcPr>
            <w:tcW w:type="dxa" w:w="2351"/>
            <w:shd w:val="clear" w:color="auto" w:fill="DDEBF7"/>
          </w:tcPr>
          <w:p>
            <w:r>
              <w:rPr>
                <w:rFonts w:ascii="Meiryo UI" w:hAnsi="Meiryo UI"/>
                <w:sz w:val="18"/>
              </w:rPr>
              <w:t>¥920〜950億（推定）</w:t>
            </w:r>
          </w:p>
        </w:tc>
        <w:tc>
          <w:tcPr>
            <w:tcW w:type="dxa" w:w="2351"/>
            <w:shd w:val="clear" w:color="auto" w:fill="DDEBF7"/>
          </w:tcPr>
          <w:p>
            <w:r>
              <w:rPr>
                <w:rFonts w:ascii="Meiryo UI" w:hAnsi="Meiryo UI"/>
                <w:sz w:val="18"/>
              </w:rPr>
              <w:t>+3〜7%</w:t>
            </w:r>
          </w:p>
        </w:tc>
      </w:tr>
      <w:tr>
        <w:tc>
          <w:tcPr>
            <w:tcW w:type="dxa" w:w="2351"/>
          </w:tcPr>
          <w:p>
            <w:r>
              <w:rPr>
                <w:rFonts w:ascii="Meiryo UI" w:hAnsi="Meiryo UI"/>
                <w:sz w:val="18"/>
              </w:rPr>
              <w:t>純利益</w:t>
            </w:r>
          </w:p>
        </w:tc>
        <w:tc>
          <w:tcPr>
            <w:tcW w:type="dxa" w:w="2351"/>
          </w:tcPr>
          <w:p>
            <w:r>
              <w:rPr>
                <w:rFonts w:ascii="Meiryo UI" w:hAnsi="Meiryo UI"/>
                <w:sz w:val="18"/>
              </w:rPr>
              <w:t>¥722億</w:t>
            </w:r>
          </w:p>
        </w:tc>
        <w:tc>
          <w:tcPr>
            <w:tcW w:type="dxa" w:w="2351"/>
          </w:tcPr>
          <w:p>
            <w:r>
              <w:rPr>
                <w:rFonts w:ascii="Meiryo UI" w:hAnsi="Meiryo UI"/>
                <w:sz w:val="18"/>
              </w:rPr>
              <w:t>¥740〜760億（推定）</w:t>
            </w:r>
          </w:p>
        </w:tc>
        <w:tc>
          <w:tcPr>
            <w:tcW w:type="dxa" w:w="2351"/>
          </w:tcPr>
          <w:p>
            <w:r>
              <w:rPr>
                <w:rFonts w:ascii="Meiryo UI" w:hAnsi="Meiryo UI"/>
                <w:sz w:val="18"/>
              </w:rPr>
              <w:t>+2〜5%</w:t>
            </w:r>
          </w:p>
        </w:tc>
      </w:tr>
      <w:tr>
        <w:tc>
          <w:tcPr>
            <w:tcW w:type="dxa" w:w="2351"/>
            <w:shd w:val="clear" w:color="auto" w:fill="DDEBF7"/>
          </w:tcPr>
          <w:p>
            <w:r>
              <w:rPr>
                <w:rFonts w:ascii="Meiryo UI" w:hAnsi="Meiryo UI"/>
                <w:sz w:val="18"/>
              </w:rPr>
              <w:t>EPS</w:t>
            </w:r>
          </w:p>
        </w:tc>
        <w:tc>
          <w:tcPr>
            <w:tcW w:type="dxa" w:w="2351"/>
            <w:shd w:val="clear" w:color="auto" w:fill="DDEBF7"/>
          </w:tcPr>
          <w:p>
            <w:r>
              <w:rPr>
                <w:rFonts w:ascii="Meiryo UI" w:hAnsi="Meiryo UI"/>
                <w:sz w:val="18"/>
              </w:rPr>
              <w:t>¥46.4</w:t>
            </w:r>
          </w:p>
        </w:tc>
        <w:tc>
          <w:tcPr>
            <w:tcW w:type="dxa" w:w="2351"/>
            <w:shd w:val="clear" w:color="auto" w:fill="DDEBF7"/>
          </w:tcPr>
          <w:p>
            <w:r>
              <w:rPr>
                <w:rFonts w:ascii="Meiryo UI" w:hAnsi="Meiryo UI"/>
                <w:sz w:val="18"/>
              </w:rPr>
              <w:t>¥47.6〜48.9（推定）</w:t>
            </w:r>
          </w:p>
        </w:tc>
        <w:tc>
          <w:tcPr>
            <w:tcW w:type="dxa" w:w="2351"/>
            <w:shd w:val="clear" w:color="auto" w:fill="DDEBF7"/>
          </w:tcPr>
          <w:p>
            <w:r>
              <w:rPr>
                <w:rFonts w:ascii="Meiryo UI" w:hAnsi="Meiryo UI"/>
                <w:sz w:val="18"/>
              </w:rPr>
              <w:t>+2〜5%</w:t>
            </w:r>
          </w:p>
        </w:tc>
      </w:tr>
    </w:tbl>
    <w:p/>
    <w:p>
      <w:r>
        <w:rPr>
          <w:rFonts w:ascii="Meiryo UI" w:hAnsi="Meiryo UI"/>
          <w:sz w:val="20"/>
        </w:rPr>
        <w:t>注：4/20の開示内容は確認時点で詳細未入手。上記は Q3累計92.5%進捗率 + Q4季節性強を基に推計。実際の開示値と必ず照合すること（データ整合性プロトコル）。</w:t>
      </w:r>
    </w:p>
    <w:p/>
    <w:p>
      <w:r>
        <w:rPr>
          <w:rFonts w:ascii="Meiryo UI" w:hAnsi="Meiryo UI"/>
          <w:sz w:val="20"/>
        </w:rPr>
        <w:t>Q3（4〜12月）確認値（Bloomberg・2026/1/30発表）:</w:t>
      </w:r>
    </w:p>
    <w:p>
      <w:pPr>
        <w:pStyle w:val="ListBullet"/>
      </w:pPr>
      <w:r>
        <w:rPr>
          <w:rFonts w:ascii="Meiryo UI" w:hAnsi="Meiryo UI"/>
          <w:sz w:val="20"/>
        </w:rPr>
        <w:t>累計経常利益：¥821億（前年同期比 +9.6%）</w:t>
      </w:r>
    </w:p>
    <w:p>
      <w:pPr>
        <w:pStyle w:val="ListBullet"/>
      </w:pPr>
      <w:r>
        <w:rPr>
          <w:rFonts w:ascii="Meiryo UI" w:hAnsi="Meiryo UI"/>
          <w:sz w:val="20"/>
        </w:rPr>
        <w:t>通期計画進捗：92.5%（Q3時点で残1Qにして残¥68億のみ）</w:t>
      </w:r>
    </w:p>
    <w:p>
      <w:pPr>
        <w:pStyle w:val="ListBullet"/>
      </w:pPr>
      <w:r>
        <w:rPr>
          <w:rFonts w:ascii="Meiryo UI" w:hAnsi="Meiryo UI"/>
          <w:sz w:val="20"/>
        </w:rPr>
        <w:t>Q3単四半期トレンドから見た Q4推計：+¥100〜130億 → FY合計 ¥921〜951億</w:t>
      </w:r>
    </w:p>
    <w:p/>
    <w:p>
      <w:r>
        <w:t>──────────────────────────────────────────────────</w:t>
      </w:r>
    </w:p>
    <w:p/>
    <w:p>
      <w:pPr>
        <w:pStyle w:val="Heading2"/>
      </w:pPr>
      <w:r>
        <w:rPr>
          <w:rFonts w:ascii="Meiryo UI" w:hAnsi="Meiryo UI"/>
          <w:color w:val="2E74B5"/>
        </w:rPr>
        <w:t>3. 金利環境と収益への影響分析</w:t>
      </w:r>
    </w:p>
    <w:p/>
    <w:p>
      <w:r>
        <w:rPr>
          <w:rFonts w:ascii="Meiryo UI" w:hAnsi="Meiryo UI"/>
          <w:sz w:val="20"/>
        </w:rPr>
        <w:t>アコムの収益モデルは「貸出金利と調達コストのスプレッド」に依拠。日銀利上げサイクルにおける影響を定量化：</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要素</w:t>
            </w:r>
          </w:p>
        </w:tc>
        <w:tc>
          <w:tcPr>
            <w:tcW w:type="dxa" w:w="2351"/>
            <w:shd w:val="clear" w:color="auto" w:fill="2E74B5"/>
          </w:tcPr>
          <w:p>
            <w:r>
              <w:rPr>
                <w:rFonts w:ascii="Meiryo UI" w:hAnsi="Meiryo UI"/>
                <w:b/>
                <w:color w:val="FFFFFF"/>
                <w:sz w:val="18"/>
              </w:rPr>
              <w:t>現状</w:t>
            </w:r>
          </w:p>
        </w:tc>
        <w:tc>
          <w:tcPr>
            <w:tcW w:type="dxa" w:w="2351"/>
            <w:shd w:val="clear" w:color="auto" w:fill="2E74B5"/>
          </w:tcPr>
          <w:p>
            <w:r>
              <w:rPr>
                <w:rFonts w:ascii="Meiryo UI" w:hAnsi="Meiryo UI"/>
                <w:b/>
                <w:color w:val="FFFFFF"/>
                <w:sz w:val="18"/>
              </w:rPr>
              <w:t>+1%金利上昇時</w:t>
            </w:r>
          </w:p>
        </w:tc>
        <w:tc>
          <w:tcPr>
            <w:tcW w:type="dxa" w:w="2351"/>
            <w:shd w:val="clear" w:color="auto" w:fill="2E74B5"/>
          </w:tcPr>
          <w:p>
            <w:r>
              <w:rPr>
                <w:rFonts w:ascii="Meiryo UI" w:hAnsi="Meiryo UI"/>
                <w:b/>
                <w:color w:val="FFFFFF"/>
                <w:sz w:val="18"/>
              </w:rPr>
              <w:t>影響方向</w:t>
            </w:r>
          </w:p>
        </w:tc>
      </w:tr>
      <w:tr>
        <w:tc>
          <w:tcPr>
            <w:tcW w:type="dxa" w:w="2351"/>
          </w:tcPr>
          <w:p>
            <w:r>
              <w:rPr>
                <w:rFonts w:ascii="Meiryo UI" w:hAnsi="Meiryo UI"/>
                <w:sz w:val="18"/>
              </w:rPr>
              <w:t>貸出金利（上限）</w:t>
            </w:r>
          </w:p>
        </w:tc>
        <w:tc>
          <w:tcPr>
            <w:tcW w:type="dxa" w:w="2351"/>
          </w:tcPr>
          <w:p>
            <w:r>
              <w:rPr>
                <w:rFonts w:ascii="Meiryo UI" w:hAnsi="Meiryo UI"/>
                <w:sz w:val="18"/>
              </w:rPr>
              <w:t>~13.5〜14.0%</w:t>
            </w:r>
          </w:p>
        </w:tc>
        <w:tc>
          <w:tcPr>
            <w:tcW w:type="dxa" w:w="2351"/>
          </w:tcPr>
          <w:p>
            <w:r>
              <w:rPr>
                <w:rFonts w:ascii="Meiryo UI" w:hAnsi="Meiryo UI"/>
                <w:sz w:val="18"/>
              </w:rPr>
              <w:t>据え置き（利息制限法上限固定）</w:t>
            </w:r>
          </w:p>
        </w:tc>
        <w:tc>
          <w:tcPr>
            <w:tcW w:type="dxa" w:w="2351"/>
          </w:tcPr>
          <w:p>
            <w:r>
              <w:rPr>
                <w:rFonts w:ascii="Meiryo UI" w:hAnsi="Meiryo UI"/>
                <w:sz w:val="18"/>
              </w:rPr>
              <w:t>変化なし</w:t>
            </w:r>
          </w:p>
        </w:tc>
      </w:tr>
      <w:tr>
        <w:tc>
          <w:tcPr>
            <w:tcW w:type="dxa" w:w="2351"/>
            <w:shd w:val="clear" w:color="auto" w:fill="DDEBF7"/>
          </w:tcPr>
          <w:p>
            <w:r>
              <w:rPr>
                <w:rFonts w:ascii="Meiryo UI" w:hAnsi="Meiryo UI"/>
                <w:sz w:val="18"/>
              </w:rPr>
              <w:t>調達コスト（MUFG資金）</w:t>
            </w:r>
          </w:p>
        </w:tc>
        <w:tc>
          <w:tcPr>
            <w:tcW w:type="dxa" w:w="2351"/>
            <w:shd w:val="clear" w:color="auto" w:fill="DDEBF7"/>
          </w:tcPr>
          <w:p>
            <w:r>
              <w:rPr>
                <w:rFonts w:ascii="Meiryo UI" w:hAnsi="Meiryo UI"/>
                <w:sz w:val="18"/>
              </w:rPr>
              <w:t>低水準（政策金利連動）</w:t>
            </w:r>
          </w:p>
        </w:tc>
        <w:tc>
          <w:tcPr>
            <w:tcW w:type="dxa" w:w="2351"/>
            <w:shd w:val="clear" w:color="auto" w:fill="DDEBF7"/>
          </w:tcPr>
          <w:p>
            <w:r>
              <w:rPr>
                <w:rFonts w:ascii="Meiryo UI" w:hAnsi="Meiryo UI"/>
                <w:sz w:val="18"/>
              </w:rPr>
              <w:t>+0.5〜0.8%（ラグあり）</w:t>
            </w:r>
          </w:p>
        </w:tc>
        <w:tc>
          <w:tcPr>
            <w:tcW w:type="dxa" w:w="2351"/>
            <w:shd w:val="clear" w:color="auto" w:fill="DDEBF7"/>
          </w:tcPr>
          <w:p>
            <w:r>
              <w:rPr>
                <w:rFonts w:ascii="Meiryo UI" w:hAnsi="Meiryo UI"/>
                <w:sz w:val="18"/>
              </w:rPr>
              <w:t>コスト増</w:t>
            </w:r>
          </w:p>
        </w:tc>
      </w:tr>
      <w:tr>
        <w:tc>
          <w:tcPr>
            <w:tcW w:type="dxa" w:w="2351"/>
          </w:tcPr>
          <w:p>
            <w:r>
              <w:rPr>
                <w:rFonts w:ascii="Meiryo UI" w:hAnsi="Meiryo UI"/>
                <w:sz w:val="18"/>
              </w:rPr>
              <w:t>スプレッド</w:t>
            </w:r>
          </w:p>
        </w:tc>
        <w:tc>
          <w:tcPr>
            <w:tcW w:type="dxa" w:w="2351"/>
          </w:tcPr>
          <w:p>
            <w:r>
              <w:rPr>
                <w:rFonts w:ascii="Meiryo UI" w:hAnsi="Meiryo UI"/>
                <w:sz w:val="18"/>
              </w:rPr>
              <w:t>~12%（高水準）</w:t>
            </w:r>
          </w:p>
        </w:tc>
        <w:tc>
          <w:tcPr>
            <w:tcW w:type="dxa" w:w="2351"/>
          </w:tcPr>
          <w:p>
            <w:r>
              <w:rPr>
                <w:rFonts w:ascii="Meiryo UI" w:hAnsi="Meiryo UI"/>
                <w:sz w:val="18"/>
              </w:rPr>
              <w:t>~11.5%（微縮小）</w:t>
            </w:r>
          </w:p>
        </w:tc>
        <w:tc>
          <w:tcPr>
            <w:tcW w:type="dxa" w:w="2351"/>
          </w:tcPr>
          <w:p>
            <w:r>
              <w:rPr>
                <w:rFonts w:ascii="Meiryo UI" w:hAnsi="Meiryo UI"/>
                <w:sz w:val="18"/>
              </w:rPr>
              <w:t>軽微ネガ</w:t>
            </w:r>
          </w:p>
        </w:tc>
      </w:tr>
      <w:tr>
        <w:tc>
          <w:tcPr>
            <w:tcW w:type="dxa" w:w="2351"/>
            <w:shd w:val="clear" w:color="auto" w:fill="DDEBF7"/>
          </w:tcPr>
          <w:p>
            <w:r>
              <w:rPr>
                <w:rFonts w:ascii="Meiryo UI" w:hAnsi="Meiryo UI"/>
                <w:sz w:val="18"/>
              </w:rPr>
              <w:t>新規顧客獲得</w:t>
            </w:r>
          </w:p>
        </w:tc>
        <w:tc>
          <w:tcPr>
            <w:tcW w:type="dxa" w:w="2351"/>
            <w:shd w:val="clear" w:color="auto" w:fill="DDEBF7"/>
          </w:tcPr>
          <w:p>
            <w:r>
              <w:rPr>
                <w:rFonts w:ascii="Meiryo UI" w:hAnsi="Meiryo UI"/>
                <w:sz w:val="18"/>
              </w:rPr>
              <w:t>堅調</w:t>
            </w:r>
          </w:p>
        </w:tc>
        <w:tc>
          <w:tcPr>
            <w:tcW w:type="dxa" w:w="2351"/>
            <w:shd w:val="clear" w:color="auto" w:fill="DDEBF7"/>
          </w:tcPr>
          <w:p>
            <w:r>
              <w:rPr>
                <w:rFonts w:ascii="Meiryo UI" w:hAnsi="Meiryo UI"/>
                <w:sz w:val="18"/>
              </w:rPr>
              <w:t>返済能力審査厳格化→若干減速</w:t>
            </w:r>
          </w:p>
        </w:tc>
        <w:tc>
          <w:tcPr>
            <w:tcW w:type="dxa" w:w="2351"/>
            <w:shd w:val="clear" w:color="auto" w:fill="DDEBF7"/>
          </w:tcPr>
          <w:p>
            <w:r>
              <w:rPr>
                <w:rFonts w:ascii="Meiryo UI" w:hAnsi="Meiryo UI"/>
                <w:sz w:val="18"/>
              </w:rPr>
              <w:t>軽微ネガ</w:t>
            </w:r>
          </w:p>
        </w:tc>
      </w:tr>
    </w:tbl>
    <w:p/>
    <w:p>
      <w:r>
        <w:rPr>
          <w:rFonts w:ascii="Meiryo UI" w:hAnsi="Meiryo UI"/>
          <w:sz w:val="20"/>
        </w:rPr>
        <w:t>結論： 金利+1%でスプレッド▲0.5%程度の影響。経常利益への影響は▲¥10〜20億（経常利益の1〜2%）。消費者金融は金利上昇に対して相対的に耐性が高い。</w:t>
      </w:r>
    </w:p>
    <w:p/>
    <w:p>
      <w:r>
        <w:t>──────────────────────────────────────────────────</w:t>
      </w:r>
    </w:p>
    <w:p/>
    <w:p>
      <w:pPr>
        <w:pStyle w:val="Heading2"/>
      </w:pPr>
      <w:r>
        <w:rPr>
          <w:rFonts w:ascii="Meiryo UI" w:hAnsi="Meiryo UI"/>
          <w:color w:val="2E74B5"/>
        </w:rPr>
        <w:t>4. 財務実績（Bloomberg確認値・Q3まで）</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FY3/24（参考）</w:t>
            </w:r>
          </w:p>
        </w:tc>
        <w:tc>
          <w:tcPr>
            <w:tcW w:type="dxa" w:w="2351"/>
            <w:shd w:val="clear" w:color="auto" w:fill="2E74B5"/>
          </w:tcPr>
          <w:p>
            <w:r>
              <w:rPr>
                <w:rFonts w:ascii="Meiryo UI" w:hAnsi="Meiryo UI"/>
                <w:b/>
                <w:color w:val="FFFFFF"/>
                <w:sz w:val="18"/>
              </w:rPr>
              <w:t>FY3/25（参考）</w:t>
            </w:r>
          </w:p>
        </w:tc>
        <w:tc>
          <w:tcPr>
            <w:tcW w:type="dxa" w:w="2351"/>
            <w:shd w:val="clear" w:color="auto" w:fill="2E74B5"/>
          </w:tcPr>
          <w:p>
            <w:r>
              <w:rPr>
                <w:rFonts w:ascii="Meiryo UI" w:hAnsi="Meiryo UI"/>
                <w:b/>
                <w:color w:val="FFFFFF"/>
                <w:sz w:val="18"/>
              </w:rPr>
              <w:t>FY3/26 Q3累計</w:t>
            </w:r>
          </w:p>
        </w:tc>
      </w:tr>
      <w:tr>
        <w:tc>
          <w:tcPr>
            <w:tcW w:type="dxa" w:w="2351"/>
          </w:tcPr>
          <w:p>
            <w:r>
              <w:rPr>
                <w:rFonts w:ascii="Meiryo UI" w:hAnsi="Meiryo UI"/>
                <w:sz w:val="18"/>
              </w:rPr>
              <w:t>営業収益（売上）</w:t>
            </w:r>
          </w:p>
        </w:tc>
        <w:tc>
          <w:tcPr>
            <w:tcW w:type="dxa" w:w="2351"/>
          </w:tcPr>
          <w:p>
            <w:r>
              <w:rPr>
                <w:rFonts w:ascii="Meiryo UI" w:hAnsi="Meiryo UI"/>
                <w:sz w:val="18"/>
              </w:rPr>
              <w:t>増収傾向</w:t>
            </w:r>
          </w:p>
        </w:tc>
        <w:tc>
          <w:tcPr>
            <w:tcW w:type="dxa" w:w="2351"/>
          </w:tcPr>
          <w:p>
            <w:r>
              <w:rPr>
                <w:rFonts w:ascii="Meiryo UI" w:hAnsi="Meiryo UI"/>
                <w:sz w:val="18"/>
              </w:rPr>
              <w:t>¥3,180億前後</w:t>
            </w:r>
          </w:p>
        </w:tc>
        <w:tc>
          <w:tcPr>
            <w:tcW w:type="dxa" w:w="2351"/>
          </w:tcPr>
          <w:p>
            <w:r>
              <w:rPr>
                <w:rFonts w:ascii="Meiryo UI" w:hAnsi="Meiryo UI"/>
                <w:sz w:val="18"/>
              </w:rPr>
              <w:t>¥1,657億（H1）→ YTD増加</w:t>
            </w:r>
          </w:p>
        </w:tc>
      </w:tr>
      <w:tr>
        <w:tc>
          <w:tcPr>
            <w:tcW w:type="dxa" w:w="2351"/>
            <w:shd w:val="clear" w:color="auto" w:fill="DDEBF7"/>
          </w:tcPr>
          <w:p>
            <w:r>
              <w:rPr>
                <w:rFonts w:ascii="Meiryo UI" w:hAnsi="Meiryo UI"/>
                <w:sz w:val="18"/>
              </w:rPr>
              <w:t>経常利益（累計）</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~¥589億（推計）</w:t>
            </w:r>
          </w:p>
        </w:tc>
        <w:tc>
          <w:tcPr>
            <w:tcW w:type="dxa" w:w="2351"/>
            <w:shd w:val="clear" w:color="auto" w:fill="DDEBF7"/>
          </w:tcPr>
          <w:p>
            <w:r>
              <w:rPr>
                <w:rFonts w:ascii="Meiryo UI" w:hAnsi="Meiryo UI"/>
                <w:sz w:val="18"/>
              </w:rPr>
              <w:t>¥821億</w:t>
            </w:r>
          </w:p>
        </w:tc>
      </w:tr>
      <w:tr>
        <w:tc>
          <w:tcPr>
            <w:tcW w:type="dxa" w:w="2351"/>
          </w:tcPr>
          <w:p>
            <w:r>
              <w:rPr>
                <w:rFonts w:ascii="Meiryo UI" w:hAnsi="Meiryo UI"/>
                <w:sz w:val="18"/>
              </w:rPr>
              <w:t>進捗率</w:t>
            </w:r>
          </w:p>
        </w:tc>
        <w:tc>
          <w:tcPr>
            <w:tcW w:type="dxa" w:w="2351"/>
          </w:tcPr>
          <w:p>
            <w:r>
              <w:rPr>
                <w:rFonts w:ascii="Meiryo UI" w:hAnsi="Meiryo UI"/>
                <w:sz w:val="18"/>
              </w:rPr>
              <w:t>−</w:t>
            </w:r>
          </w:p>
        </w:tc>
        <w:tc>
          <w:tcPr>
            <w:tcW w:type="dxa" w:w="2351"/>
          </w:tcPr>
          <w:p>
            <w:r>
              <w:rPr>
                <w:rFonts w:ascii="Meiryo UI" w:hAnsi="Meiryo UI"/>
                <w:sz w:val="18"/>
              </w:rPr>
              <w:t>−</w:t>
            </w:r>
          </w:p>
        </w:tc>
        <w:tc>
          <w:tcPr>
            <w:tcW w:type="dxa" w:w="2351"/>
          </w:tcPr>
          <w:p>
            <w:r>
              <w:rPr>
                <w:rFonts w:ascii="Meiryo UI" w:hAnsi="Meiryo UI"/>
                <w:sz w:val="18"/>
              </w:rPr>
              <w:t>92.5% / ¥889億</w:t>
            </w:r>
          </w:p>
        </w:tc>
      </w:tr>
      <w:tr>
        <w:tc>
          <w:tcPr>
            <w:tcW w:type="dxa" w:w="2351"/>
            <w:shd w:val="clear" w:color="auto" w:fill="DDEBF7"/>
          </w:tcPr>
          <w:p>
            <w:r>
              <w:rPr>
                <w:rFonts w:ascii="Meiryo UI" w:hAnsi="Meiryo UI"/>
                <w:sz w:val="18"/>
              </w:rPr>
              <w:t>ROE（LTM）</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10〜12%（推定）</w:t>
            </w:r>
          </w:p>
        </w:tc>
      </w:tr>
      <w:tr>
        <w:tc>
          <w:tcPr>
            <w:tcW w:type="dxa" w:w="2351"/>
          </w:tcPr>
          <w:p>
            <w:r>
              <w:rPr>
                <w:rFonts w:ascii="Meiryo UI" w:hAnsi="Meiryo UI"/>
                <w:sz w:val="18"/>
              </w:rPr>
              <w:t>P/E（LTM）</w:t>
            </w:r>
          </w:p>
        </w:tc>
        <w:tc>
          <w:tcPr>
            <w:tcW w:type="dxa" w:w="2351"/>
          </w:tcPr>
          <w:p>
            <w:r>
              <w:rPr>
                <w:rFonts w:ascii="Meiryo UI" w:hAnsi="Meiryo UI"/>
                <w:sz w:val="18"/>
              </w:rPr>
              <w:t>−</w:t>
            </w:r>
          </w:p>
        </w:tc>
        <w:tc>
          <w:tcPr>
            <w:tcW w:type="dxa" w:w="2351"/>
          </w:tcPr>
          <w:p>
            <w:r>
              <w:rPr>
                <w:rFonts w:ascii="Meiryo UI" w:hAnsi="Meiryo UI"/>
                <w:sz w:val="18"/>
              </w:rPr>
              <w:t>−</w:t>
            </w:r>
          </w:p>
        </w:tc>
        <w:tc>
          <w:tcPr>
            <w:tcW w:type="dxa" w:w="2351"/>
          </w:tcPr>
          <w:p>
            <w:r>
              <w:rPr>
                <w:rFonts w:ascii="Meiryo UI" w:hAnsi="Meiryo UI"/>
                <w:sz w:val="18"/>
              </w:rPr>
              <w:t>~9.0〜10.2x</w:t>
            </w:r>
          </w:p>
        </w:tc>
      </w:tr>
    </w:tbl>
    <w:p/>
    <w:p>
      <w:r>
        <w:rPr>
          <w:rFonts w:ascii="Meiryo UI" w:hAnsi="Meiryo UI"/>
          <w:sz w:val="20"/>
        </w:rPr>
        <w:t>注：過払い金返還リスクの残存額開示・与信残高の質（延滞率）は本決算で確認必須。</w:t>
      </w:r>
    </w:p>
    <w:p/>
    <w:p>
      <w:r>
        <w:t>──────────────────────────────────────────────────</w:t>
      </w:r>
    </w:p>
    <w:p/>
    <w:p>
      <w:pPr>
        <w:pStyle w:val="Heading2"/>
      </w:pPr>
      <w:r>
        <w:rPr>
          <w:rFonts w:ascii="Meiryo UI" w:hAnsi="Meiryo UI"/>
          <w:color w:val="2E74B5"/>
        </w:rPr>
        <w:t>5. フェアバリュー計算（Rf=2.397% | 全数値Rationale付き）</w:t>
      </w:r>
    </w:p>
    <w:p/>
    <w:p>
      <w:pPr>
        <w:pStyle w:val="Heading3"/>
      </w:pPr>
      <w:r>
        <w:rPr>
          <w:rFonts w:ascii="Meiryo UI" w:hAnsi="Meiryo UI"/>
          <w:color w:val="2E74B5"/>
        </w:rPr>
        <w:t>5-1. コスト・オブ・エクイティ（Ke）</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Rf</w:t>
            </w:r>
          </w:p>
        </w:tc>
        <w:tc>
          <w:tcPr>
            <w:tcW w:type="dxa" w:w="3135"/>
          </w:tcPr>
          <w:p>
            <w:r>
              <w:rPr>
                <w:rFonts w:ascii="Meiryo UI" w:hAnsi="Meiryo UI"/>
                <w:sz w:val="18"/>
              </w:rPr>
              <w:t>2.397%</w:t>
            </w:r>
          </w:p>
        </w:tc>
        <w:tc>
          <w:tcPr>
            <w:tcW w:type="dxa" w:w="3135"/>
          </w:tcPr>
          <w:p>
            <w:r>
              <w:rPr>
                <w:rFonts w:ascii="Meiryo UI" w:hAnsi="Meiryo UI"/>
                <w:sz w:val="18"/>
              </w:rPr>
              <w:t>10年JGB（本DR指定値）</w:t>
            </w:r>
          </w:p>
        </w:tc>
      </w:tr>
      <w:tr>
        <w:tc>
          <w:tcPr>
            <w:tcW w:type="dxa" w:w="3135"/>
            <w:shd w:val="clear" w:color="auto" w:fill="DDEBF7"/>
          </w:tcPr>
          <w:p>
            <w:r>
              <w:rPr>
                <w:rFonts w:ascii="Meiryo UI" w:hAnsi="Meiryo UI"/>
                <w:sz w:val="18"/>
              </w:rPr>
              <w:t>Beta（レバード）</w:t>
            </w:r>
          </w:p>
        </w:tc>
        <w:tc>
          <w:tcPr>
            <w:tcW w:type="dxa" w:w="3135"/>
            <w:shd w:val="clear" w:color="auto" w:fill="DDEBF7"/>
          </w:tcPr>
          <w:p>
            <w:r>
              <w:rPr>
                <w:rFonts w:ascii="Meiryo UI" w:hAnsi="Meiryo UI"/>
                <w:sz w:val="18"/>
              </w:rPr>
              <w:t>0.85</w:t>
            </w:r>
          </w:p>
        </w:tc>
        <w:tc>
          <w:tcPr>
            <w:tcW w:type="dxa" w:w="3135"/>
            <w:shd w:val="clear" w:color="auto" w:fill="DDEBF7"/>
          </w:tcPr>
          <w:p>
            <w:r>
              <w:rPr>
                <w:rFonts w:ascii="Meiryo UI" w:hAnsi="Meiryo UI"/>
                <w:sz w:val="18"/>
              </w:rPr>
              <w:t>消費者金融の市場感応度；景気連動あるが預金取扱機関より安定。日本消費金融平均β≒0.8〜1.0</w:t>
            </w:r>
          </w:p>
        </w:tc>
      </w:tr>
      <w:tr>
        <w:tc>
          <w:tcPr>
            <w:tcW w:type="dxa" w:w="3135"/>
          </w:tcPr>
          <w:p>
            <w:r>
              <w:rPr>
                <w:rFonts w:ascii="Meiryo UI" w:hAnsi="Meiryo UI"/>
                <w:sz w:val="18"/>
              </w:rPr>
              <w:t>ERP</w:t>
            </w:r>
          </w:p>
        </w:tc>
        <w:tc>
          <w:tcPr>
            <w:tcW w:type="dxa" w:w="3135"/>
          </w:tcPr>
          <w:p>
            <w:r>
              <w:rPr>
                <w:rFonts w:ascii="Meiryo UI" w:hAnsi="Meiryo UI"/>
                <w:sz w:val="18"/>
              </w:rPr>
              <w:t>5.0%</w:t>
            </w:r>
          </w:p>
        </w:tc>
        <w:tc>
          <w:tcPr>
            <w:tcW w:type="dxa" w:w="3135"/>
          </w:tcPr>
          <w:p>
            <w:r>
              <w:rPr>
                <w:rFonts w:ascii="Meiryo UI" w:hAnsi="Meiryo UI"/>
                <w:sz w:val="18"/>
              </w:rPr>
              <w:t>Damodaran 2026 Japan</w:t>
            </w:r>
          </w:p>
        </w:tc>
      </w:tr>
      <w:tr>
        <w:tc>
          <w:tcPr>
            <w:tcW w:type="dxa" w:w="3135"/>
            <w:shd w:val="clear" w:color="auto" w:fill="DDEBF7"/>
          </w:tcPr>
          <w:p>
            <w:r>
              <w:rPr>
                <w:rFonts w:ascii="Meiryo UI" w:hAnsi="Meiryo UI"/>
                <w:sz w:val="18"/>
              </w:rPr>
              <w:t>Ke</w:t>
            </w:r>
          </w:p>
        </w:tc>
        <w:tc>
          <w:tcPr>
            <w:tcW w:type="dxa" w:w="3135"/>
            <w:shd w:val="clear" w:color="auto" w:fill="DDEBF7"/>
          </w:tcPr>
          <w:p>
            <w:r>
              <w:rPr>
                <w:rFonts w:ascii="Meiryo UI" w:hAnsi="Meiryo UI"/>
                <w:sz w:val="18"/>
              </w:rPr>
              <w:t>6.647%</w:t>
            </w:r>
          </w:p>
        </w:tc>
        <w:tc>
          <w:tcPr>
            <w:tcW w:type="dxa" w:w="3135"/>
            <w:shd w:val="clear" w:color="auto" w:fill="DDEBF7"/>
          </w:tcPr>
          <w:p>
            <w:r>
              <w:rPr>
                <w:rFonts w:ascii="Meiryo UI" w:hAnsi="Meiryo UI"/>
                <w:sz w:val="18"/>
              </w:rPr>
              <w:t>= 2.397% + 0.85 × 5.0%</w:t>
            </w:r>
          </w:p>
        </w:tc>
      </w:tr>
    </w:tbl>
    <w:p/>
    <w:p>
      <w:pPr>
        <w:pStyle w:val="Heading3"/>
      </w:pPr>
      <w:r>
        <w:rPr>
          <w:rFonts w:ascii="Meiryo UI" w:hAnsi="Meiryo UI"/>
          <w:color w:val="2E74B5"/>
        </w:rPr>
        <w:t>5-2. DDM（配当割引モデル）</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DPS（FY27E）</w:t>
            </w:r>
          </w:p>
        </w:tc>
        <w:tc>
          <w:tcPr>
            <w:tcW w:type="dxa" w:w="1881"/>
            <w:shd w:val="clear" w:color="auto" w:fill="2E74B5"/>
          </w:tcPr>
          <w:p>
            <w:r>
              <w:rPr>
                <w:rFonts w:ascii="Meiryo UI" w:hAnsi="Meiryo UI"/>
                <w:b/>
                <w:color w:val="FFFFFF"/>
                <w:sz w:val="18"/>
              </w:rPr>
              <w:t>成長率g</w:t>
            </w:r>
          </w:p>
        </w:tc>
        <w:tc>
          <w:tcPr>
            <w:tcW w:type="dxa" w:w="1881"/>
            <w:shd w:val="clear" w:color="auto" w:fill="2E74B5"/>
          </w:tcPr>
          <w:p>
            <w:r>
              <w:rPr>
                <w:rFonts w:ascii="Meiryo UI" w:hAnsi="Meiryo UI"/>
                <w:b/>
                <w:color w:val="FFFFFF"/>
                <w:sz w:val="18"/>
              </w:rPr>
              <w:t>計算式</w:t>
            </w:r>
          </w:p>
        </w:tc>
        <w:tc>
          <w:tcPr>
            <w:tcW w:type="dxa" w:w="1881"/>
            <w:shd w:val="clear" w:color="auto" w:fill="2E74B5"/>
          </w:tcPr>
          <w:p>
            <w:r>
              <w:rPr>
                <w:rFonts w:ascii="Meiryo UI" w:hAnsi="Meiryo UI"/>
                <w:b/>
                <w:color w:val="FFFFFF"/>
                <w:sz w:val="18"/>
              </w:rPr>
              <w:t>FV</w:t>
            </w:r>
          </w:p>
        </w:tc>
      </w:tr>
      <w:tr>
        <w:tc>
          <w:tcPr>
            <w:tcW w:type="dxa" w:w="1881"/>
          </w:tcPr>
          <w:p>
            <w:r>
              <w:rPr>
                <w:rFonts w:ascii="Meiryo UI" w:hAnsi="Meiryo UI"/>
                <w:sz w:val="18"/>
              </w:rPr>
              <w:t>Bear（信用コスト増）</w:t>
            </w:r>
          </w:p>
        </w:tc>
        <w:tc>
          <w:tcPr>
            <w:tcW w:type="dxa" w:w="1881"/>
          </w:tcPr>
          <w:p>
            <w:r>
              <w:rPr>
                <w:rFonts w:ascii="Meiryo UI" w:hAnsi="Meiryo UI"/>
                <w:sz w:val="18"/>
              </w:rPr>
              <w:t>¥20</w:t>
            </w:r>
          </w:p>
        </w:tc>
        <w:tc>
          <w:tcPr>
            <w:tcW w:type="dxa" w:w="1881"/>
          </w:tcPr>
          <w:p>
            <w:r>
              <w:rPr>
                <w:rFonts w:ascii="Meiryo UI" w:hAnsi="Meiryo UI"/>
                <w:sz w:val="18"/>
              </w:rPr>
              <w:t>1%</w:t>
            </w:r>
          </w:p>
        </w:tc>
        <w:tc>
          <w:tcPr>
            <w:tcW w:type="dxa" w:w="1881"/>
          </w:tcPr>
          <w:p>
            <w:r>
              <w:rPr>
                <w:rFonts w:ascii="Meiryo UI" w:hAnsi="Meiryo UI"/>
                <w:sz w:val="18"/>
              </w:rPr>
              <w:t>20 ÷ (0.06647−0.01)</w:t>
            </w:r>
          </w:p>
        </w:tc>
        <w:tc>
          <w:tcPr>
            <w:tcW w:type="dxa" w:w="1881"/>
          </w:tcPr>
          <w:p>
            <w:r>
              <w:rPr>
                <w:rFonts w:ascii="Meiryo UI" w:hAnsi="Meiryo UI"/>
                <w:sz w:val="18"/>
              </w:rPr>
              <w:t>¥354</w:t>
            </w:r>
          </w:p>
        </w:tc>
      </w:tr>
      <w:tr>
        <w:tc>
          <w:tcPr>
            <w:tcW w:type="dxa" w:w="1881"/>
            <w:shd w:val="clear" w:color="auto" w:fill="DDEBF7"/>
          </w:tcPr>
          <w:p>
            <w:r>
              <w:rPr>
                <w:rFonts w:ascii="Meiryo UI" w:hAnsi="Meiryo UI"/>
                <w:sz w:val="18"/>
              </w:rPr>
              <w:t>Base（安定継続）</w:t>
            </w:r>
          </w:p>
        </w:tc>
        <w:tc>
          <w:tcPr>
            <w:tcW w:type="dxa" w:w="1881"/>
            <w:shd w:val="clear" w:color="auto" w:fill="DDEBF7"/>
          </w:tcPr>
          <w:p>
            <w:r>
              <w:rPr>
                <w:rFonts w:ascii="Meiryo UI" w:hAnsi="Meiryo UI"/>
                <w:sz w:val="18"/>
              </w:rPr>
              <w:t>¥25</w:t>
            </w:r>
          </w:p>
        </w:tc>
        <w:tc>
          <w:tcPr>
            <w:tcW w:type="dxa" w:w="1881"/>
            <w:shd w:val="clear" w:color="auto" w:fill="DDEBF7"/>
          </w:tcPr>
          <w:p>
            <w:r>
              <w:rPr>
                <w:rFonts w:ascii="Meiryo UI" w:hAnsi="Meiryo UI"/>
                <w:sz w:val="18"/>
              </w:rPr>
              <w:t>3%</w:t>
            </w:r>
          </w:p>
        </w:tc>
        <w:tc>
          <w:tcPr>
            <w:tcW w:type="dxa" w:w="1881"/>
            <w:shd w:val="clear" w:color="auto" w:fill="DDEBF7"/>
          </w:tcPr>
          <w:p>
            <w:r>
              <w:rPr>
                <w:rFonts w:ascii="Meiryo UI" w:hAnsi="Meiryo UI"/>
                <w:sz w:val="18"/>
              </w:rPr>
              <w:t>25 ÷ (0.06647−0.03)</w:t>
            </w:r>
          </w:p>
        </w:tc>
        <w:tc>
          <w:tcPr>
            <w:tcW w:type="dxa" w:w="1881"/>
            <w:shd w:val="clear" w:color="auto" w:fill="DDEBF7"/>
          </w:tcPr>
          <w:p>
            <w:r>
              <w:rPr>
                <w:rFonts w:ascii="Meiryo UI" w:hAnsi="Meiryo UI"/>
                <w:sz w:val="18"/>
              </w:rPr>
              <w:t>¥681</w:t>
            </w:r>
          </w:p>
        </w:tc>
      </w:tr>
      <w:tr>
        <w:tc>
          <w:tcPr>
            <w:tcW w:type="dxa" w:w="1881"/>
          </w:tcPr>
          <w:p>
            <w:r>
              <w:rPr>
                <w:rFonts w:ascii="Meiryo UI" w:hAnsi="Meiryo UI"/>
                <w:sz w:val="18"/>
              </w:rPr>
              <w:t>Bull（増配・成長加速）</w:t>
            </w:r>
          </w:p>
        </w:tc>
        <w:tc>
          <w:tcPr>
            <w:tcW w:type="dxa" w:w="1881"/>
          </w:tcPr>
          <w:p>
            <w:r>
              <w:rPr>
                <w:rFonts w:ascii="Meiryo UI" w:hAnsi="Meiryo UI"/>
                <w:sz w:val="18"/>
              </w:rPr>
              <w:t>¥30</w:t>
            </w:r>
          </w:p>
        </w:tc>
        <w:tc>
          <w:tcPr>
            <w:tcW w:type="dxa" w:w="1881"/>
          </w:tcPr>
          <w:p>
            <w:r>
              <w:rPr>
                <w:rFonts w:ascii="Meiryo UI" w:hAnsi="Meiryo UI"/>
                <w:sz w:val="18"/>
              </w:rPr>
              <w:t>4%</w:t>
            </w:r>
          </w:p>
        </w:tc>
        <w:tc>
          <w:tcPr>
            <w:tcW w:type="dxa" w:w="1881"/>
          </w:tcPr>
          <w:p>
            <w:r>
              <w:rPr>
                <w:rFonts w:ascii="Meiryo UI" w:hAnsi="Meiryo UI"/>
                <w:sz w:val="18"/>
              </w:rPr>
              <w:t>30 ÷ (0.06647−0.04)</w:t>
            </w:r>
          </w:p>
        </w:tc>
        <w:tc>
          <w:tcPr>
            <w:tcW w:type="dxa" w:w="1881"/>
          </w:tcPr>
          <w:p>
            <w:r>
              <w:rPr>
                <w:rFonts w:ascii="Meiryo UI" w:hAnsi="Meiryo UI"/>
                <w:sz w:val="18"/>
              </w:rPr>
              <w:t>¥1,143</w:t>
            </w:r>
          </w:p>
        </w:tc>
      </w:tr>
    </w:tbl>
    <w:p/>
    <w:p>
      <w:r>
        <w:rPr>
          <w:rFonts w:ascii="Meiryo UI" w:hAnsi="Meiryo UI"/>
          <w:sz w:val="20"/>
        </w:rPr>
        <w:t>DPS推計根拠：FY26 EPS~¥47-49。配当性向40〜55%想定（消費者金融業界水準）でDPS ¥19〜27。Base ¥25を採用。</w:t>
      </w:r>
    </w:p>
    <w:p/>
    <w:p>
      <w:pPr>
        <w:pStyle w:val="Heading3"/>
      </w:pPr>
      <w:r>
        <w:rPr>
          <w:rFonts w:ascii="Meiryo UI" w:hAnsi="Meiryo UI"/>
          <w:color w:val="2E74B5"/>
        </w:rPr>
        <w:t>5-3. P/E バリュエーション</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EPS</w:t>
            </w:r>
          </w:p>
        </w:tc>
        <w:tc>
          <w:tcPr>
            <w:tcW w:type="dxa" w:w="1881"/>
            <w:shd w:val="clear" w:color="auto" w:fill="2E74B5"/>
          </w:tcPr>
          <w:p>
            <w:r>
              <w:rPr>
                <w:rFonts w:ascii="Meiryo UI" w:hAnsi="Meiryo UI"/>
                <w:b/>
                <w:color w:val="FFFFFF"/>
                <w:sz w:val="18"/>
              </w:rPr>
              <w:t>適用P/E</w:t>
            </w:r>
          </w:p>
        </w:tc>
        <w:tc>
          <w:tcPr>
            <w:tcW w:type="dxa" w:w="1881"/>
            <w:shd w:val="clear" w:color="auto" w:fill="2E74B5"/>
          </w:tcPr>
          <w:p>
            <w:r>
              <w:rPr>
                <w:rFonts w:ascii="Meiryo UI" w:hAnsi="Meiryo UI"/>
                <w:b/>
                <w:color w:val="FFFFFF"/>
                <w:sz w:val="18"/>
              </w:rPr>
              <w:t>FV</w:t>
            </w:r>
          </w:p>
        </w:tc>
        <w:tc>
          <w:tcPr>
            <w:tcW w:type="dxa" w:w="1881"/>
            <w:shd w:val="clear" w:color="auto" w:fill="2E74B5"/>
          </w:tcPr>
          <w:p>
            <w:r>
              <w:rPr>
                <w:rFonts w:ascii="Meiryo UI" w:hAnsi="Meiryo UI"/>
                <w:b/>
                <w:color w:val="FFFFFF"/>
                <w:sz w:val="18"/>
              </w:rPr>
              <w:t>Rationale</w:t>
            </w:r>
          </w:p>
        </w:tc>
      </w:tr>
      <w:tr>
        <w:tc>
          <w:tcPr>
            <w:tcW w:type="dxa" w:w="1881"/>
          </w:tcPr>
          <w:p>
            <w:r>
              <w:rPr>
                <w:rFonts w:ascii="Meiryo UI" w:hAnsi="Meiryo UI"/>
                <w:sz w:val="18"/>
              </w:rPr>
              <w:t>Bear（信用コスト急増）</w:t>
            </w:r>
          </w:p>
        </w:tc>
        <w:tc>
          <w:tcPr>
            <w:tcW w:type="dxa" w:w="1881"/>
          </w:tcPr>
          <w:p>
            <w:r>
              <w:rPr>
                <w:rFonts w:ascii="Meiryo UI" w:hAnsi="Meiryo UI"/>
                <w:sz w:val="18"/>
              </w:rPr>
              <w:t>¥38</w:t>
            </w:r>
          </w:p>
        </w:tc>
        <w:tc>
          <w:tcPr>
            <w:tcW w:type="dxa" w:w="1881"/>
          </w:tcPr>
          <w:p>
            <w:r>
              <w:rPr>
                <w:rFonts w:ascii="Meiryo UI" w:hAnsi="Meiryo UI"/>
                <w:sz w:val="18"/>
              </w:rPr>
              <w:t>8x</w:t>
            </w:r>
          </w:p>
        </w:tc>
        <w:tc>
          <w:tcPr>
            <w:tcW w:type="dxa" w:w="1881"/>
          </w:tcPr>
          <w:p>
            <w:r>
              <w:rPr>
                <w:rFonts w:ascii="Meiryo UI" w:hAnsi="Meiryo UI"/>
                <w:sz w:val="18"/>
              </w:rPr>
              <w:t>¥304</w:t>
            </w:r>
          </w:p>
        </w:tc>
        <w:tc>
          <w:tcPr>
            <w:tcW w:type="dxa" w:w="1881"/>
          </w:tcPr>
          <w:p>
            <w:r>
              <w:rPr>
                <w:rFonts w:ascii="Meiryo UI" w:hAnsi="Meiryo UI"/>
                <w:sz w:val="18"/>
              </w:rPr>
              <w:t>EPS▲¥9の信用コスト増。P/E 8x（ストレス時）</w:t>
            </w:r>
          </w:p>
        </w:tc>
      </w:tr>
      <w:tr>
        <w:tc>
          <w:tcPr>
            <w:tcW w:type="dxa" w:w="1881"/>
            <w:shd w:val="clear" w:color="auto" w:fill="DDEBF7"/>
          </w:tcPr>
          <w:p>
            <w:r>
              <w:rPr>
                <w:rFonts w:ascii="Meiryo UI" w:hAnsi="Meiryo UI"/>
                <w:sz w:val="18"/>
              </w:rPr>
              <w:t>Base（正常化継続）</w:t>
            </w:r>
          </w:p>
        </w:tc>
        <w:tc>
          <w:tcPr>
            <w:tcW w:type="dxa" w:w="1881"/>
            <w:shd w:val="clear" w:color="auto" w:fill="DDEBF7"/>
          </w:tcPr>
          <w:p>
            <w:r>
              <w:rPr>
                <w:rFonts w:ascii="Meiryo UI" w:hAnsi="Meiryo UI"/>
                <w:sz w:val="18"/>
              </w:rPr>
              <w:t>¥47.6〜48.9</w:t>
            </w:r>
          </w:p>
        </w:tc>
        <w:tc>
          <w:tcPr>
            <w:tcW w:type="dxa" w:w="1881"/>
            <w:shd w:val="clear" w:color="auto" w:fill="DDEBF7"/>
          </w:tcPr>
          <w:p>
            <w:r>
              <w:rPr>
                <w:rFonts w:ascii="Meiryo UI" w:hAnsi="Meiryo UI"/>
                <w:sz w:val="18"/>
              </w:rPr>
              <w:t>10x</w:t>
            </w:r>
          </w:p>
        </w:tc>
        <w:tc>
          <w:tcPr>
            <w:tcW w:type="dxa" w:w="1881"/>
            <w:shd w:val="clear" w:color="auto" w:fill="DDEBF7"/>
          </w:tcPr>
          <w:p>
            <w:r>
              <w:rPr>
                <w:rFonts w:ascii="Meiryo UI" w:hAnsi="Meiryo UI"/>
                <w:sz w:val="18"/>
              </w:rPr>
              <w:t>¥476〜489</w:t>
            </w:r>
          </w:p>
        </w:tc>
        <w:tc>
          <w:tcPr>
            <w:tcW w:type="dxa" w:w="1881"/>
            <w:shd w:val="clear" w:color="auto" w:fill="DDEBF7"/>
          </w:tcPr>
          <w:p>
            <w:r>
              <w:rPr>
                <w:rFonts w:ascii="Meiryo UI" w:hAnsi="Meiryo UI"/>
                <w:sz w:val="18"/>
              </w:rPr>
              <w:t>修正後EPS中央値。消費金融平均P/E 9〜11x</w:t>
            </w:r>
          </w:p>
        </w:tc>
      </w:tr>
      <w:tr>
        <w:tc>
          <w:tcPr>
            <w:tcW w:type="dxa" w:w="1881"/>
          </w:tcPr>
          <w:p>
            <w:r>
              <w:rPr>
                <w:rFonts w:ascii="Meiryo UI" w:hAnsi="Meiryo UI"/>
                <w:sz w:val="18"/>
              </w:rPr>
              <w:t>Bull（成長加速・配当増）</w:t>
            </w:r>
          </w:p>
        </w:tc>
        <w:tc>
          <w:tcPr>
            <w:tcW w:type="dxa" w:w="1881"/>
          </w:tcPr>
          <w:p>
            <w:r>
              <w:rPr>
                <w:rFonts w:ascii="Meiryo UI" w:hAnsi="Meiryo UI"/>
                <w:sz w:val="18"/>
              </w:rPr>
              <w:t>¥55</w:t>
            </w:r>
          </w:p>
        </w:tc>
        <w:tc>
          <w:tcPr>
            <w:tcW w:type="dxa" w:w="1881"/>
          </w:tcPr>
          <w:p>
            <w:r>
              <w:rPr>
                <w:rFonts w:ascii="Meiryo UI" w:hAnsi="Meiryo UI"/>
                <w:sz w:val="18"/>
              </w:rPr>
              <w:t>12x</w:t>
            </w:r>
          </w:p>
        </w:tc>
        <w:tc>
          <w:tcPr>
            <w:tcW w:type="dxa" w:w="1881"/>
          </w:tcPr>
          <w:p>
            <w:r>
              <w:rPr>
                <w:rFonts w:ascii="Meiryo UI" w:hAnsi="Meiryo UI"/>
                <w:sz w:val="18"/>
              </w:rPr>
              <w:t>¥660</w:t>
            </w:r>
          </w:p>
        </w:tc>
        <w:tc>
          <w:tcPr>
            <w:tcW w:type="dxa" w:w="1881"/>
          </w:tcPr>
          <w:p>
            <w:r>
              <w:rPr>
                <w:rFonts w:ascii="Meiryo UI" w:hAnsi="Meiryo UI"/>
                <w:sz w:val="18"/>
              </w:rPr>
              <w:t>FY27 増益+10%・MUFG保証拡大。成長P/E12x</w:t>
            </w:r>
          </w:p>
        </w:tc>
      </w:tr>
    </w:tbl>
    <w:p/>
    <w:p>
      <w:pPr>
        <w:pStyle w:val="Heading3"/>
      </w:pPr>
      <w:r>
        <w:rPr>
          <w:rFonts w:ascii="Meiryo UI" w:hAnsi="Meiryo UI"/>
          <w:color w:val="2E74B5"/>
        </w:rPr>
        <w:t>5-4. P/B バリュエーション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BPS（推定）</w:t>
            </w:r>
          </w:p>
        </w:tc>
        <w:tc>
          <w:tcPr>
            <w:tcW w:type="dxa" w:w="3135"/>
          </w:tcPr>
          <w:p>
            <w:r>
              <w:rPr>
                <w:rFonts w:ascii="Meiryo UI" w:hAnsi="Meiryo UI"/>
                <w:sz w:val="18"/>
              </w:rPr>
              <w:t>~¥330〜350</w:t>
            </w:r>
          </w:p>
        </w:tc>
        <w:tc>
          <w:tcPr>
            <w:tcW w:type="dxa" w:w="3135"/>
          </w:tcPr>
          <w:p>
            <w:r>
              <w:rPr>
                <w:rFonts w:ascii="Meiryo UI" w:hAnsi="Meiryo UI"/>
                <w:sz w:val="18"/>
              </w:rPr>
              <w:t>市場時価総額¥734B ÷ 1,556M株 ÷ P/B 1.0x → 純資産推計</w:t>
            </w:r>
          </w:p>
        </w:tc>
      </w:tr>
      <w:tr>
        <w:tc>
          <w:tcPr>
            <w:tcW w:type="dxa" w:w="3135"/>
            <w:shd w:val="clear" w:color="auto" w:fill="DDEBF7"/>
          </w:tcPr>
          <w:p>
            <w:r>
              <w:rPr>
                <w:rFonts w:ascii="Meiryo UI" w:hAnsi="Meiryo UI"/>
                <w:sz w:val="18"/>
              </w:rPr>
              <w:t>現P/B</w:t>
            </w:r>
          </w:p>
        </w:tc>
        <w:tc>
          <w:tcPr>
            <w:tcW w:type="dxa" w:w="3135"/>
            <w:shd w:val="clear" w:color="auto" w:fill="DDEBF7"/>
          </w:tcPr>
          <w:p>
            <w:r>
              <w:rPr>
                <w:rFonts w:ascii="Meiryo UI" w:hAnsi="Meiryo UI"/>
                <w:sz w:val="18"/>
              </w:rPr>
              <w:t>~1.35x（@¥471.5）</w:t>
            </w:r>
          </w:p>
        </w:tc>
        <w:tc>
          <w:tcPr>
            <w:tcW w:type="dxa" w:w="3135"/>
            <w:shd w:val="clear" w:color="auto" w:fill="DDEBF7"/>
          </w:tcPr>
          <w:p>
            <w:r>
              <w:rPr>
                <w:rFonts w:ascii="Meiryo UI" w:hAnsi="Meiryo UI"/>
                <w:sz w:val="18"/>
              </w:rPr>
              <w:t>健全財務で1.0x超が妥当</w:t>
            </w:r>
          </w:p>
        </w:tc>
      </w:tr>
      <w:tr>
        <w:tc>
          <w:tcPr>
            <w:tcW w:type="dxa" w:w="3135"/>
          </w:tcPr>
          <w:p>
            <w:r>
              <w:rPr>
                <w:rFonts w:ascii="Meiryo UI" w:hAnsi="Meiryo UI"/>
                <w:sz w:val="18"/>
              </w:rPr>
              <w:t>目標P/B</w:t>
            </w:r>
          </w:p>
        </w:tc>
        <w:tc>
          <w:tcPr>
            <w:tcW w:type="dxa" w:w="3135"/>
          </w:tcPr>
          <w:p>
            <w:r>
              <w:rPr>
                <w:rFonts w:ascii="Meiryo UI" w:hAnsi="Meiryo UI"/>
                <w:sz w:val="18"/>
              </w:rPr>
              <w:t>1.5〜1.7x</w:t>
            </w:r>
          </w:p>
        </w:tc>
        <w:tc>
          <w:tcPr>
            <w:tcW w:type="dxa" w:w="3135"/>
          </w:tcPr>
          <w:p>
            <w:r>
              <w:rPr>
                <w:rFonts w:ascii="Meiryo UI" w:hAnsi="Meiryo UI"/>
                <w:sz w:val="18"/>
              </w:rPr>
              <w:t>ROE 10〜12%・Ke 6.65%時の適正P/B</w:t>
            </w:r>
          </w:p>
        </w:tc>
      </w:tr>
      <w:tr>
        <w:tc>
          <w:tcPr>
            <w:tcW w:type="dxa" w:w="3135"/>
            <w:shd w:val="clear" w:color="auto" w:fill="DDEBF7"/>
          </w:tcPr>
          <w:p>
            <w:r>
              <w:rPr>
                <w:rFonts w:ascii="Meiryo UI" w:hAnsi="Meiryo UI"/>
                <w:sz w:val="18"/>
              </w:rPr>
              <w:t>P/B Target FV</w:t>
            </w:r>
          </w:p>
        </w:tc>
        <w:tc>
          <w:tcPr>
            <w:tcW w:type="dxa" w:w="3135"/>
            <w:shd w:val="clear" w:color="auto" w:fill="DDEBF7"/>
          </w:tcPr>
          <w:p>
            <w:r>
              <w:rPr>
                <w:rFonts w:ascii="Meiryo UI" w:hAnsi="Meiryo UI"/>
                <w:sz w:val="18"/>
              </w:rPr>
              <w:t>¥496〜595</w:t>
            </w:r>
          </w:p>
        </w:tc>
        <w:tc>
          <w:tcPr>
            <w:tcW w:type="dxa" w:w="3135"/>
            <w:shd w:val="clear" w:color="auto" w:fill="DDEBF7"/>
          </w:tcPr>
          <w:p>
            <w:r>
              <w:rPr>
                <w:rFonts w:ascii="Meiryo UI" w:hAnsi="Meiryo UI"/>
                <w:sz w:val="18"/>
              </w:rPr>
              <w:t>= BPS ¥330〜350 × P/B 1.5〜1.7x</w:t>
            </w:r>
          </w:p>
        </w:tc>
      </w:tr>
    </w:tbl>
    <w:p/>
    <w:p>
      <w:pPr>
        <w:pStyle w:val="Heading3"/>
      </w:pPr>
      <w:r>
        <w:rPr>
          <w:rFonts w:ascii="Meiryo UI" w:hAnsi="Meiryo UI"/>
          <w:color w:val="2E74B5"/>
        </w:rPr>
        <w:t>5-5. コンポジットFV（シナリオ別）</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手法</w:t>
            </w:r>
          </w:p>
        </w:tc>
        <w:tc>
          <w:tcPr>
            <w:tcW w:type="dxa" w:w="1881"/>
            <w:shd w:val="clear" w:color="auto" w:fill="2E74B5"/>
          </w:tcPr>
          <w:p>
            <w:r>
              <w:rPr>
                <w:rFonts w:ascii="Meiryo UI" w:hAnsi="Meiryo UI"/>
                <w:b/>
                <w:color w:val="FFFFFF"/>
                <w:sz w:val="18"/>
              </w:rPr>
              <w:t>ウェイト</w:t>
            </w:r>
          </w:p>
        </w:tc>
        <w:tc>
          <w:tcPr>
            <w:tcW w:type="dxa" w:w="1881"/>
            <w:shd w:val="clear" w:color="auto" w:fill="2E74B5"/>
          </w:tcPr>
          <w:p>
            <w:r>
              <w:rPr>
                <w:rFonts w:ascii="Meiryo UI" w:hAnsi="Meiryo UI"/>
                <w:b/>
                <w:color w:val="FFFFFF"/>
                <w:sz w:val="18"/>
              </w:rPr>
              <w:t>Bear FV</w:t>
            </w:r>
          </w:p>
        </w:tc>
        <w:tc>
          <w:tcPr>
            <w:tcW w:type="dxa" w:w="1881"/>
            <w:shd w:val="clear" w:color="auto" w:fill="2E74B5"/>
          </w:tcPr>
          <w:p>
            <w:r>
              <w:rPr>
                <w:rFonts w:ascii="Meiryo UI" w:hAnsi="Meiryo UI"/>
                <w:b/>
                <w:color w:val="FFFFFF"/>
                <w:sz w:val="18"/>
              </w:rPr>
              <w:t>Base FV</w:t>
            </w:r>
          </w:p>
        </w:tc>
        <w:tc>
          <w:tcPr>
            <w:tcW w:type="dxa" w:w="1881"/>
            <w:shd w:val="clear" w:color="auto" w:fill="2E74B5"/>
          </w:tcPr>
          <w:p>
            <w:r>
              <w:rPr>
                <w:rFonts w:ascii="Meiryo UI" w:hAnsi="Meiryo UI"/>
                <w:b/>
                <w:color w:val="FFFFFF"/>
                <w:sz w:val="18"/>
              </w:rPr>
              <w:t>Bull FV</w:t>
            </w:r>
          </w:p>
        </w:tc>
      </w:tr>
      <w:tr>
        <w:tc>
          <w:tcPr>
            <w:tcW w:type="dxa" w:w="1881"/>
          </w:tcPr>
          <w:p>
            <w:r>
              <w:rPr>
                <w:rFonts w:ascii="Meiryo UI" w:hAnsi="Meiryo UI"/>
                <w:sz w:val="18"/>
              </w:rPr>
              <w:t>P/E</w:t>
            </w:r>
          </w:p>
        </w:tc>
        <w:tc>
          <w:tcPr>
            <w:tcW w:type="dxa" w:w="1881"/>
          </w:tcPr>
          <w:p>
            <w:r>
              <w:rPr>
                <w:rFonts w:ascii="Meiryo UI" w:hAnsi="Meiryo UI"/>
                <w:sz w:val="18"/>
              </w:rPr>
              <w:t>50%</w:t>
            </w:r>
          </w:p>
        </w:tc>
        <w:tc>
          <w:tcPr>
            <w:tcW w:type="dxa" w:w="1881"/>
          </w:tcPr>
          <w:p>
            <w:r>
              <w:rPr>
                <w:rFonts w:ascii="Meiryo UI" w:hAnsi="Meiryo UI"/>
                <w:sz w:val="18"/>
              </w:rPr>
              <w:t>¥304</w:t>
            </w:r>
          </w:p>
        </w:tc>
        <w:tc>
          <w:tcPr>
            <w:tcW w:type="dxa" w:w="1881"/>
          </w:tcPr>
          <w:p>
            <w:r>
              <w:rPr>
                <w:rFonts w:ascii="Meiryo UI" w:hAnsi="Meiryo UI"/>
                <w:sz w:val="18"/>
              </w:rPr>
              <w:t>¥483</w:t>
            </w:r>
          </w:p>
        </w:tc>
        <w:tc>
          <w:tcPr>
            <w:tcW w:type="dxa" w:w="1881"/>
          </w:tcPr>
          <w:p>
            <w:r>
              <w:rPr>
                <w:rFonts w:ascii="Meiryo UI" w:hAnsi="Meiryo UI"/>
                <w:sz w:val="18"/>
              </w:rPr>
              <w:t>¥660</w:t>
            </w:r>
          </w:p>
        </w:tc>
      </w:tr>
      <w:tr>
        <w:tc>
          <w:tcPr>
            <w:tcW w:type="dxa" w:w="1881"/>
            <w:shd w:val="clear" w:color="auto" w:fill="DDEBF7"/>
          </w:tcPr>
          <w:p>
            <w:r>
              <w:rPr>
                <w:rFonts w:ascii="Meiryo UI" w:hAnsi="Meiryo UI"/>
                <w:sz w:val="18"/>
              </w:rPr>
              <w:t>DDM</w:t>
            </w:r>
          </w:p>
        </w:tc>
        <w:tc>
          <w:tcPr>
            <w:tcW w:type="dxa" w:w="1881"/>
            <w:shd w:val="clear" w:color="auto" w:fill="DDEBF7"/>
          </w:tcPr>
          <w:p>
            <w:r>
              <w:rPr>
                <w:rFonts w:ascii="Meiryo UI" w:hAnsi="Meiryo UI"/>
                <w:sz w:val="18"/>
              </w:rPr>
              <w:t>30%</w:t>
            </w:r>
          </w:p>
        </w:tc>
        <w:tc>
          <w:tcPr>
            <w:tcW w:type="dxa" w:w="1881"/>
            <w:shd w:val="clear" w:color="auto" w:fill="DDEBF7"/>
          </w:tcPr>
          <w:p>
            <w:r>
              <w:rPr>
                <w:rFonts w:ascii="Meiryo UI" w:hAnsi="Meiryo UI"/>
                <w:sz w:val="18"/>
              </w:rPr>
              <w:t>¥354</w:t>
            </w:r>
          </w:p>
        </w:tc>
        <w:tc>
          <w:tcPr>
            <w:tcW w:type="dxa" w:w="1881"/>
            <w:shd w:val="clear" w:color="auto" w:fill="DDEBF7"/>
          </w:tcPr>
          <w:p>
            <w:r>
              <w:rPr>
                <w:rFonts w:ascii="Meiryo UI" w:hAnsi="Meiryo UI"/>
                <w:sz w:val="18"/>
              </w:rPr>
              <w:t>¥681</w:t>
            </w:r>
          </w:p>
        </w:tc>
        <w:tc>
          <w:tcPr>
            <w:tcW w:type="dxa" w:w="1881"/>
            <w:shd w:val="clear" w:color="auto" w:fill="DDEBF7"/>
          </w:tcPr>
          <w:p>
            <w:r>
              <w:rPr>
                <w:rFonts w:ascii="Meiryo UI" w:hAnsi="Meiryo UI"/>
                <w:sz w:val="18"/>
              </w:rPr>
              <w:t>¥1,143</w:t>
            </w:r>
          </w:p>
        </w:tc>
      </w:tr>
      <w:tr>
        <w:tc>
          <w:tcPr>
            <w:tcW w:type="dxa" w:w="1881"/>
          </w:tcPr>
          <w:p>
            <w:r>
              <w:rPr>
                <w:rFonts w:ascii="Meiryo UI" w:hAnsi="Meiryo UI"/>
                <w:sz w:val="18"/>
              </w:rPr>
              <w:t>P/B</w:t>
            </w:r>
          </w:p>
        </w:tc>
        <w:tc>
          <w:tcPr>
            <w:tcW w:type="dxa" w:w="1881"/>
          </w:tcPr>
          <w:p>
            <w:r>
              <w:rPr>
                <w:rFonts w:ascii="Meiryo UI" w:hAnsi="Meiryo UI"/>
                <w:sz w:val="18"/>
              </w:rPr>
              <w:t>20%</w:t>
            </w:r>
          </w:p>
        </w:tc>
        <w:tc>
          <w:tcPr>
            <w:tcW w:type="dxa" w:w="1881"/>
          </w:tcPr>
          <w:p>
            <w:r>
              <w:rPr>
                <w:rFonts w:ascii="Meiryo UI" w:hAnsi="Meiryo UI"/>
                <w:sz w:val="18"/>
              </w:rPr>
              <w:t>¥350</w:t>
            </w:r>
          </w:p>
        </w:tc>
        <w:tc>
          <w:tcPr>
            <w:tcW w:type="dxa" w:w="1881"/>
          </w:tcPr>
          <w:p>
            <w:r>
              <w:rPr>
                <w:rFonts w:ascii="Meiryo UI" w:hAnsi="Meiryo UI"/>
                <w:sz w:val="18"/>
              </w:rPr>
              <w:t>¥546</w:t>
            </w:r>
          </w:p>
        </w:tc>
        <w:tc>
          <w:tcPr>
            <w:tcW w:type="dxa" w:w="1881"/>
          </w:tcPr>
          <w:p>
            <w:r>
              <w:rPr>
                <w:rFonts w:ascii="Meiryo UI" w:hAnsi="Meiryo UI"/>
                <w:sz w:val="18"/>
              </w:rPr>
              <w:t>¥595</w:t>
            </w:r>
          </w:p>
        </w:tc>
      </w:tr>
      <w:tr>
        <w:tc>
          <w:tcPr>
            <w:tcW w:type="dxa" w:w="1881"/>
            <w:shd w:val="clear" w:color="auto" w:fill="DDEBF7"/>
          </w:tcPr>
          <w:p>
            <w:r>
              <w:rPr>
                <w:rFonts w:ascii="Meiryo UI" w:hAnsi="Meiryo UI"/>
                <w:sz w:val="18"/>
              </w:rPr>
              <w:t>加重平均FV</w:t>
            </w:r>
          </w:p>
        </w:tc>
        <w:tc>
          <w:tcPr>
            <w:tcW w:type="dxa" w:w="1881"/>
            <w:shd w:val="clear" w:color="auto" w:fill="DDEBF7"/>
          </w:tcPr>
          <w:p>
            <w:r>
              <w:rPr>
                <w:rFonts w:ascii="Meiryo UI" w:hAnsi="Meiryo UI"/>
                <w:sz w:val="18"/>
              </w:rPr>
              <w:t>100%</w:t>
            </w:r>
          </w:p>
        </w:tc>
        <w:tc>
          <w:tcPr>
            <w:tcW w:type="dxa" w:w="1881"/>
            <w:shd w:val="clear" w:color="auto" w:fill="DDEBF7"/>
          </w:tcPr>
          <w:p>
            <w:r>
              <w:rPr>
                <w:rFonts w:ascii="Meiryo UI" w:hAnsi="Meiryo UI"/>
                <w:sz w:val="18"/>
              </w:rPr>
              <w:t>¥328</w:t>
            </w:r>
          </w:p>
        </w:tc>
        <w:tc>
          <w:tcPr>
            <w:tcW w:type="dxa" w:w="1881"/>
            <w:shd w:val="clear" w:color="auto" w:fill="DDEBF7"/>
          </w:tcPr>
          <w:p>
            <w:r>
              <w:rPr>
                <w:rFonts w:ascii="Meiryo UI" w:hAnsi="Meiryo UI"/>
                <w:sz w:val="18"/>
              </w:rPr>
              <w:t>¥558</w:t>
            </w:r>
          </w:p>
        </w:tc>
        <w:tc>
          <w:tcPr>
            <w:tcW w:type="dxa" w:w="1881"/>
            <w:shd w:val="clear" w:color="auto" w:fill="DDEBF7"/>
          </w:tcPr>
          <w:p>
            <w:r>
              <w:rPr>
                <w:rFonts w:ascii="Meiryo UI" w:hAnsi="Meiryo UI"/>
                <w:sz w:val="18"/>
              </w:rPr>
              <w:t>¥762</w:t>
            </w:r>
          </w:p>
        </w:tc>
      </w:tr>
    </w:tbl>
    <w:p/>
    <w:p>
      <w:r>
        <w:rPr>
          <w:rFonts w:ascii="Meiryo UI" w:hAnsi="Meiryo UI"/>
          <w:sz w:val="20"/>
        </w:rPr>
        <w:t>確率ウェイト: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FV</w:t>
            </w:r>
          </w:p>
        </w:tc>
        <w:tc>
          <w:tcPr>
            <w:tcW w:type="dxa" w:w="2351"/>
            <w:shd w:val="clear" w:color="auto" w:fill="2E74B5"/>
          </w:tcPr>
          <w:p>
            <w:r>
              <w:rPr>
                <w:rFonts w:ascii="Meiryo UI" w:hAnsi="Meiryo UI"/>
                <w:b/>
                <w:color w:val="FFFFFF"/>
                <w:sz w:val="18"/>
              </w:rPr>
              <w:t>確率×FV</w:t>
            </w:r>
          </w:p>
        </w:tc>
      </w:tr>
      <w:tr>
        <w:tc>
          <w:tcPr>
            <w:tcW w:type="dxa" w:w="2351"/>
          </w:tcPr>
          <w:p>
            <w:r>
              <w:rPr>
                <w:rFonts w:ascii="Meiryo UI" w:hAnsi="Meiryo UI"/>
                <w:sz w:val="18"/>
              </w:rPr>
              <w:t>Bear（景気後退・信用コスト急増）</w:t>
            </w:r>
          </w:p>
        </w:tc>
        <w:tc>
          <w:tcPr>
            <w:tcW w:type="dxa" w:w="2351"/>
          </w:tcPr>
          <w:p>
            <w:r>
              <w:rPr>
                <w:rFonts w:ascii="Meiryo UI" w:hAnsi="Meiryo UI"/>
                <w:sz w:val="18"/>
              </w:rPr>
              <w:t>20%</w:t>
            </w:r>
          </w:p>
        </w:tc>
        <w:tc>
          <w:tcPr>
            <w:tcW w:type="dxa" w:w="2351"/>
          </w:tcPr>
          <w:p>
            <w:r>
              <w:rPr>
                <w:rFonts w:ascii="Meiryo UI" w:hAnsi="Meiryo UI"/>
                <w:sz w:val="18"/>
              </w:rPr>
              <w:t>¥328</w:t>
            </w:r>
          </w:p>
        </w:tc>
        <w:tc>
          <w:tcPr>
            <w:tcW w:type="dxa" w:w="2351"/>
          </w:tcPr>
          <w:p>
            <w:r>
              <w:rPr>
                <w:rFonts w:ascii="Meiryo UI" w:hAnsi="Meiryo UI"/>
                <w:sz w:val="18"/>
              </w:rPr>
              <w:t>¥66</w:t>
            </w:r>
          </w:p>
        </w:tc>
      </w:tr>
      <w:tr>
        <w:tc>
          <w:tcPr>
            <w:tcW w:type="dxa" w:w="2351"/>
            <w:shd w:val="clear" w:color="auto" w:fill="DDEBF7"/>
          </w:tcPr>
          <w:p>
            <w:r>
              <w:rPr>
                <w:rFonts w:ascii="Meiryo UI" w:hAnsi="Meiryo UI"/>
                <w:sz w:val="18"/>
              </w:rPr>
              <w:t>Base（上方修正達成・安定継続）</w:t>
            </w:r>
          </w:p>
        </w:tc>
        <w:tc>
          <w:tcPr>
            <w:tcW w:type="dxa" w:w="2351"/>
            <w:shd w:val="clear" w:color="auto" w:fill="DDEBF7"/>
          </w:tcPr>
          <w:p>
            <w:r>
              <w:rPr>
                <w:rFonts w:ascii="Meiryo UI" w:hAnsi="Meiryo UI"/>
                <w:sz w:val="18"/>
              </w:rPr>
              <w:t>60%</w:t>
            </w:r>
          </w:p>
        </w:tc>
        <w:tc>
          <w:tcPr>
            <w:tcW w:type="dxa" w:w="2351"/>
            <w:shd w:val="clear" w:color="auto" w:fill="DDEBF7"/>
          </w:tcPr>
          <w:p>
            <w:r>
              <w:rPr>
                <w:rFonts w:ascii="Meiryo UI" w:hAnsi="Meiryo UI"/>
                <w:sz w:val="18"/>
              </w:rPr>
              <w:t>¥558</w:t>
            </w:r>
          </w:p>
        </w:tc>
        <w:tc>
          <w:tcPr>
            <w:tcW w:type="dxa" w:w="2351"/>
            <w:shd w:val="clear" w:color="auto" w:fill="DDEBF7"/>
          </w:tcPr>
          <w:p>
            <w:r>
              <w:rPr>
                <w:rFonts w:ascii="Meiryo UI" w:hAnsi="Meiryo UI"/>
                <w:sz w:val="18"/>
              </w:rPr>
              <w:t>¥335</w:t>
            </w:r>
          </w:p>
        </w:tc>
      </w:tr>
      <w:tr>
        <w:tc>
          <w:tcPr>
            <w:tcW w:type="dxa" w:w="2351"/>
          </w:tcPr>
          <w:p>
            <w:r>
              <w:rPr>
                <w:rFonts w:ascii="Meiryo UI" w:hAnsi="Meiryo UI"/>
                <w:sz w:val="18"/>
              </w:rPr>
              <w:t>Bull（MUFG保証拡大・海外加速）</w:t>
            </w:r>
          </w:p>
        </w:tc>
        <w:tc>
          <w:tcPr>
            <w:tcW w:type="dxa" w:w="2351"/>
          </w:tcPr>
          <w:p>
            <w:r>
              <w:rPr>
                <w:rFonts w:ascii="Meiryo UI" w:hAnsi="Meiryo UI"/>
                <w:sz w:val="18"/>
              </w:rPr>
              <w:t>20%</w:t>
            </w:r>
          </w:p>
        </w:tc>
        <w:tc>
          <w:tcPr>
            <w:tcW w:type="dxa" w:w="2351"/>
          </w:tcPr>
          <w:p>
            <w:r>
              <w:rPr>
                <w:rFonts w:ascii="Meiryo UI" w:hAnsi="Meiryo UI"/>
                <w:sz w:val="18"/>
              </w:rPr>
              <w:t>¥762</w:t>
            </w:r>
          </w:p>
        </w:tc>
        <w:tc>
          <w:tcPr>
            <w:tcW w:type="dxa" w:w="2351"/>
          </w:tcPr>
          <w:p>
            <w:r>
              <w:rPr>
                <w:rFonts w:ascii="Meiryo UI" w:hAnsi="Meiryo UI"/>
                <w:sz w:val="18"/>
              </w:rPr>
              <w:t>¥152</w:t>
            </w:r>
          </w:p>
        </w:tc>
      </w:tr>
      <w:tr>
        <w:tc>
          <w:tcPr>
            <w:tcW w:type="dxa" w:w="2351"/>
            <w:shd w:val="clear" w:color="auto" w:fill="DDEBF7"/>
          </w:tcPr>
          <w:p>
            <w:r>
              <w:rPr>
                <w:rFonts w:ascii="Meiryo UI" w:hAnsi="Meiryo UI"/>
                <w:sz w:val="18"/>
              </w:rPr>
              <w:t>確率加重FV（合計）</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¥553</w:t>
            </w:r>
          </w:p>
        </w:tc>
      </w:tr>
    </w:tbl>
    <w:p/>
    <w:p>
      <w:r>
        <w:rPr>
          <w:rFonts w:ascii="Meiryo UI" w:hAnsi="Meiryo UI"/>
          <w:sz w:val="20"/>
        </w:rPr>
        <w:t>→ 確率加重FV ¥553 vs 現値 ¥471.5 = 上値余地 +17.3%</w:t>
      </w:r>
    </w:p>
    <w:p/>
    <w:p>
      <w:r>
        <w:rPr>
          <w:rFonts w:ascii="Meiryo UI" w:hAnsi="Meiryo UI"/>
          <w:sz w:val="20"/>
        </w:rPr>
        <w:t>Target Price：¥580（Base FV¥558×104%；上方修正後の配当増額プレミアム加算）</w:t>
      </w:r>
    </w:p>
    <w:p/>
    <w:p>
      <w:r>
        <w:t>──────────────────────────────────────────────────</w:t>
      </w:r>
    </w:p>
    <w:p/>
    <w:p>
      <w:pPr>
        <w:pStyle w:val="Heading2"/>
      </w:pPr>
      <w:r>
        <w:rPr>
          <w:rFonts w:ascii="Meiryo UI" w:hAnsi="Meiryo UI"/>
          <w:color w:val="2E74B5"/>
        </w:rPr>
        <w:t>6. Q-1（FY3/26 Q3）定性変化分析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変化点</w:t>
            </w:r>
          </w:p>
        </w:tc>
        <w:tc>
          <w:tcPr>
            <w:tcW w:type="dxa" w:w="3135"/>
            <w:shd w:val="clear" w:color="auto" w:fill="2E74B5"/>
          </w:tcPr>
          <w:p>
            <w:r>
              <w:rPr>
                <w:rFonts w:ascii="Meiryo UI" w:hAnsi="Meiryo UI"/>
                <w:b/>
                <w:color w:val="FFFFFF"/>
                <w:sz w:val="18"/>
              </w:rPr>
              <w:t>前期比</w:t>
            </w:r>
          </w:p>
        </w:tc>
        <w:tc>
          <w:tcPr>
            <w:tcW w:type="dxa" w:w="3135"/>
            <w:shd w:val="clear" w:color="auto" w:fill="2E74B5"/>
          </w:tcPr>
          <w:p>
            <w:r>
              <w:rPr>
                <w:rFonts w:ascii="Meiryo UI" w:hAnsi="Meiryo UI"/>
                <w:b/>
                <w:color w:val="FFFFFF"/>
                <w:sz w:val="18"/>
              </w:rPr>
              <w:t>意味</w:t>
            </w:r>
          </w:p>
        </w:tc>
      </w:tr>
      <w:tr>
        <w:tc>
          <w:tcPr>
            <w:tcW w:type="dxa" w:w="3135"/>
          </w:tcPr>
          <w:p>
            <w:r>
              <w:rPr>
                <w:rFonts w:ascii="Meiryo UI" w:hAnsi="Meiryo UI"/>
                <w:sz w:val="18"/>
              </w:rPr>
              <w:t>個人ローン残高</w:t>
            </w:r>
          </w:p>
        </w:tc>
        <w:tc>
          <w:tcPr>
            <w:tcW w:type="dxa" w:w="3135"/>
          </w:tcPr>
          <w:p>
            <w:r>
              <w:rPr>
                <w:rFonts w:ascii="Meiryo UI" w:hAnsi="Meiryo UI"/>
                <w:sz w:val="18"/>
              </w:rPr>
              <w:t>増加傾向（推定）</w:t>
            </w:r>
          </w:p>
        </w:tc>
        <w:tc>
          <w:tcPr>
            <w:tcW w:type="dxa" w:w="3135"/>
          </w:tcPr>
          <w:p>
            <w:r>
              <w:rPr>
                <w:rFonts w:ascii="Meiryo UI" w:hAnsi="Meiryo UI"/>
                <w:sz w:val="18"/>
              </w:rPr>
              <w:t>消費者金融需要は堅調。金利上昇局面でも短期借入需要は維持</w:t>
            </w:r>
          </w:p>
        </w:tc>
      </w:tr>
      <w:tr>
        <w:tc>
          <w:tcPr>
            <w:tcW w:type="dxa" w:w="3135"/>
            <w:shd w:val="clear" w:color="auto" w:fill="DDEBF7"/>
          </w:tcPr>
          <w:p>
            <w:r>
              <w:rPr>
                <w:rFonts w:ascii="Meiryo UI" w:hAnsi="Meiryo UI"/>
                <w:sz w:val="18"/>
              </w:rPr>
              <w:t>デジタル促進体制強化（4/1）</w:t>
            </w:r>
          </w:p>
        </w:tc>
        <w:tc>
          <w:tcPr>
            <w:tcW w:type="dxa" w:w="3135"/>
            <w:shd w:val="clear" w:color="auto" w:fill="DDEBF7"/>
          </w:tcPr>
          <w:p>
            <w:r>
              <w:rPr>
                <w:rFonts w:ascii="Meiryo UI" w:hAnsi="Meiryo UI"/>
                <w:sz w:val="18"/>
              </w:rPr>
              <w:t>新設</w:t>
            </w:r>
          </w:p>
        </w:tc>
        <w:tc>
          <w:tcPr>
            <w:tcW w:type="dxa" w:w="3135"/>
            <w:shd w:val="clear" w:color="auto" w:fill="DDEBF7"/>
          </w:tcPr>
          <w:p>
            <w:r>
              <w:rPr>
                <w:rFonts w:ascii="Meiryo UI" w:hAnsi="Meiryo UI"/>
                <w:sz w:val="18"/>
              </w:rPr>
              <w:t>Digital &amp; Operations Coordination Department新設。オンライン審査・スコアリング強化</w:t>
            </w:r>
          </w:p>
        </w:tc>
      </w:tr>
      <w:tr>
        <w:tc>
          <w:tcPr>
            <w:tcW w:type="dxa" w:w="3135"/>
          </w:tcPr>
          <w:p>
            <w:r>
              <w:rPr>
                <w:rFonts w:ascii="Meiryo UI" w:hAnsi="Meiryo UI"/>
                <w:sz w:val="18"/>
              </w:rPr>
              <w:t>延滞率・与信コスト</w:t>
            </w:r>
          </w:p>
        </w:tc>
        <w:tc>
          <w:tcPr>
            <w:tcW w:type="dxa" w:w="3135"/>
          </w:tcPr>
          <w:p>
            <w:r>
              <w:rPr>
                <w:rFonts w:ascii="Meiryo UI" w:hAnsi="Meiryo UI"/>
                <w:sz w:val="18"/>
              </w:rPr>
              <w:t>要確認</w:t>
            </w:r>
          </w:p>
        </w:tc>
        <w:tc>
          <w:tcPr>
            <w:tcW w:type="dxa" w:w="3135"/>
          </w:tcPr>
          <w:p>
            <w:r>
              <w:rPr>
                <w:rFonts w:ascii="Meiryo UI" w:hAnsi="Meiryo UI"/>
                <w:sz w:val="18"/>
              </w:rPr>
              <w:t>COVID期の低延滞率が正常化しつつある。Q4決算で確認必須</w:t>
            </w:r>
          </w:p>
        </w:tc>
      </w:tr>
      <w:tr>
        <w:tc>
          <w:tcPr>
            <w:tcW w:type="dxa" w:w="3135"/>
            <w:shd w:val="clear" w:color="auto" w:fill="DDEBF7"/>
          </w:tcPr>
          <w:p>
            <w:r>
              <w:rPr>
                <w:rFonts w:ascii="Meiryo UI" w:hAnsi="Meiryo UI"/>
                <w:sz w:val="18"/>
              </w:rPr>
              <w:t>MUFG銀行保証残高</w:t>
            </w:r>
          </w:p>
        </w:tc>
        <w:tc>
          <w:tcPr>
            <w:tcW w:type="dxa" w:w="3135"/>
            <w:shd w:val="clear" w:color="auto" w:fill="DDEBF7"/>
          </w:tcPr>
          <w:p>
            <w:r>
              <w:rPr>
                <w:rFonts w:ascii="Meiryo UI" w:hAnsi="Meiryo UI"/>
                <w:sz w:val="18"/>
              </w:rPr>
              <w:t>拡大継続推定</w:t>
            </w:r>
          </w:p>
        </w:tc>
        <w:tc>
          <w:tcPr>
            <w:tcW w:type="dxa" w:w="3135"/>
            <w:shd w:val="clear" w:color="auto" w:fill="DDEBF7"/>
          </w:tcPr>
          <w:p>
            <w:r>
              <w:rPr>
                <w:rFonts w:ascii="Meiryo UI" w:hAnsi="Meiryo UI"/>
                <w:sz w:val="18"/>
              </w:rPr>
              <w:t>銀行カードローン保証は銀行融資拡大と連動。安定成長</w:t>
            </w:r>
          </w:p>
        </w:tc>
      </w:tr>
      <w:tr>
        <w:tc>
          <w:tcPr>
            <w:tcW w:type="dxa" w:w="3135"/>
          </w:tcPr>
          <w:p>
            <w:r>
              <w:rPr>
                <w:rFonts w:ascii="Meiryo UI" w:hAnsi="Meiryo UI"/>
                <w:sz w:val="18"/>
              </w:rPr>
              <w:t>海外（タイ）</w:t>
            </w:r>
          </w:p>
        </w:tc>
        <w:tc>
          <w:tcPr>
            <w:tcW w:type="dxa" w:w="3135"/>
          </w:tcPr>
          <w:p>
            <w:r>
              <w:rPr>
                <w:rFonts w:ascii="Meiryo UI" w:hAnsi="Meiryo UI"/>
                <w:sz w:val="18"/>
              </w:rPr>
              <w:t>順調</w:t>
            </w:r>
          </w:p>
        </w:tc>
        <w:tc>
          <w:tcPr>
            <w:tcW w:type="dxa" w:w="3135"/>
          </w:tcPr>
          <w:p>
            <w:r>
              <w:rPr>
                <w:rFonts w:ascii="Meiryo UI" w:hAnsi="Meiryo UI"/>
                <w:sz w:val="18"/>
              </w:rPr>
              <w:t>タイ消費金融市場の成長継続。外貨収益の為替リスクは軽微</w:t>
            </w:r>
          </w:p>
        </w:tc>
      </w:tr>
    </w:tbl>
    <w:p/>
    <w:p>
      <w:r>
        <w:t>──────────────────────────────────────────────────</w:t>
      </w:r>
    </w:p>
    <w:p/>
    <w:p>
      <w:pPr>
        <w:pStyle w:val="Heading2"/>
      </w:pPr>
      <w:r>
        <w:rPr>
          <w:rFonts w:ascii="Meiryo UI" w:hAnsi="Meiryo UI"/>
          <w:color w:val="2E74B5"/>
        </w:rPr>
        <w:t>7. リスクシナリオ定量</w:t>
      </w:r>
    </w:p>
    <w:p/>
    <w:p>
      <w:pPr>
        <w:pStyle w:val="Heading3"/>
      </w:pPr>
      <w:r>
        <w:rPr>
          <w:rFonts w:ascii="Meiryo UI" w:hAnsi="Meiryo UI"/>
          <w:color w:val="2E74B5"/>
        </w:rPr>
        <w:t>リスク①：信用コスト急増（最大リスク・20%）</w:t>
      </w:r>
    </w:p>
    <w:p/>
    <w:p>
      <w:pPr>
        <w:pStyle w:val="ListBullet"/>
      </w:pPr>
      <w:r>
        <w:rPr>
          <w:rFonts w:ascii="Meiryo UI" w:hAnsi="Meiryo UI"/>
          <w:sz w:val="20"/>
        </w:rPr>
        <w:t>トリガー： 景気後退（GDP▲1〜2%）→ 個人債務不履行率上昇</w:t>
      </w:r>
    </w:p>
    <w:p>
      <w:pPr>
        <w:pStyle w:val="ListBullet"/>
      </w:pPr>
      <w:r>
        <w:rPr>
          <w:rFonts w:ascii="Meiryo UI" w:hAnsi="Meiryo UI"/>
          <w:sz w:val="20"/>
        </w:rPr>
        <w:t>Impact： 貸倒引当金繰入額+¥50〜100億</w:t>
      </w:r>
    </w:p>
    <w:p>
      <w:pPr>
        <w:pStyle w:val="ListBullet"/>
      </w:pPr>
      <w:r>
        <w:rPr>
          <w:rFonts w:ascii="Meiryo UI" w:hAnsi="Meiryo UI"/>
          <w:sz w:val="20"/>
        </w:rPr>
        <w:t>EPS Impact： ▲¥3〜6/株</w:t>
      </w:r>
    </w:p>
    <w:p>
      <w:pPr>
        <w:pStyle w:val="ListBullet"/>
      </w:pPr>
      <w:r>
        <w:rPr>
          <w:rFonts w:ascii="Meiryo UI" w:hAnsi="Meiryo UI"/>
          <w:sz w:val="20"/>
        </w:rPr>
        <w:t>FV Impact： ▲¥24〜48（P/E 8x）</w:t>
      </w:r>
    </w:p>
    <w:p>
      <w:pPr>
        <w:pStyle w:val="ListBullet"/>
      </w:pPr>
      <w:r>
        <w:rPr>
          <w:rFonts w:ascii="Meiryo UI" w:hAnsi="Meiryo UI"/>
          <w:sz w:val="20"/>
        </w:rPr>
        <w:t>株価下値： ¥424〜448（現値比▲5〜10%）</w:t>
      </w:r>
    </w:p>
    <w:p/>
    <w:p>
      <w:pPr>
        <w:pStyle w:val="Heading3"/>
      </w:pPr>
      <w:r>
        <w:rPr>
          <w:rFonts w:ascii="Meiryo UI" w:hAnsi="Meiryo UI"/>
          <w:color w:val="2E74B5"/>
        </w:rPr>
        <w:t>リスク②：金利スプレッド圧縮（25%）</w:t>
      </w:r>
    </w:p>
    <w:p/>
    <w:p>
      <w:pPr>
        <w:pStyle w:val="ListBullet"/>
      </w:pPr>
      <w:r>
        <w:rPr>
          <w:rFonts w:ascii="Meiryo UI" w:hAnsi="Meiryo UI"/>
          <w:sz w:val="20"/>
        </w:rPr>
        <w:t>トリガー： 政策金利+1%（調達コスト+0.5〜0.8%）</w:t>
      </w:r>
    </w:p>
    <w:p>
      <w:pPr>
        <w:pStyle w:val="ListBullet"/>
      </w:pPr>
      <w:r>
        <w:rPr>
          <w:rFonts w:ascii="Meiryo UI" w:hAnsi="Meiryo UI"/>
          <w:sz w:val="20"/>
        </w:rPr>
        <w:t>Impact： スプレッド▲50bp → 収益▲¥10〜20億</w:t>
      </w:r>
    </w:p>
    <w:p>
      <w:pPr>
        <w:pStyle w:val="ListBullet"/>
      </w:pPr>
      <w:r>
        <w:rPr>
          <w:rFonts w:ascii="Meiryo UI" w:hAnsi="Meiryo UI"/>
          <w:sz w:val="20"/>
        </w:rPr>
        <w:t>EPS Impact： ▲¥0.6〜1.3/株（軽微）</w:t>
      </w:r>
    </w:p>
    <w:p>
      <w:pPr>
        <w:pStyle w:val="ListBullet"/>
      </w:pPr>
      <w:r>
        <w:rPr>
          <w:rFonts w:ascii="Meiryo UI" w:hAnsi="Meiryo UI"/>
          <w:sz w:val="20"/>
        </w:rPr>
        <w:t>FV Impact： ▲¥5〜10（軽微、消費金融は高スプレッドで金利耐性高）</w:t>
      </w:r>
    </w:p>
    <w:p/>
    <w:p>
      <w:pPr>
        <w:pStyle w:val="Heading3"/>
      </w:pPr>
      <w:r>
        <w:rPr>
          <w:rFonts w:ascii="Meiryo UI" w:hAnsi="Meiryo UI"/>
          <w:color w:val="2E74B5"/>
        </w:rPr>
        <w:t>リスク③：過払い金返還 新規請求（15%）</w:t>
      </w:r>
    </w:p>
    <w:p/>
    <w:p>
      <w:pPr>
        <w:pStyle w:val="ListBullet"/>
      </w:pPr>
      <w:r>
        <w:rPr>
          <w:rFonts w:ascii="Meiryo UI" w:hAnsi="Meiryo UI"/>
          <w:sz w:val="20"/>
        </w:rPr>
        <w:t>トリガー： 法改正・判例変更による旧グレーゾーン金利の追加請求</w:t>
      </w:r>
    </w:p>
    <w:p>
      <w:pPr>
        <w:pStyle w:val="ListBullet"/>
      </w:pPr>
      <w:r>
        <w:rPr>
          <w:rFonts w:ascii="Meiryo UI" w:hAnsi="Meiryo UI"/>
          <w:sz w:val="20"/>
        </w:rPr>
        <w:t>Impact： 特別損失¥50〜200億（一時的だが規模不確定）</w:t>
      </w:r>
    </w:p>
    <w:p>
      <w:pPr>
        <w:pStyle w:val="ListBullet"/>
      </w:pPr>
      <w:r>
        <w:rPr>
          <w:rFonts w:ascii="Meiryo UI" w:hAnsi="Meiryo UI"/>
          <w:sz w:val="20"/>
        </w:rPr>
        <w:t>対処： 現行法令遵守体制は整備済み。可能性は低いが尾部リスクとして認識</w:t>
      </w:r>
    </w:p>
    <w:p/>
    <w:p>
      <w:pPr>
        <w:pStyle w:val="Heading3"/>
      </w:pPr>
      <w:r>
        <w:rPr>
          <w:rFonts w:ascii="Meiryo UI" w:hAnsi="Meiryo UI"/>
          <w:color w:val="2E74B5"/>
        </w:rPr>
        <w:t>リスク④：MUFGによる完全子会社化 → プレミアム上昇リスク（ポジティブ）</w:t>
      </w:r>
    </w:p>
    <w:p/>
    <w:p>
      <w:pPr>
        <w:pStyle w:val="ListBullet"/>
      </w:pPr>
      <w:r>
        <w:rPr>
          <w:rFonts w:ascii="Meiryo UI" w:hAnsi="Meiryo UI"/>
          <w:sz w:val="20"/>
        </w:rPr>
        <w:t>条件： MUFGが持分40%→51%超→上場廃止TOBを検討する場合</w:t>
      </w:r>
    </w:p>
    <w:p>
      <w:pPr>
        <w:pStyle w:val="ListBullet"/>
      </w:pPr>
      <w:r>
        <w:rPr>
          <w:rFonts w:ascii="Meiryo UI" w:hAnsi="Meiryo UI"/>
          <w:sz w:val="20"/>
        </w:rPr>
        <w:t>Impact： TOBプレミアム+20〜30%</w:t>
      </w:r>
    </w:p>
    <w:p>
      <w:pPr>
        <w:pStyle w:val="ListBullet"/>
      </w:pPr>
      <w:r>
        <w:rPr>
          <w:rFonts w:ascii="Meiryo UI" w:hAnsi="Meiryo UI"/>
          <w:sz w:val="20"/>
        </w:rPr>
        <w:t>参考確率： 10〜15%（現状のMUFG戦略上は優先度低いが中期オプション）</w:t>
      </w:r>
    </w:p>
    <w:p/>
    <w:p>
      <w:r>
        <w:t>──────────────────────────────────────────────────</w:t>
      </w:r>
    </w:p>
    <w:p/>
    <w:p>
      <w:pPr>
        <w:pStyle w:val="Heading2"/>
      </w:pPr>
      <w:r>
        <w:rPr>
          <w:rFonts w:ascii="Meiryo UI" w:hAnsi="Meiryo UI"/>
          <w:color w:val="2E74B5"/>
        </w:rPr>
        <w:t>8. ガイダンス考察（FY3/26実績→FY3/27推計）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FY3/26 旧ガイダンス</w:t>
            </w:r>
          </w:p>
        </w:tc>
        <w:tc>
          <w:tcPr>
            <w:tcW w:type="dxa" w:w="2351"/>
            <w:shd w:val="clear" w:color="auto" w:fill="2E74B5"/>
          </w:tcPr>
          <w:p>
            <w:r>
              <w:rPr>
                <w:rFonts w:ascii="Meiryo UI" w:hAnsi="Meiryo UI"/>
                <w:b/>
                <w:color w:val="FFFFFF"/>
                <w:sz w:val="18"/>
              </w:rPr>
              <w:t>FY3/26 推定実績</w:t>
            </w:r>
          </w:p>
        </w:tc>
        <w:tc>
          <w:tcPr>
            <w:tcW w:type="dxa" w:w="2351"/>
            <w:shd w:val="clear" w:color="auto" w:fill="2E74B5"/>
          </w:tcPr>
          <w:p>
            <w:r>
              <w:rPr>
                <w:rFonts w:ascii="Meiryo UI" w:hAnsi="Meiryo UI"/>
                <w:b/>
                <w:color w:val="FFFFFF"/>
                <w:sz w:val="18"/>
              </w:rPr>
              <w:t>FY3/27 推計</w:t>
            </w:r>
          </w:p>
        </w:tc>
      </w:tr>
      <w:tr>
        <w:tc>
          <w:tcPr>
            <w:tcW w:type="dxa" w:w="2351"/>
          </w:tcPr>
          <w:p>
            <w:r>
              <w:rPr>
                <w:rFonts w:ascii="Meiryo UI" w:hAnsi="Meiryo UI"/>
                <w:sz w:val="18"/>
              </w:rPr>
              <w:t>営業収益</w:t>
            </w:r>
          </w:p>
        </w:tc>
        <w:tc>
          <w:tcPr>
            <w:tcW w:type="dxa" w:w="2351"/>
          </w:tcPr>
          <w:p>
            <w:r>
              <w:rPr>
                <w:rFonts w:ascii="Meiryo UI" w:hAnsi="Meiryo UI"/>
                <w:sz w:val="18"/>
              </w:rPr>
              <w:t>¥3,318億</w:t>
            </w:r>
          </w:p>
        </w:tc>
        <w:tc>
          <w:tcPr>
            <w:tcW w:type="dxa" w:w="2351"/>
          </w:tcPr>
          <w:p>
            <w:r>
              <w:rPr>
                <w:rFonts w:ascii="Meiryo UI" w:hAnsi="Meiryo UI"/>
                <w:sz w:val="18"/>
              </w:rPr>
              <w:t>¥3,350〜3,400億</w:t>
            </w:r>
          </w:p>
        </w:tc>
        <w:tc>
          <w:tcPr>
            <w:tcW w:type="dxa" w:w="2351"/>
          </w:tcPr>
          <w:p>
            <w:r>
              <w:rPr>
                <w:rFonts w:ascii="Meiryo UI" w:hAnsi="Meiryo UI"/>
                <w:sz w:val="18"/>
              </w:rPr>
              <w:t>¥3,450〜3,530億（+3〜4%）</w:t>
            </w:r>
          </w:p>
        </w:tc>
      </w:tr>
      <w:tr>
        <w:tc>
          <w:tcPr>
            <w:tcW w:type="dxa" w:w="2351"/>
            <w:shd w:val="clear" w:color="auto" w:fill="DDEBF7"/>
          </w:tcPr>
          <w:p>
            <w:r>
              <w:rPr>
                <w:rFonts w:ascii="Meiryo UI" w:hAnsi="Meiryo UI"/>
                <w:sz w:val="18"/>
              </w:rPr>
              <w:t>経常利益</w:t>
            </w:r>
          </w:p>
        </w:tc>
        <w:tc>
          <w:tcPr>
            <w:tcW w:type="dxa" w:w="2351"/>
            <w:shd w:val="clear" w:color="auto" w:fill="DDEBF7"/>
          </w:tcPr>
          <w:p>
            <w:r>
              <w:rPr>
                <w:rFonts w:ascii="Meiryo UI" w:hAnsi="Meiryo UI"/>
                <w:sz w:val="18"/>
              </w:rPr>
              <w:t>¥889億</w:t>
            </w:r>
          </w:p>
        </w:tc>
        <w:tc>
          <w:tcPr>
            <w:tcW w:type="dxa" w:w="2351"/>
            <w:shd w:val="clear" w:color="auto" w:fill="DDEBF7"/>
          </w:tcPr>
          <w:p>
            <w:r>
              <w:rPr>
                <w:rFonts w:ascii="Meiryo UI" w:hAnsi="Meiryo UI"/>
                <w:sz w:val="18"/>
              </w:rPr>
              <w:t>¥920〜950億</w:t>
            </w:r>
          </w:p>
        </w:tc>
        <w:tc>
          <w:tcPr>
            <w:tcW w:type="dxa" w:w="2351"/>
            <w:shd w:val="clear" w:color="auto" w:fill="DDEBF7"/>
          </w:tcPr>
          <w:p>
            <w:r>
              <w:rPr>
                <w:rFonts w:ascii="Meiryo UI" w:hAnsi="Meiryo UI"/>
                <w:sz w:val="18"/>
              </w:rPr>
              <w:t>¥930〜980億</w:t>
            </w:r>
          </w:p>
        </w:tc>
      </w:tr>
      <w:tr>
        <w:tc>
          <w:tcPr>
            <w:tcW w:type="dxa" w:w="2351"/>
          </w:tcPr>
          <w:p>
            <w:r>
              <w:rPr>
                <w:rFonts w:ascii="Meiryo UI" w:hAnsi="Meiryo UI"/>
                <w:sz w:val="18"/>
              </w:rPr>
              <w:t>純利益</w:t>
            </w:r>
          </w:p>
        </w:tc>
        <w:tc>
          <w:tcPr>
            <w:tcW w:type="dxa" w:w="2351"/>
          </w:tcPr>
          <w:p>
            <w:r>
              <w:rPr>
                <w:rFonts w:ascii="Meiryo UI" w:hAnsi="Meiryo UI"/>
                <w:sz w:val="18"/>
              </w:rPr>
              <w:t>¥722億</w:t>
            </w:r>
          </w:p>
        </w:tc>
        <w:tc>
          <w:tcPr>
            <w:tcW w:type="dxa" w:w="2351"/>
          </w:tcPr>
          <w:p>
            <w:r>
              <w:rPr>
                <w:rFonts w:ascii="Meiryo UI" w:hAnsi="Meiryo UI"/>
                <w:sz w:val="18"/>
              </w:rPr>
              <w:t>¥740〜760億</w:t>
            </w:r>
          </w:p>
        </w:tc>
        <w:tc>
          <w:tcPr>
            <w:tcW w:type="dxa" w:w="2351"/>
          </w:tcPr>
          <w:p>
            <w:r>
              <w:rPr>
                <w:rFonts w:ascii="Meiryo UI" w:hAnsi="Meiryo UI"/>
                <w:sz w:val="18"/>
              </w:rPr>
              <w:t>¥760〜800億</w:t>
            </w:r>
          </w:p>
        </w:tc>
      </w:tr>
      <w:tr>
        <w:tc>
          <w:tcPr>
            <w:tcW w:type="dxa" w:w="2351"/>
            <w:shd w:val="clear" w:color="auto" w:fill="DDEBF7"/>
          </w:tcPr>
          <w:p>
            <w:r>
              <w:rPr>
                <w:rFonts w:ascii="Meiryo UI" w:hAnsi="Meiryo UI"/>
                <w:sz w:val="18"/>
              </w:rPr>
              <w:t>EPS</w:t>
            </w:r>
          </w:p>
        </w:tc>
        <w:tc>
          <w:tcPr>
            <w:tcW w:type="dxa" w:w="2351"/>
            <w:shd w:val="clear" w:color="auto" w:fill="DDEBF7"/>
          </w:tcPr>
          <w:p>
            <w:r>
              <w:rPr>
                <w:rFonts w:ascii="Meiryo UI" w:hAnsi="Meiryo UI"/>
                <w:sz w:val="18"/>
              </w:rPr>
              <w:t>¥46.4</w:t>
            </w:r>
          </w:p>
        </w:tc>
        <w:tc>
          <w:tcPr>
            <w:tcW w:type="dxa" w:w="2351"/>
            <w:shd w:val="clear" w:color="auto" w:fill="DDEBF7"/>
          </w:tcPr>
          <w:p>
            <w:r>
              <w:rPr>
                <w:rFonts w:ascii="Meiryo UI" w:hAnsi="Meiryo UI"/>
                <w:sz w:val="18"/>
              </w:rPr>
              <w:t>~¥47.6〜48.9</w:t>
            </w:r>
          </w:p>
        </w:tc>
        <w:tc>
          <w:tcPr>
            <w:tcW w:type="dxa" w:w="2351"/>
            <w:shd w:val="clear" w:color="auto" w:fill="DDEBF7"/>
          </w:tcPr>
          <w:p>
            <w:r>
              <w:rPr>
                <w:rFonts w:ascii="Meiryo UI" w:hAnsi="Meiryo UI"/>
                <w:sz w:val="18"/>
              </w:rPr>
              <w:t>¥49〜51</w:t>
            </w:r>
          </w:p>
        </w:tc>
      </w:tr>
      <w:tr>
        <w:tc>
          <w:tcPr>
            <w:tcW w:type="dxa" w:w="2351"/>
          </w:tcPr>
          <w:p>
            <w:r>
              <w:rPr>
                <w:rFonts w:ascii="Meiryo UI" w:hAnsi="Meiryo UI"/>
                <w:sz w:val="18"/>
              </w:rPr>
              <w:t>DPS（配当）</w:t>
            </w:r>
          </w:p>
        </w:tc>
        <w:tc>
          <w:tcPr>
            <w:tcW w:type="dxa" w:w="2351"/>
          </w:tcPr>
          <w:p>
            <w:r>
              <w:rPr>
                <w:rFonts w:ascii="Meiryo UI" w:hAnsi="Meiryo UI"/>
                <w:sz w:val="18"/>
              </w:rPr>
              <w:t>−</w:t>
            </w:r>
          </w:p>
        </w:tc>
        <w:tc>
          <w:tcPr>
            <w:tcW w:type="dxa" w:w="2351"/>
          </w:tcPr>
          <w:p>
            <w:r>
              <w:rPr>
                <w:rFonts w:ascii="Meiryo UI" w:hAnsi="Meiryo UI"/>
                <w:sz w:val="18"/>
              </w:rPr>
              <w:t>¥24〜26（推定）</w:t>
            </w:r>
          </w:p>
        </w:tc>
        <w:tc>
          <w:tcPr>
            <w:tcW w:type="dxa" w:w="2351"/>
          </w:tcPr>
          <w:p>
            <w:r>
              <w:rPr>
                <w:rFonts w:ascii="Meiryo UI" w:hAnsi="Meiryo UI"/>
                <w:sz w:val="18"/>
              </w:rPr>
              <w:t>¥25〜28（増配方向）</w:t>
            </w:r>
          </w:p>
        </w:tc>
      </w:tr>
    </w:tbl>
    <w:p/>
    <w:p>
      <w:r>
        <w:rPr>
          <w:rFonts w:ascii="Meiryo UI" w:hAnsi="Meiryo UI"/>
          <w:sz w:val="20"/>
        </w:rPr>
        <w:t>FY3/27の収益成長率推計+3〜6%（上方修正後実績ベース）。 金利上昇影響は軽微（▲1〜2%）で相殺。デジタル新規顧客獲得がグロスドライバー。</w:t>
      </w:r>
    </w:p>
    <w:p/>
    <w:p>
      <w:r>
        <w:t>──────────────────────────────────────────────────</w:t>
      </w:r>
    </w:p>
    <w:p/>
    <w:p>
      <w:pPr>
        <w:pStyle w:val="Heading2"/>
      </w:pPr>
      <w:r>
        <w:rPr>
          <w:rFonts w:ascii="Meiryo UI" w:hAnsi="Meiryo UI"/>
          <w:color w:val="2E74B5"/>
        </w:rPr>
        <w:t>9. 不動産含み益考察</w:t>
      </w:r>
    </w:p>
    <w:p/>
    <w:p>
      <w:r>
        <w:rPr>
          <w:rFonts w:ascii="Meiryo UI" w:hAnsi="Meiryo UI"/>
          <w:sz w:val="20"/>
        </w:rPr>
        <w:t>アコムは不動産投資型事業は行っていないが、店舗物件（ATM・無人契約機含む）の保有資産あり。含み益は非実質的（不動産会社との比較では軽微）。本項目は業種性質上、定量的NAVインパクトは限定的。</w:t>
      </w:r>
    </w:p>
    <w:p/>
    <w:p>
      <w:r>
        <w:t>──────────────────────────────────────────────────</w:t>
      </w:r>
    </w:p>
    <w:p/>
    <w:p>
      <w:pPr>
        <w:pStyle w:val="Heading2"/>
      </w:pPr>
      <w:r>
        <w:rPr>
          <w:rFonts w:ascii="Meiryo UI" w:hAnsi="Meiryo UI"/>
          <w:color w:val="2E74B5"/>
        </w:rPr>
        <w:t>10. 投資アクションプラン</w:t>
      </w:r>
    </w:p>
    <w:p/>
    <w:p>
      <w:r>
        <w:rPr>
          <w:rFonts w:ascii="Meiryo UI" w:hAnsi="Meiryo UI"/>
          <w:sz w:val="20"/>
        </w:rPr>
        <w:t>エントリー： 現値¥471.5〜¥500（上方修正後の株価確認後）</w:t>
      </w:r>
    </w:p>
    <w:p>
      <w:r>
        <w:rPr>
          <w:rFonts w:ascii="Meiryo UI" w:hAnsi="Meiryo UI"/>
          <w:sz w:val="20"/>
        </w:rPr>
        <w:t>目標： ¥580（6ヶ月）→ MUFG TOB観測なら¥630に引上げ</w:t>
      </w:r>
    </w:p>
    <w:p>
      <w:r>
        <w:rPr>
          <w:rFonts w:ascii="Meiryo UI" w:hAnsi="Meiryo UI"/>
          <w:sz w:val="20"/>
        </w:rPr>
        <w:t>SL： ¥400（P/B 1.0x近傍・信用コスト急増シナリオ対応）</w:t>
      </w:r>
    </w:p>
    <w:p>
      <w:r>
        <w:rPr>
          <w:rFonts w:ascii="Meiryo UI" w:hAnsi="Meiryo UI"/>
          <w:sz w:val="20"/>
        </w:rPr>
        <w:t>最大ポジション： 1.0%（消費金融の景気連動リスクを勘案）</w:t>
      </w:r>
    </w:p>
    <w:p/>
    <w:p>
      <w:r>
        <w:rPr>
          <w:rFonts w:ascii="Meiryo UI" w:hAnsi="Meiryo UI"/>
          <w:sz w:val="20"/>
        </w:rPr>
        <w:t>カタリスト（BUY追加条件）:</w:t>
      </w:r>
    </w:p>
    <w:p>
      <w:pPr>
        <w:pStyle w:val="ListBullet"/>
      </w:pPr>
      <w:r>
        <w:rPr>
          <w:rFonts w:ascii="Meiryo UI" w:hAnsi="Meiryo UI"/>
          <w:sz w:val="20"/>
        </w:rPr>
        <w:t>FY3/26本決算（5月）で延滞率の改善or横ばい確認</w:t>
      </w:r>
    </w:p>
    <w:p>
      <w:pPr>
        <w:pStyle w:val="ListBullet"/>
      </w:pPr>
      <w:r>
        <w:rPr>
          <w:rFonts w:ascii="Meiryo UI" w:hAnsi="Meiryo UI"/>
          <w:sz w:val="20"/>
        </w:rPr>
        <w:t>デジタルチャネル経由の新規顧客獲得数が前年比+20%超</w:t>
      </w:r>
    </w:p>
    <w:p>
      <w:pPr>
        <w:pStyle w:val="ListBullet"/>
      </w:pPr>
      <w:r>
        <w:rPr>
          <w:rFonts w:ascii="Meiryo UI" w:hAnsi="Meiryo UI"/>
          <w:sz w:val="20"/>
        </w:rPr>
        <w:t>MUFGによる持分引上げ・子会社化検討報道</w:t>
      </w:r>
    </w:p>
    <w:p/>
    <w:p>
      <w:r>
        <w:t>──────────────────────────────────────────────────</w:t>
      </w:r>
    </w:p>
    <w:p/>
    <w:p>
      <w:pPr>
        <w:pStyle w:val="Heading2"/>
      </w:pPr>
      <w:r>
        <w:rPr>
          <w:rFonts w:ascii="Meiryo UI" w:hAnsi="Meiryo UI"/>
          <w:color w:val="2E74B5"/>
        </w:rPr>
        <w:t>11. 結論</w:t>
      </w:r>
    </w:p>
    <w:p/>
    <w:p>
      <w:r>
        <w:rPr>
          <w:rFonts w:ascii="Meiryo UI" w:hAnsi="Meiryo UI"/>
          <w:sz w:val="20"/>
        </w:rPr>
        <w:t>アコムは「過払い金問題」克服後の健全化段階が定着し、Q3時点で通期計画92.5%達成の好調な軌道にある。消費者金融業種の金利耐性（高スプレッド構造）とMUFGグループのサポートが収益の底堅さを保証。</w:t>
      </w:r>
    </w:p>
    <w:p/>
    <w:p>
      <w:r>
        <w:rPr>
          <w:rFonts w:ascii="Meiryo UI" w:hAnsi="Meiryo UI"/>
          <w:sz w:val="20"/>
        </w:rPr>
        <w:t>確率加重FV ¥553 vs 現値 ¥471.5 → +17.3%の上値余地。BUY。</w:t>
      </w:r>
    </w:p>
    <w:p/>
    <w:p>
      <w:r>
        <w:rPr>
          <w:rFonts w:ascii="Meiryo UI" w:hAnsi="Meiryo UI"/>
          <w:sz w:val="20"/>
        </w:rPr>
        <w:t>与信コスト正常化を5月本決算で確認することが最重要チェックポイント。延滞率が急上昇していなければ、フルポジション投入を推奨。</w:t>
      </w:r>
    </w:p>
    <w:p/>
    <w:p>
      <w:r>
        <w:t>──────────────────────────────────────────────────</w:t>
      </w:r>
    </w:p>
    <w:p/>
    <w:p>
      <w:pPr>
        <w:pStyle w:val="Heading2"/>
      </w:pPr>
      <w:r>
        <w:rPr>
          <w:rFonts w:ascii="Meiryo UI" w:hAnsi="Meiryo UI"/>
          <w:color w:val="2E74B5"/>
        </w:rPr>
        <w:t>■ IR質問状（竹村トレードカンパニー名義）</w:t>
      </w:r>
    </w:p>
    <w:p/>
    <w:p>
      <w:r>
        <w:rPr>
          <w:rFonts w:ascii="Meiryo UI" w:hAnsi="Meiryo UI"/>
          <w:sz w:val="20"/>
        </w:rPr>
        <w:t>宛先：ir@acom.co.jp</w:t>
      </w:r>
    </w:p>
    <w:p>
      <w:r>
        <w:rPr>
          <w:rFonts w:ascii="Meiryo UI" w:hAnsi="Meiryo UI"/>
          <w:sz w:val="20"/>
        </w:rPr>
        <w:t>件名：【竹村トレードカンパニー】8572 アコム 投資家質問状（2026年4月20日）</w:t>
      </w:r>
    </w:p>
    <w:p/>
    <w:p>
      <w:r>
        <w:rPr>
          <w:rFonts w:ascii="Meiryo UI" w:hAnsi="Meiryo UI"/>
          <w:sz w:val="20"/>
        </w:rPr>
        <w:t>アコム株式会社 IR部門 ご担当者様</w:t>
      </w:r>
    </w:p>
    <w:p/>
    <w:p>
      <w:r>
        <w:rPr>
          <w:rFonts w:ascii="Meiryo UI" w:hAnsi="Meiryo UI"/>
          <w:sz w:val="20"/>
        </w:rPr>
        <w:t>竹村トレードカンパニーの竹村と申します。</w:t>
      </w:r>
    </w:p>
    <w:p>
      <w:r>
        <w:rPr>
          <w:rFonts w:ascii="Meiryo UI" w:hAnsi="Meiryo UI"/>
          <w:sz w:val="20"/>
        </w:rPr>
        <w:t>本日の業績開示に関連し、以下4点についてご教示いただけますでしょうか。</w:t>
      </w:r>
    </w:p>
    <w:p/>
    <w:p>
      <w:r>
        <w:rPr>
          <w:rFonts w:ascii="Meiryo UI" w:hAnsi="Meiryo UI"/>
          <w:sz w:val="20"/>
        </w:rPr>
        <w:t>【質問1：FY3/26通期実績の最終数値と上方修正幅】</w:t>
      </w:r>
    </w:p>
    <w:p>
      <w:r>
        <w:rPr>
          <w:rFonts w:ascii="Meiryo UI" w:hAnsi="Meiryo UI"/>
          <w:sz w:val="20"/>
        </w:rPr>
        <w:t>本日発表された通期実績（もしくは上方修正後予想）の経常利益・純利益・EPS数値をご確認ください。特にQ4（1〜3月）単独の与信コスト（貸倒引当金繰入額）の実績と、延滞率の前年同期比変動をお示しいただけますでしょうか。</w:t>
      </w:r>
    </w:p>
    <w:p/>
    <w:p>
      <w:r>
        <w:rPr>
          <w:rFonts w:ascii="Meiryo UI" w:hAnsi="Meiryo UI"/>
          <w:sz w:val="20"/>
        </w:rPr>
        <w:t>【質問2：FY3/27の収益ガイダンスと配当方針】</w:t>
      </w:r>
    </w:p>
    <w:p>
      <w:r>
        <w:rPr>
          <w:rFonts w:ascii="Meiryo UI" w:hAnsi="Meiryo UI"/>
          <w:sz w:val="20"/>
        </w:rPr>
        <w:t>FY3/27の経常利益・純利益・EPS・配当予想（年間DPS）についてご教示ください。また、株主還元の方針（配当性向・自社株買い）に変更があればお知らせください。</w:t>
      </w:r>
    </w:p>
    <w:p/>
    <w:p>
      <w:r>
        <w:rPr>
          <w:rFonts w:ascii="Meiryo UI" w:hAnsi="Meiryo UI"/>
          <w:sz w:val="20"/>
        </w:rPr>
        <w:t>【質問3：MUFG保証残高の拡大見通し】</w:t>
      </w:r>
    </w:p>
    <w:p>
      <w:r>
        <w:rPr>
          <w:rFonts w:ascii="Meiryo UI" w:hAnsi="Meiryo UI"/>
          <w:sz w:val="20"/>
        </w:rPr>
        <w:t>三菱UFJ銀行向け信用保証の残高推移と、FY3/27の拡大計画（目標残高・フィー収入）をお示しください。グループ内保証業務が経常利益に占める比率の開示もご検討いただけますでしょうか。</w:t>
      </w:r>
    </w:p>
    <w:p/>
    <w:p>
      <w:r>
        <w:rPr>
          <w:rFonts w:ascii="Meiryo UI" w:hAnsi="Meiryo UI"/>
          <w:sz w:val="20"/>
        </w:rPr>
        <w:t>【質問4：デジタル戦略の具体的KPI】</w:t>
      </w:r>
    </w:p>
    <w:p>
      <w:r>
        <w:rPr>
          <w:rFonts w:ascii="Meiryo UI" w:hAnsi="Meiryo UI"/>
          <w:sz w:val="20"/>
        </w:rPr>
        <w:t>4月1日に新設されたDigital &amp; Operations Coordination Departmentの具体的な役割と、FY3/27における数値目標（オンライン審査件数・デジタル経由新規顧客獲得数等）をご教示ください。</w:t>
      </w:r>
    </w:p>
    <w:p/>
    <w:p>
      <w:r>
        <w:rPr>
          <w:rFonts w:ascii="Meiryo UI" w:hAnsi="Meiryo UI"/>
          <w:sz w:val="20"/>
        </w:rPr>
        <w:t>何卒よろしくお願い申し上げます。</w:t>
      </w:r>
    </w:p>
    <w:p/>
    <w:p>
      <w:r>
        <w:rPr>
          <w:rFonts w:ascii="Meiryo UI" w:hAnsi="Meiryo UI"/>
          <w:sz w:val="20"/>
        </w:rPr>
        <w:t>竹村トレードカンパニー</w:t>
      </w:r>
    </w:p>
    <w:p>
      <w:r>
        <w:rPr>
          <w:rFonts w:ascii="Meiryo UI" w:hAnsi="Meiryo UI"/>
          <w:sz w:val="20"/>
        </w:rPr>
        <w:t>竹村 拝</w:t>
      </w:r>
    </w:p>
    <w:p/>
    <w:p>
      <w:r>
        <w:t>──────────────────────────────────────────────────</w:t>
      </w:r>
    </w:p>
    <w:p/>
    <w:p>
      <w:r>
        <w:rPr>
          <w:rFonts w:ascii="Meiryo UI" w:hAnsi="Meiryo UI"/>
          <w:sz w:val="20"/>
        </w:rPr>
        <w:t>本レポートはBloomberg・公開IR資料・Q3決算データを基に作成。FY3/26上方修正の詳細数値は4/20開示内容の確認を要す（データ整合性プロトコル適用）。FV計算はRf=2.397%を使用。</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