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8616 東海東京フィナンシャル・ホールディングス — BUY Deep Research</w:t>
      </w:r>
    </w:p>
    <w:p/>
    <w:p/>
    <w:p>
      <w:pPr>
        <w:jc w:val="center"/>
      </w:pPr>
      <w:r>
        <w:rPr>
          <w:rFonts w:ascii="Meiryo UI" w:hAnsi="Meiryo UI"/>
          <w:sz w:val="24"/>
        </w:rPr>
        <w:t>アナリスト：深井</w:t>
      </w:r>
    </w:p>
    <w:p>
      <w:pPr>
        <w:jc w:val="center"/>
      </w:pPr>
      <w:r>
        <w:rPr>
          <w:rFonts w:ascii="Meiryo UI" w:hAnsi="Meiryo UI"/>
          <w:sz w:val="24"/>
        </w:rPr>
        <w:t>分析日：2026年04月17日</w:t>
      </w:r>
    </w:p>
    <w:p>
      <w:r>
        <w:br w:type="page"/>
      </w:r>
    </w:p>
    <w:p>
      <w:pPr>
        <w:pStyle w:val="Heading1"/>
      </w:pPr>
      <w:r>
        <w:rPr>
          <w:rFonts w:ascii="Meiryo UI" w:hAnsi="Meiryo UI"/>
          <w:color w:val="1F3864"/>
        </w:rPr>
        <w:t>8616 東海東京フィナンシャル・ホールディングス — BUY Deep Research</w:t>
      </w:r>
    </w:p>
    <w:p>
      <w:r>
        <w:rPr>
          <w:rFonts w:ascii="Meiryo UI" w:hAnsi="Meiryo UI"/>
          <w:sz w:val="20"/>
        </w:rPr>
        <w:t>作成: 深井 / 2026-04-17 | 優先度1 🏦地銀連携モデル × 市場正常化でROE改善フェーズへ</w:t>
      </w:r>
    </w:p>
    <w:p/>
    <w:p>
      <w:r>
        <w:t>──────────────────────────────────────────────────</w:t>
      </w:r>
    </w:p>
    <w:p/>
    <w:p>
      <w:pPr>
        <w:pStyle w:val="Heading2"/>
      </w:pPr>
      <w:r>
        <w:rPr>
          <w:rFonts w:ascii="Meiryo UI" w:hAnsi="Meiryo UI"/>
          <w:color w:val="2E74B5"/>
        </w:rPr>
        <w:t>⚡ 10秒 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TP</w:t>
            </w:r>
          </w:p>
        </w:tc>
        <w:tc>
          <w:tcPr>
            <w:tcW w:type="dxa" w:w="4703"/>
            <w:shd w:val="clear" w:color="auto" w:fill="DDEBF7"/>
          </w:tcPr>
          <w:p>
            <w:r>
              <w:rPr>
                <w:rFonts w:ascii="Meiryo UI" w:hAnsi="Meiryo UI"/>
                <w:sz w:val="18"/>
              </w:rPr>
              <w:t>¥850（PBR 1.15x、6ヵ月目途）</w:t>
            </w:r>
          </w:p>
        </w:tc>
      </w:tr>
      <w:tr>
        <w:tc>
          <w:tcPr>
            <w:tcW w:type="dxa" w:w="4703"/>
          </w:tcPr>
          <w:p>
            <w:r>
              <w:rPr>
                <w:rFonts w:ascii="Meiryo UI" w:hAnsi="Meiryo UI"/>
                <w:sz w:val="18"/>
              </w:rPr>
              <w:t>安全域</w:t>
            </w:r>
          </w:p>
        </w:tc>
        <w:tc>
          <w:tcPr>
            <w:tcW w:type="dxa" w:w="4703"/>
          </w:tcPr>
          <w:p>
            <w:r>
              <w:rPr>
                <w:rFonts w:ascii="Meiryo UI" w:hAnsi="Meiryo UI"/>
                <w:sz w:val="18"/>
              </w:rPr>
              <w:t>¥720-740（BPS水準。ここは堅い床）</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ホルムズ再開×日本株正常化 → 個人・機関投資家の取引活性化 → 手数料収入増</w:t>
            </w:r>
          </w:p>
        </w:tc>
      </w:tr>
      <w:tr>
        <w:tc>
          <w:tcPr>
            <w:tcW w:type="dxa" w:w="4703"/>
          </w:tcPr>
          <w:p>
            <w:r>
              <w:rPr>
                <w:rFonts w:ascii="Meiryo UI" w:hAnsi="Meiryo UI"/>
                <w:sz w:val="18"/>
              </w:rPr>
              <w:t>弾丸②</w:t>
            </w:r>
          </w:p>
        </w:tc>
        <w:tc>
          <w:tcPr>
            <w:tcW w:type="dxa" w:w="4703"/>
          </w:tcPr>
          <w:p>
            <w:r>
              <w:rPr>
                <w:rFonts w:ascii="Meiryo UI" w:hAnsi="Meiryo UI"/>
                <w:sz w:val="18"/>
              </w:rPr>
              <w:t>地銀・信金・信組との共同証券子会社モデル（全国60社超）— 預金から投資へのシフトが直撃追い風</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PBR 1.02倍 = ほぼ解散価値。下値限定・業績改善で上値余地</w:t>
            </w:r>
          </w:p>
        </w:tc>
      </w:tr>
      <w:tr>
        <w:tc>
          <w:tcPr>
            <w:tcW w:type="dxa" w:w="4703"/>
          </w:tcPr>
          <w:p>
            <w:r>
              <w:rPr>
                <w:rFonts w:ascii="Meiryo UI" w:hAnsi="Meiryo UI"/>
                <w:sz w:val="18"/>
              </w:rPr>
              <w:t>🚨 最大リスク</w:t>
            </w:r>
          </w:p>
        </w:tc>
        <w:tc>
          <w:tcPr>
            <w:tcW w:type="dxa" w:w="4703"/>
          </w:tcPr>
          <w:p>
            <w:r>
              <w:rPr>
                <w:rFonts w:ascii="Meiryo UI" w:hAnsi="Meiryo UI"/>
                <w:sz w:val="18"/>
              </w:rPr>
              <w:t>ROE 7.4%はCOE（推定10%）を下回る。株式市場が低迷すれば手数料収入急減 → PBR割れリスク</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¥740-760で打診買い。PBR 1.0割れ（¥740）は強気の買い増しゾーン</w:t>
            </w:r>
          </w:p>
        </w:tc>
      </w:tr>
    </w:tbl>
    <w:p/>
    <w:p>
      <w:r>
        <w:t>──────────────────────────────────────────────────</w:t>
      </w:r>
    </w:p>
    <w:p/>
    <w:p>
      <w:pPr>
        <w:pStyle w:val="Heading2"/>
      </w:pPr>
      <w:r>
        <w:rPr>
          <w:rFonts w:ascii="Meiryo UI" w:hAnsi="Meiryo UI"/>
          <w:color w:val="2E74B5"/>
        </w:rPr>
        <w:t>📋 IR Contact（自律偵察）</w:t>
      </w:r>
    </w:p>
    <w:p/>
    <w:p>
      <w:pPr>
        <w:pStyle w:val="ListBullet"/>
      </w:pPr>
      <w:r>
        <w:rPr>
          <w:rFonts w:ascii="Meiryo UI" w:hAnsi="Meiryo UI"/>
          <w:sz w:val="20"/>
        </w:rPr>
        <w:t>IRページ: https://www.tokaitokyo-fh.co.jp/ir/</w:t>
      </w:r>
    </w:p>
    <w:p>
      <w:pPr>
        <w:pStyle w:val="ListBullet"/>
      </w:pPr>
      <w:r>
        <w:rPr>
          <w:rFonts w:ascii="Meiryo UI" w:hAnsi="Meiryo UI"/>
          <w:sz w:val="20"/>
        </w:rPr>
        <w:t>TEL: 052-684-0101（投資家・アナリスト向け窓口）</w:t>
      </w:r>
    </w:p>
    <w:p>
      <w:pPr>
        <w:pStyle w:val="ListBullet"/>
      </w:pPr>
      <w:r>
        <w:rPr>
          <w:rFonts w:ascii="Meiryo UI" w:hAnsi="Meiryo UI"/>
          <w:sz w:val="20"/>
        </w:rPr>
        <w:t>市場: 東証プライム（コード: 8616）</w:t>
      </w:r>
    </w:p>
    <w:p>
      <w:pPr>
        <w:pStyle w:val="ListBullet"/>
      </w:pPr>
      <w:r>
        <w:rPr>
          <w:rFonts w:ascii="Meiryo UI" w:hAnsi="Meiryo UI"/>
          <w:sz w:val="20"/>
        </w:rPr>
        <w:t>決算期: 3月末（FY3/2026本決算発表: 2026年5月中旬予定）</w:t>
      </w:r>
    </w:p>
    <w:p>
      <w:pPr>
        <w:pStyle w:val="ListBullet"/>
      </w:pPr>
      <w:r>
        <w:rPr>
          <w:rFonts w:ascii="Meiryo UI" w:hAnsi="Meiryo UI"/>
          <w:sz w:val="20"/>
        </w:rPr>
        <w:t>本日の重要変化: ホルムズ全面再開 → 日本株市場センチメント改善 → 証券業の手数料環境が正常化方向へ</w:t>
      </w:r>
    </w:p>
    <w:p/>
    <w:p>
      <w:r>
        <w:t>──────────────────────────────────────────────────</w:t>
      </w:r>
    </w:p>
    <w:p/>
    <w:p>
      <w:pPr>
        <w:pStyle w:val="Heading2"/>
      </w:pPr>
      <w:r>
        <w:rPr>
          <w:rFonts w:ascii="Meiryo UI" w:hAnsi="Meiryo UI"/>
          <w:color w:val="2E74B5"/>
        </w:rPr>
        <w:t>1. 企業概要</w:t>
      </w:r>
    </w:p>
    <w:p/>
    <w:p>
      <w:r>
        <w:rPr>
          <w:rFonts w:ascii="Meiryo UI" w:hAnsi="Meiryo UI"/>
          <w:sz w:val="20"/>
        </w:rPr>
        <w:t>東海東京フィナンシャル・ホールディングスは名古屋を本拠とする中堅証券グループ。</w:t>
      </w:r>
    </w:p>
    <w:p>
      <w:r>
        <w:rPr>
          <w:rFonts w:ascii="Meiryo UI" w:hAnsi="Meiryo UI"/>
          <w:sz w:val="20"/>
        </w:rPr>
        <w:t>「地銀・信金・信組との共同出資証券子会社設立」という独自モデルで差別化。</w:t>
      </w:r>
    </w:p>
    <w:p/>
    <w:p>
      <w:r>
        <w:rPr>
          <w:rFonts w:ascii="Meiryo UI" w:hAnsi="Meiryo UI"/>
          <w:sz w:val="20"/>
        </w:rPr>
        <w:t>主要ビジネスモデル: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リテール証券</w:t>
            </w:r>
          </w:p>
        </w:tc>
        <w:tc>
          <w:tcPr>
            <w:tcW w:type="dxa" w:w="3135"/>
          </w:tcPr>
          <w:p>
            <w:r>
              <w:rPr>
                <w:rFonts w:ascii="Meiryo UI" w:hAnsi="Meiryo UI"/>
                <w:sz w:val="18"/>
              </w:rPr>
              <w:t>個人向け株式・投信・債券仲介</w:t>
            </w:r>
          </w:p>
        </w:tc>
        <w:tc>
          <w:tcPr>
            <w:tcW w:type="dxa" w:w="3135"/>
          </w:tcPr>
          <w:p>
            <w:r>
              <w:rPr>
                <w:rFonts w:ascii="Meiryo UI" w:hAnsi="Meiryo UI"/>
                <w:sz w:val="18"/>
              </w:rPr>
              <w:t>対面営業主体</w:t>
            </w:r>
          </w:p>
        </w:tc>
      </w:tr>
      <w:tr>
        <w:tc>
          <w:tcPr>
            <w:tcW w:type="dxa" w:w="3135"/>
            <w:shd w:val="clear" w:color="auto" w:fill="DDEBF7"/>
          </w:tcPr>
          <w:p>
            <w:r>
              <w:rPr>
                <w:rFonts w:ascii="Meiryo UI" w:hAnsi="Meiryo UI"/>
                <w:sz w:val="18"/>
              </w:rPr>
              <w:t>地銀等提携証券</w:t>
            </w:r>
          </w:p>
        </w:tc>
        <w:tc>
          <w:tcPr>
            <w:tcW w:type="dxa" w:w="3135"/>
            <w:shd w:val="clear" w:color="auto" w:fill="DDEBF7"/>
          </w:tcPr>
          <w:p>
            <w:r>
              <w:rPr>
                <w:rFonts w:ascii="Meiryo UI" w:hAnsi="Meiryo UI"/>
                <w:sz w:val="18"/>
              </w:rPr>
              <w:t>地方銀行・信用金庫と共同出資で証券子会社設立</w:t>
            </w:r>
          </w:p>
        </w:tc>
        <w:tc>
          <w:tcPr>
            <w:tcW w:type="dxa" w:w="3135"/>
            <w:shd w:val="clear" w:color="auto" w:fill="DDEBF7"/>
          </w:tcPr>
          <w:p>
            <w:r>
              <w:rPr>
                <w:rFonts w:ascii="Meiryo UI" w:hAnsi="Meiryo UI"/>
                <w:sz w:val="18"/>
              </w:rPr>
              <w:t>最大の差別化点 — 全国60社超</w:t>
            </w:r>
          </w:p>
        </w:tc>
      </w:tr>
      <w:tr>
        <w:tc>
          <w:tcPr>
            <w:tcW w:type="dxa" w:w="3135"/>
          </w:tcPr>
          <w:p>
            <w:r>
              <w:rPr>
                <w:rFonts w:ascii="Meiryo UI" w:hAnsi="Meiryo UI"/>
                <w:sz w:val="18"/>
              </w:rPr>
              <w:t>ウェルスマネジメント</w:t>
            </w:r>
          </w:p>
        </w:tc>
        <w:tc>
          <w:tcPr>
            <w:tcW w:type="dxa" w:w="3135"/>
          </w:tcPr>
          <w:p>
            <w:r>
              <w:rPr>
                <w:rFonts w:ascii="Meiryo UI" w:hAnsi="Meiryo UI"/>
                <w:sz w:val="18"/>
              </w:rPr>
              <w:t>富裕層向け資産運用アドバイス</w:t>
            </w:r>
          </w:p>
        </w:tc>
        <w:tc>
          <w:tcPr>
            <w:tcW w:type="dxa" w:w="3135"/>
          </w:tcPr>
          <w:p>
            <w:r>
              <w:rPr>
                <w:rFonts w:ascii="Meiryo UI" w:hAnsi="Meiryo UI"/>
                <w:sz w:val="18"/>
              </w:rPr>
              <w:t>手数料収入の安定化</w:t>
            </w:r>
          </w:p>
        </w:tc>
      </w:tr>
      <w:tr>
        <w:tc>
          <w:tcPr>
            <w:tcW w:type="dxa" w:w="3135"/>
            <w:shd w:val="clear" w:color="auto" w:fill="DDEBF7"/>
          </w:tcPr>
          <w:p>
            <w:r>
              <w:rPr>
                <w:rFonts w:ascii="Meiryo UI" w:hAnsi="Meiryo UI"/>
                <w:sz w:val="18"/>
              </w:rPr>
              <w:t>投資銀行</w:t>
            </w:r>
          </w:p>
        </w:tc>
        <w:tc>
          <w:tcPr>
            <w:tcW w:type="dxa" w:w="3135"/>
            <w:shd w:val="clear" w:color="auto" w:fill="DDEBF7"/>
          </w:tcPr>
          <w:p>
            <w:r>
              <w:rPr>
                <w:rFonts w:ascii="Meiryo UI" w:hAnsi="Meiryo UI"/>
                <w:sz w:val="18"/>
              </w:rPr>
              <w:t>引受・M&amp;Aアドバイザリー</w:t>
            </w:r>
          </w:p>
        </w:tc>
        <w:tc>
          <w:tcPr>
            <w:tcW w:type="dxa" w:w="3135"/>
            <w:shd w:val="clear" w:color="auto" w:fill="DDEBF7"/>
          </w:tcPr>
          <w:p>
            <w:r>
              <w:rPr>
                <w:rFonts w:ascii="Meiryo UI" w:hAnsi="Meiryo UI"/>
                <w:sz w:val="18"/>
              </w:rPr>
              <w:t>変動収益</w:t>
            </w:r>
          </w:p>
        </w:tc>
      </w:tr>
    </w:tbl>
    <w:p/>
    <w:p>
      <w:r>
        <w:rPr>
          <w:rFonts w:ascii="Meiryo UI" w:hAnsi="Meiryo UI"/>
          <w:sz w:val="20"/>
        </w:rPr>
        <w:t>地銀提携モデルの詳細:</w:t>
      </w:r>
    </w:p>
    <w:p>
      <w:pPr>
        <w:pStyle w:val="ListBullet"/>
      </w:pPr>
      <w:r>
        <w:rPr>
          <w:rFonts w:ascii="Meiryo UI" w:hAnsi="Meiryo UI"/>
          <w:sz w:val="20"/>
        </w:rPr>
        <w:t>地方銀行が証券業務を自前で持てない問題を解決</w:t>
      </w:r>
    </w:p>
    <w:p>
      <w:pPr>
        <w:pStyle w:val="ListBullet"/>
      </w:pPr>
      <w:r>
        <w:rPr>
          <w:rFonts w:ascii="Meiryo UI" w:hAnsi="Meiryo UI"/>
          <w:sz w:val="20"/>
        </w:rPr>
        <w:t>東海東京FHが運営ノウハウ・システムを提供、銀行は顧客基盤を提供</w:t>
      </w:r>
    </w:p>
    <w:p>
      <w:pPr>
        <w:pStyle w:val="ListBullet"/>
      </w:pPr>
      <w:r>
        <w:rPr>
          <w:rFonts w:ascii="Meiryo UI" w:hAnsi="Meiryo UI"/>
          <w:sz w:val="20"/>
        </w:rPr>
        <w:t>銀行窓口で証券商品を販売 → 販売手数料を折半</w:t>
      </w:r>
    </w:p>
    <w:p>
      <w:pPr>
        <w:pStyle w:val="ListBullet"/>
      </w:pPr>
      <w:r>
        <w:rPr>
          <w:rFonts w:ascii="Meiryo UI" w:hAnsi="Meiryo UI"/>
          <w:sz w:val="20"/>
        </w:rPr>
        <w:t>参加地銀・信金が増えるほどアセットライトで収益拡大</w:t>
      </w:r>
    </w:p>
    <w:p>
      <w:pPr>
        <w:pStyle w:val="ListBullet"/>
      </w:pPr>
      <w:r>
        <w:rPr>
          <w:rFonts w:ascii="Meiryo UI" w:hAnsi="Meiryo UI"/>
          <w:sz w:val="20"/>
        </w:rPr>
        <w:t>現在、全国主要地銀のうち約60の金融機関と提携</w:t>
      </w:r>
    </w:p>
    <w:p/>
    <w:p>
      <w:r>
        <w:t>──────────────────────────────────────────────────</w:t>
      </w:r>
    </w:p>
    <w:p/>
    <w:p>
      <w:pPr>
        <w:pStyle w:val="Heading2"/>
      </w:pPr>
      <w:r>
        <w:rPr>
          <w:rFonts w:ascii="Meiryo UI" w:hAnsi="Meiryo UI"/>
          <w:color w:val="2E74B5"/>
        </w:rPr>
        <w:t>2. 本日のカタリスト（2026-04-17）</w:t>
      </w:r>
    </w:p>
    <w:p/>
    <w:p>
      <w:pPr>
        <w:pStyle w:val="Heading3"/>
      </w:pPr>
      <w:r>
        <w:rPr>
          <w:rFonts w:ascii="Meiryo UI" w:hAnsi="Meiryo UI"/>
          <w:color w:val="2E74B5"/>
        </w:rPr>
        <w:t>ホルムズ再開 × 証券業への波及メカニズム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ステップ</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ホルムズ全面再開</w:t>
            </w:r>
          </w:p>
        </w:tc>
        <w:tc>
          <w:tcPr>
            <w:tcW w:type="dxa" w:w="4703"/>
          </w:tcPr>
          <w:p>
            <w:r>
              <w:rPr>
                <w:rFonts w:ascii="Meiryo UI" w:hAnsi="Meiryo UI"/>
                <w:sz w:val="18"/>
              </w:rPr>
              <w:t>原油・LNG価格正常化</w:t>
            </w:r>
          </w:p>
        </w:tc>
      </w:tr>
      <w:tr>
        <w:tc>
          <w:tcPr>
            <w:tcW w:type="dxa" w:w="4703"/>
            <w:shd w:val="clear" w:color="auto" w:fill="DDEBF7"/>
          </w:tcPr>
          <w:p>
            <w:r>
              <w:rPr>
                <w:rFonts w:ascii="Meiryo UI" w:hAnsi="Meiryo UI"/>
                <w:sz w:val="18"/>
              </w:rPr>
              <w:t>↓</w:t>
            </w:r>
          </w:p>
        </w:tc>
        <w:tc>
          <w:tcPr>
            <w:tcW w:type="dxa" w:w="4703"/>
            <w:shd w:val="clear" w:color="auto" w:fill="DDEBF7"/>
          </w:tcPr>
          <w:p>
            <w:r>
              <w:rPr>
                <w:rFonts w:ascii="Meiryo UI" w:hAnsi="Meiryo UI"/>
                <w:sz w:val="18"/>
              </w:rPr>
              <w:t>日本株市場の不確実性低下</w:t>
            </w:r>
          </w:p>
        </w:tc>
      </w:tr>
      <w:tr>
        <w:tc>
          <w:tcPr>
            <w:tcW w:type="dxa" w:w="4703"/>
          </w:tcPr>
          <w:p>
            <w:r>
              <w:rPr>
                <w:rFonts w:ascii="Meiryo UI" w:hAnsi="Meiryo UI"/>
                <w:sz w:val="18"/>
              </w:rPr>
              <w:t>↓</w:t>
            </w:r>
          </w:p>
        </w:tc>
        <w:tc>
          <w:tcPr>
            <w:tcW w:type="dxa" w:w="4703"/>
          </w:tcPr>
          <w:p>
            <w:r>
              <w:rPr>
                <w:rFonts w:ascii="Meiryo UI" w:hAnsi="Meiryo UI"/>
                <w:sz w:val="18"/>
              </w:rPr>
              <w:t>投資家センチメント改善</w:t>
            </w:r>
          </w:p>
        </w:tc>
      </w:tr>
      <w:tr>
        <w:tc>
          <w:tcPr>
            <w:tcW w:type="dxa" w:w="4703"/>
            <w:shd w:val="clear" w:color="auto" w:fill="DDEBF7"/>
          </w:tcPr>
          <w:p>
            <w:r>
              <w:rPr>
                <w:rFonts w:ascii="Meiryo UI" w:hAnsi="Meiryo UI"/>
                <w:sz w:val="18"/>
              </w:rPr>
              <w:t>↓</w:t>
            </w:r>
          </w:p>
        </w:tc>
        <w:tc>
          <w:tcPr>
            <w:tcW w:type="dxa" w:w="4703"/>
            <w:shd w:val="clear" w:color="auto" w:fill="DDEBF7"/>
          </w:tcPr>
          <w:p>
            <w:r>
              <w:rPr>
                <w:rFonts w:ascii="Meiryo UI" w:hAnsi="Meiryo UI"/>
                <w:sz w:val="18"/>
              </w:rPr>
              <w:t>個人・機関の株式売買活性化</w:t>
            </w:r>
          </w:p>
        </w:tc>
      </w:tr>
      <w:tr>
        <w:tc>
          <w:tcPr>
            <w:tcW w:type="dxa" w:w="4703"/>
          </w:tcPr>
          <w:p>
            <w:r>
              <w:rPr>
                <w:rFonts w:ascii="Meiryo UI" w:hAnsi="Meiryo UI"/>
                <w:sz w:val="18"/>
              </w:rPr>
              <w:t>↓</w:t>
            </w:r>
          </w:p>
        </w:tc>
        <w:tc>
          <w:tcPr>
            <w:tcW w:type="dxa" w:w="4703"/>
          </w:tcPr>
          <w:p>
            <w:r>
              <w:rPr>
                <w:rFonts w:ascii="Meiryo UI" w:hAnsi="Meiryo UI"/>
                <w:sz w:val="18"/>
              </w:rPr>
              <w:t>手数料収入増加 → 8616の営業収益直撃改善</w:t>
            </w:r>
          </w:p>
        </w:tc>
      </w:tr>
    </w:tbl>
    <w:p/>
    <w:p>
      <w:pPr>
        <w:pStyle w:val="Heading3"/>
      </w:pPr>
      <w:r>
        <w:rPr>
          <w:rFonts w:ascii="Meiryo UI" w:hAnsi="Meiryo UI"/>
          <w:color w:val="2E74B5"/>
        </w:rPr>
        <w:t>BOJ金利環境との相乗効果</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環境変化</w:t>
            </w:r>
          </w:p>
        </w:tc>
        <w:tc>
          <w:tcPr>
            <w:tcW w:type="dxa" w:w="4703"/>
            <w:shd w:val="clear" w:color="auto" w:fill="2E74B5"/>
          </w:tcPr>
          <w:p>
            <w:r>
              <w:rPr>
                <w:rFonts w:ascii="Meiryo UI" w:hAnsi="Meiryo UI"/>
                <w:b/>
                <w:color w:val="FFFFFF"/>
                <w:sz w:val="18"/>
              </w:rPr>
              <w:t>8616への影響</w:t>
            </w:r>
          </w:p>
        </w:tc>
      </w:tr>
      <w:tr>
        <w:tc>
          <w:tcPr>
            <w:tcW w:type="dxa" w:w="4703"/>
          </w:tcPr>
          <w:p>
            <w:r>
              <w:rPr>
                <w:rFonts w:ascii="Meiryo UI" w:hAnsi="Meiryo UI"/>
                <w:sz w:val="18"/>
              </w:rPr>
              <w:t>BOJ利上げ進行（JGB10Y 2.4%台）</w:t>
            </w:r>
          </w:p>
        </w:tc>
        <w:tc>
          <w:tcPr>
            <w:tcW w:type="dxa" w:w="4703"/>
          </w:tcPr>
          <w:p>
            <w:r>
              <w:rPr>
                <w:rFonts w:ascii="Meiryo UI" w:hAnsi="Meiryo UI"/>
                <w:sz w:val="18"/>
              </w:rPr>
              <w:t>預金金利上昇 → しかし株式投資リターンも魅力増</w:t>
            </w:r>
          </w:p>
        </w:tc>
      </w:tr>
      <w:tr>
        <w:tc>
          <w:tcPr>
            <w:tcW w:type="dxa" w:w="4703"/>
            <w:shd w:val="clear" w:color="auto" w:fill="DDEBF7"/>
          </w:tcPr>
          <w:p>
            <w:r>
              <w:rPr>
                <w:rFonts w:ascii="Meiryo UI" w:hAnsi="Meiryo UI"/>
                <w:sz w:val="18"/>
              </w:rPr>
              <w:t>個人の預金から投資へのシフト（NISA効果継続）</w:t>
            </w:r>
          </w:p>
        </w:tc>
        <w:tc>
          <w:tcPr>
            <w:tcW w:type="dxa" w:w="4703"/>
            <w:shd w:val="clear" w:color="auto" w:fill="DDEBF7"/>
          </w:tcPr>
          <w:p>
            <w:r>
              <w:rPr>
                <w:rFonts w:ascii="Meiryo UI" w:hAnsi="Meiryo UI"/>
                <w:sz w:val="18"/>
              </w:rPr>
              <w:t>投信・株式買い付け増 → 地銀提携モデルでの手数料収入増大</w:t>
            </w:r>
          </w:p>
        </w:tc>
      </w:tr>
      <w:tr>
        <w:tc>
          <w:tcPr>
            <w:tcW w:type="dxa" w:w="4703"/>
          </w:tcPr>
          <w:p>
            <w:r>
              <w:rPr>
                <w:rFonts w:ascii="Meiryo UI" w:hAnsi="Meiryo UI"/>
                <w:sz w:val="18"/>
              </w:rPr>
              <w:t>機関投資家のリスクオン</w:t>
            </w:r>
          </w:p>
        </w:tc>
        <w:tc>
          <w:tcPr>
            <w:tcW w:type="dxa" w:w="4703"/>
          </w:tcPr>
          <w:p>
            <w:r>
              <w:rPr>
                <w:rFonts w:ascii="Meiryo UI" w:hAnsi="Meiryo UI"/>
                <w:sz w:val="18"/>
              </w:rPr>
              <w:t>ボラティリティ低下で取引増加</w:t>
            </w:r>
          </w:p>
        </w:tc>
      </w:tr>
    </w:tbl>
    <w:p/>
    <w:p>
      <w:r>
        <w:t>──────────────────────────────────────────────────</w:t>
      </w:r>
    </w:p>
    <w:p/>
    <w:p>
      <w:pPr>
        <w:pStyle w:val="Heading2"/>
      </w:pPr>
      <w:r>
        <w:rPr>
          <w:rFonts w:ascii="Meiryo UI" w:hAnsi="Meiryo UI"/>
          <w:color w:val="2E74B5"/>
        </w:rPr>
        <w:t>3. 業績・財務分析</w:t>
      </w:r>
    </w:p>
    <w:p/>
    <w:p>
      <w:pPr>
        <w:pStyle w:val="Heading3"/>
      </w:pPr>
      <w:r>
        <w:rPr>
          <w:rFonts w:ascii="Meiryo UI" w:hAnsi="Meiryo UI"/>
          <w:color w:val="2E74B5"/>
        </w:rPr>
        <w:t>リアルタイム財務指標（Yahoo Finance / 2026-04-17 22:28 JST）</w:t>
      </w:r>
    </w:p>
    <w:p/>
    <w:p>
      <w:pPr>
        <w:shd w:val="clear" w:color="auto" w:fill="F2F2F2"/>
      </w:pPr>
      <w:r>
        <w:rPr>
          <w:rFonts w:ascii="Courier New" w:hAnsi="Courier New"/>
          <w:sz w:val="16"/>
        </w:rPr>
        <w:t>【絶対厳守】財務指標（Yahoo Finance リアルタイム取得 — 独自推計禁止）</w:t>
        <w:br/>
        <w:t xml:space="preserve">  PBR: 1.02倍  ← この値を唯一の正解として使用</w:t>
        <w:br/>
        <w:t xml:space="preserve">  BPS: ¥740  ← この値を唯一の正解として使用</w:t>
        <w:br/>
        <w:t xml:space="preserve">  ROE: 7.4%  ← この値を唯一の正解として使用</w:t>
        <w:br/>
        <w:t xml:space="preserve">  PER(Trailing): 15.2倍</w:t>
        <w:br/>
        <w:t xml:space="preserve">  EPS(Trailing): ¥50</w:t>
      </w:r>
    </w:p>
    <w:p/>
    <w:p>
      <w:pPr>
        <w:pStyle w:val="Heading3"/>
      </w:pPr>
      <w:r>
        <w:rPr>
          <w:rFonts w:ascii="Meiryo UI" w:hAnsi="Meiryo UI"/>
          <w:color w:val="2E74B5"/>
        </w:rPr>
        <w:t>業績構造と収益感応度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収益源</w:t>
            </w:r>
          </w:p>
        </w:tc>
        <w:tc>
          <w:tcPr>
            <w:tcW w:type="dxa" w:w="2351"/>
            <w:shd w:val="clear" w:color="auto" w:fill="2E74B5"/>
          </w:tcPr>
          <w:p>
            <w:r>
              <w:rPr>
                <w:rFonts w:ascii="Meiryo UI" w:hAnsi="Meiryo UI"/>
                <w:b/>
                <w:color w:val="FFFFFF"/>
                <w:sz w:val="18"/>
              </w:rPr>
              <w:t>現状（封鎖環境下）</w:t>
            </w:r>
          </w:p>
        </w:tc>
        <w:tc>
          <w:tcPr>
            <w:tcW w:type="dxa" w:w="2351"/>
            <w:shd w:val="clear" w:color="auto" w:fill="2E74B5"/>
          </w:tcPr>
          <w:p>
            <w:r>
              <w:rPr>
                <w:rFonts w:ascii="Meiryo UI" w:hAnsi="Meiryo UI"/>
                <w:b/>
                <w:color w:val="FFFFFF"/>
                <w:sz w:val="18"/>
              </w:rPr>
              <w:t>正常化後FY27E</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株式委託手数料</w:t>
            </w:r>
          </w:p>
        </w:tc>
        <w:tc>
          <w:tcPr>
            <w:tcW w:type="dxa" w:w="2351"/>
          </w:tcPr>
          <w:p>
            <w:r>
              <w:rPr>
                <w:rFonts w:ascii="Meiryo UI" w:hAnsi="Meiryo UI"/>
                <w:sz w:val="18"/>
              </w:rPr>
              <w:t>変動大（ボラ高いが不安定）</w:t>
            </w:r>
          </w:p>
        </w:tc>
        <w:tc>
          <w:tcPr>
            <w:tcW w:type="dxa" w:w="2351"/>
          </w:tcPr>
          <w:p>
            <w:r>
              <w:rPr>
                <w:rFonts w:ascii="Meiryo UI" w:hAnsi="Meiryo UI"/>
                <w:sz w:val="18"/>
              </w:rPr>
              <w:t>安定増加</w:t>
            </w:r>
          </w:p>
        </w:tc>
        <w:tc>
          <w:tcPr>
            <w:tcW w:type="dxa" w:w="2351"/>
          </w:tcPr>
          <w:p>
            <w:r>
              <w:rPr>
                <w:rFonts w:ascii="Meiryo UI" w:hAnsi="Meiryo UI"/>
                <w:sz w:val="18"/>
              </w:rPr>
              <w:t>ホルムズ再開で市場参加者増</w:t>
            </w:r>
          </w:p>
        </w:tc>
      </w:tr>
      <w:tr>
        <w:tc>
          <w:tcPr>
            <w:tcW w:type="dxa" w:w="2351"/>
            <w:shd w:val="clear" w:color="auto" w:fill="DDEBF7"/>
          </w:tcPr>
          <w:p>
            <w:r>
              <w:rPr>
                <w:rFonts w:ascii="Meiryo UI" w:hAnsi="Meiryo UI"/>
                <w:sz w:val="18"/>
              </w:rPr>
              <w:t>投信販売手数料</w:t>
            </w:r>
          </w:p>
        </w:tc>
        <w:tc>
          <w:tcPr>
            <w:tcW w:type="dxa" w:w="2351"/>
            <w:shd w:val="clear" w:color="auto" w:fill="DDEBF7"/>
          </w:tcPr>
          <w:p>
            <w:r>
              <w:rPr>
                <w:rFonts w:ascii="Meiryo UI" w:hAnsi="Meiryo UI"/>
                <w:sz w:val="18"/>
              </w:rPr>
              <w:t>NISA継続で堅調</w:t>
            </w:r>
          </w:p>
        </w:tc>
        <w:tc>
          <w:tcPr>
            <w:tcW w:type="dxa" w:w="2351"/>
            <w:shd w:val="clear" w:color="auto" w:fill="DDEBF7"/>
          </w:tcPr>
          <w:p>
            <w:r>
              <w:rPr>
                <w:rFonts w:ascii="Meiryo UI" w:hAnsi="Meiryo UI"/>
                <w:sz w:val="18"/>
              </w:rPr>
              <w:t>拡大</w:t>
            </w:r>
          </w:p>
        </w:tc>
        <w:tc>
          <w:tcPr>
            <w:tcW w:type="dxa" w:w="2351"/>
            <w:shd w:val="clear" w:color="auto" w:fill="DDEBF7"/>
          </w:tcPr>
          <w:p>
            <w:r>
              <w:rPr>
                <w:rFonts w:ascii="Meiryo UI" w:hAnsi="Meiryo UI"/>
                <w:sz w:val="18"/>
              </w:rPr>
              <w:t>地銀提携チャネルで流入増</w:t>
            </w:r>
          </w:p>
        </w:tc>
      </w:tr>
      <w:tr>
        <w:tc>
          <w:tcPr>
            <w:tcW w:type="dxa" w:w="2351"/>
          </w:tcPr>
          <w:p>
            <w:r>
              <w:rPr>
                <w:rFonts w:ascii="Meiryo UI" w:hAnsi="Meiryo UI"/>
                <w:sz w:val="18"/>
              </w:rPr>
              <w:t>引受手数料</w:t>
            </w:r>
          </w:p>
        </w:tc>
        <w:tc>
          <w:tcPr>
            <w:tcW w:type="dxa" w:w="2351"/>
          </w:tcPr>
          <w:p>
            <w:r>
              <w:rPr>
                <w:rFonts w:ascii="Meiryo UI" w:hAnsi="Meiryo UI"/>
                <w:sz w:val="18"/>
              </w:rPr>
              <w:t>市場停滞で減少</w:t>
            </w:r>
          </w:p>
        </w:tc>
        <w:tc>
          <w:tcPr>
            <w:tcW w:type="dxa" w:w="2351"/>
          </w:tcPr>
          <w:p>
            <w:r>
              <w:rPr>
                <w:rFonts w:ascii="Meiryo UI" w:hAnsi="Meiryo UI"/>
                <w:sz w:val="18"/>
              </w:rPr>
              <w:t>回復</w:t>
            </w:r>
          </w:p>
        </w:tc>
        <w:tc>
          <w:tcPr>
            <w:tcW w:type="dxa" w:w="2351"/>
          </w:tcPr>
          <w:p>
            <w:r>
              <w:rPr>
                <w:rFonts w:ascii="Meiryo UI" w:hAnsi="Meiryo UI"/>
                <w:sz w:val="18"/>
              </w:rPr>
              <w:t>2026年IPO市場再活性化</w:t>
            </w:r>
          </w:p>
        </w:tc>
      </w:tr>
      <w:tr>
        <w:tc>
          <w:tcPr>
            <w:tcW w:type="dxa" w:w="2351"/>
            <w:shd w:val="clear" w:color="auto" w:fill="DDEBF7"/>
          </w:tcPr>
          <w:p>
            <w:r>
              <w:rPr>
                <w:rFonts w:ascii="Meiryo UI" w:hAnsi="Meiryo UI"/>
                <w:sz w:val="18"/>
              </w:rPr>
              <w:t>金融収益（利息）</w:t>
            </w:r>
          </w:p>
        </w:tc>
        <w:tc>
          <w:tcPr>
            <w:tcW w:type="dxa" w:w="2351"/>
            <w:shd w:val="clear" w:color="auto" w:fill="DDEBF7"/>
          </w:tcPr>
          <w:p>
            <w:r>
              <w:rPr>
                <w:rFonts w:ascii="Meiryo UI" w:hAnsi="Meiryo UI"/>
                <w:sz w:val="18"/>
              </w:rPr>
              <w:t>低水準</w:t>
            </w:r>
          </w:p>
        </w:tc>
        <w:tc>
          <w:tcPr>
            <w:tcW w:type="dxa" w:w="2351"/>
            <w:shd w:val="clear" w:color="auto" w:fill="DDEBF7"/>
          </w:tcPr>
          <w:p>
            <w:r>
              <w:rPr>
                <w:rFonts w:ascii="Meiryo UI" w:hAnsi="Meiryo UI"/>
                <w:sz w:val="18"/>
              </w:rPr>
              <w:t>上昇</w:t>
            </w:r>
          </w:p>
        </w:tc>
        <w:tc>
          <w:tcPr>
            <w:tcW w:type="dxa" w:w="2351"/>
            <w:shd w:val="clear" w:color="auto" w:fill="DDEBF7"/>
          </w:tcPr>
          <w:p>
            <w:r>
              <w:rPr>
                <w:rFonts w:ascii="Meiryo UI" w:hAnsi="Meiryo UI"/>
                <w:sz w:val="18"/>
              </w:rPr>
              <w:t>金利上昇が運用資産収益増</w:t>
            </w:r>
          </w:p>
        </w:tc>
      </w:tr>
    </w:tbl>
    <w:p/>
    <w:p>
      <w:pPr>
        <w:pStyle w:val="Heading3"/>
      </w:pPr>
      <w:r>
        <w:rPr>
          <w:rFonts w:ascii="Meiryo UI" w:hAnsi="Meiryo UI"/>
          <w:color w:val="2E74B5"/>
        </w:rPr>
        <w:t>通期業績推移（推定）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純営業収益</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ROE</w:t>
            </w:r>
          </w:p>
        </w:tc>
        <w:tc>
          <w:tcPr>
            <w:tcW w:type="dxa" w:w="1881"/>
            <w:shd w:val="clear" w:color="auto" w:fill="2E74B5"/>
          </w:tcPr>
          <w:p>
            <w:r>
              <w:rPr>
                <w:rFonts w:ascii="Meiryo UI" w:hAnsi="Meiryo UI"/>
                <w:b/>
                <w:color w:val="FFFFFF"/>
                <w:sz w:val="18"/>
              </w:rPr>
              <w:t>EPS</w:t>
            </w:r>
          </w:p>
        </w:tc>
      </w:tr>
      <w:tr>
        <w:tc>
          <w:tcPr>
            <w:tcW w:type="dxa" w:w="1881"/>
          </w:tcPr>
          <w:p>
            <w:r>
              <w:rPr>
                <w:rFonts w:ascii="Meiryo UI" w:hAnsi="Meiryo UI"/>
                <w:sz w:val="18"/>
              </w:rPr>
              <w:t>FY2024/3</w:t>
            </w:r>
          </w:p>
        </w:tc>
        <w:tc>
          <w:tcPr>
            <w:tcW w:type="dxa" w:w="1881"/>
          </w:tcPr>
          <w:p>
            <w:r>
              <w:rPr>
                <w:rFonts w:ascii="Meiryo UI" w:hAnsi="Meiryo UI"/>
                <w:sz w:val="18"/>
              </w:rPr>
              <w:t>約¥500億</w:t>
            </w:r>
          </w:p>
        </w:tc>
        <w:tc>
          <w:tcPr>
            <w:tcW w:type="dxa" w:w="1881"/>
          </w:tcPr>
          <w:p>
            <w:r>
              <w:rPr>
                <w:rFonts w:ascii="Meiryo UI" w:hAnsi="Meiryo UI"/>
                <w:sz w:val="18"/>
              </w:rPr>
              <w:t>約¥25億</w:t>
            </w:r>
          </w:p>
        </w:tc>
        <w:tc>
          <w:tcPr>
            <w:tcW w:type="dxa" w:w="1881"/>
          </w:tcPr>
          <w:p>
            <w:r>
              <w:rPr>
                <w:rFonts w:ascii="Meiryo UI" w:hAnsi="Meiryo UI"/>
                <w:sz w:val="18"/>
              </w:rPr>
              <w:t>約6%</w:t>
            </w:r>
          </w:p>
        </w:tc>
        <w:tc>
          <w:tcPr>
            <w:tcW w:type="dxa" w:w="1881"/>
          </w:tcPr>
          <w:p>
            <w:r>
              <w:rPr>
                <w:rFonts w:ascii="Meiryo UI" w:hAnsi="Meiryo UI"/>
                <w:sz w:val="18"/>
              </w:rPr>
              <w:t>約¥38</w:t>
            </w:r>
          </w:p>
        </w:tc>
      </w:tr>
      <w:tr>
        <w:tc>
          <w:tcPr>
            <w:tcW w:type="dxa" w:w="1881"/>
            <w:shd w:val="clear" w:color="auto" w:fill="DDEBF7"/>
          </w:tcPr>
          <w:p>
            <w:r>
              <w:rPr>
                <w:rFonts w:ascii="Meiryo UI" w:hAnsi="Meiryo UI"/>
                <w:sz w:val="18"/>
              </w:rPr>
              <w:t>FY2025/3</w:t>
            </w:r>
          </w:p>
        </w:tc>
        <w:tc>
          <w:tcPr>
            <w:tcW w:type="dxa" w:w="1881"/>
            <w:shd w:val="clear" w:color="auto" w:fill="DDEBF7"/>
          </w:tcPr>
          <w:p>
            <w:r>
              <w:rPr>
                <w:rFonts w:ascii="Meiryo UI" w:hAnsi="Meiryo UI"/>
                <w:sz w:val="18"/>
              </w:rPr>
              <w:t>約¥550億</w:t>
            </w:r>
          </w:p>
        </w:tc>
        <w:tc>
          <w:tcPr>
            <w:tcW w:type="dxa" w:w="1881"/>
            <w:shd w:val="clear" w:color="auto" w:fill="DDEBF7"/>
          </w:tcPr>
          <w:p>
            <w:r>
              <w:rPr>
                <w:rFonts w:ascii="Meiryo UI" w:hAnsi="Meiryo UI"/>
                <w:sz w:val="18"/>
              </w:rPr>
              <w:t>約¥35億</w:t>
            </w:r>
          </w:p>
        </w:tc>
        <w:tc>
          <w:tcPr>
            <w:tcW w:type="dxa" w:w="1881"/>
            <w:shd w:val="clear" w:color="auto" w:fill="DDEBF7"/>
          </w:tcPr>
          <w:p>
            <w:r>
              <w:rPr>
                <w:rFonts w:ascii="Meiryo UI" w:hAnsi="Meiryo UI"/>
                <w:sz w:val="18"/>
              </w:rPr>
              <w:t>約7%</w:t>
            </w:r>
          </w:p>
        </w:tc>
        <w:tc>
          <w:tcPr>
            <w:tcW w:type="dxa" w:w="1881"/>
            <w:shd w:val="clear" w:color="auto" w:fill="DDEBF7"/>
          </w:tcPr>
          <w:p>
            <w:r>
              <w:rPr>
                <w:rFonts w:ascii="Meiryo UI" w:hAnsi="Meiryo UI"/>
                <w:sz w:val="18"/>
              </w:rPr>
              <w:t>¥50前後</w:t>
            </w:r>
          </w:p>
        </w:tc>
      </w:tr>
      <w:tr>
        <w:tc>
          <w:tcPr>
            <w:tcW w:type="dxa" w:w="1881"/>
          </w:tcPr>
          <w:p>
            <w:r>
              <w:rPr>
                <w:rFonts w:ascii="Meiryo UI" w:hAnsi="Meiryo UI"/>
                <w:sz w:val="18"/>
              </w:rPr>
              <w:t>FY2026/3E</w:t>
            </w:r>
          </w:p>
        </w:tc>
        <w:tc>
          <w:tcPr>
            <w:tcW w:type="dxa" w:w="1881"/>
          </w:tcPr>
          <w:p>
            <w:r>
              <w:rPr>
                <w:rFonts w:ascii="Meiryo UI" w:hAnsi="Meiryo UI"/>
                <w:sz w:val="18"/>
              </w:rPr>
              <w:t>約¥580億</w:t>
            </w:r>
          </w:p>
        </w:tc>
        <w:tc>
          <w:tcPr>
            <w:tcW w:type="dxa" w:w="1881"/>
          </w:tcPr>
          <w:p>
            <w:r>
              <w:rPr>
                <w:rFonts w:ascii="Meiryo UI" w:hAnsi="Meiryo UI"/>
                <w:sz w:val="18"/>
              </w:rPr>
              <w:t>約¥40億</w:t>
            </w:r>
          </w:p>
        </w:tc>
        <w:tc>
          <w:tcPr>
            <w:tcW w:type="dxa" w:w="1881"/>
          </w:tcPr>
          <w:p>
            <w:r>
              <w:rPr>
                <w:rFonts w:ascii="Meiryo UI" w:hAnsi="Meiryo UI"/>
                <w:sz w:val="18"/>
              </w:rPr>
              <w:t>約7.4%</w:t>
            </w:r>
          </w:p>
        </w:tc>
        <w:tc>
          <w:tcPr>
            <w:tcW w:type="dxa" w:w="1881"/>
          </w:tcPr>
          <w:p>
            <w:r>
              <w:rPr>
                <w:rFonts w:ascii="Meiryo UI" w:hAnsi="Meiryo UI"/>
                <w:sz w:val="18"/>
              </w:rPr>
              <w:t>¥50（実績）</w:t>
            </w:r>
          </w:p>
        </w:tc>
      </w:tr>
      <w:tr>
        <w:tc>
          <w:tcPr>
            <w:tcW w:type="dxa" w:w="1881"/>
            <w:shd w:val="clear" w:color="auto" w:fill="DDEBF7"/>
          </w:tcPr>
          <w:p>
            <w:r>
              <w:rPr>
                <w:rFonts w:ascii="Meiryo UI" w:hAnsi="Meiryo UI"/>
                <w:sz w:val="18"/>
              </w:rPr>
              <w:t>FY2027/3E</w:t>
            </w:r>
          </w:p>
        </w:tc>
        <w:tc>
          <w:tcPr>
            <w:tcW w:type="dxa" w:w="1881"/>
            <w:shd w:val="clear" w:color="auto" w:fill="DDEBF7"/>
          </w:tcPr>
          <w:p>
            <w:r>
              <w:rPr>
                <w:rFonts w:ascii="Meiryo UI" w:hAnsi="Meiryo UI"/>
                <w:sz w:val="18"/>
              </w:rPr>
              <w:t>約¥640億</w:t>
            </w:r>
          </w:p>
        </w:tc>
        <w:tc>
          <w:tcPr>
            <w:tcW w:type="dxa" w:w="1881"/>
            <w:shd w:val="clear" w:color="auto" w:fill="DDEBF7"/>
          </w:tcPr>
          <w:p>
            <w:r>
              <w:rPr>
                <w:rFonts w:ascii="Meiryo UI" w:hAnsi="Meiryo UI"/>
                <w:sz w:val="18"/>
              </w:rPr>
              <w:t>約¥55億</w:t>
            </w:r>
          </w:p>
        </w:tc>
        <w:tc>
          <w:tcPr>
            <w:tcW w:type="dxa" w:w="1881"/>
            <w:shd w:val="clear" w:color="auto" w:fill="DDEBF7"/>
          </w:tcPr>
          <w:p>
            <w:r>
              <w:rPr>
                <w:rFonts w:ascii="Meiryo UI" w:hAnsi="Meiryo UI"/>
                <w:sz w:val="18"/>
              </w:rPr>
              <w:t>約9-10%</w:t>
            </w:r>
          </w:p>
        </w:tc>
        <w:tc>
          <w:tcPr>
            <w:tcW w:type="dxa" w:w="1881"/>
            <w:shd w:val="clear" w:color="auto" w:fill="DDEBF7"/>
          </w:tcPr>
          <w:p>
            <w:r>
              <w:rPr>
                <w:rFonts w:ascii="Meiryo UI" w:hAnsi="Meiryo UI"/>
                <w:sz w:val="18"/>
              </w:rPr>
              <w:t>¥65-70（推定）</w:t>
            </w:r>
          </w:p>
        </w:tc>
      </w:tr>
    </w:tbl>
    <w:p/>
    <w:p>
      <w:r>
        <w:rPr>
          <w:rFonts w:ascii="Meiryo UI" w:hAnsi="Meiryo UI"/>
          <w:sz w:val="20"/>
        </w:rPr>
        <w:t>注: FY2026/3E以前は公開情報・推定値。FY2027/3Eは深井推計（ホルムズ再開・市場正常化前提）</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Forward EPS算出（深井推計）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数値</w:t>
            </w:r>
          </w:p>
        </w:tc>
      </w:tr>
      <w:tr>
        <w:tc>
          <w:tcPr>
            <w:tcW w:type="dxa" w:w="3135"/>
          </w:tcPr>
          <w:p>
            <w:r>
              <w:rPr>
                <w:rFonts w:ascii="Meiryo UI" w:hAnsi="Meiryo UI"/>
                <w:sz w:val="18"/>
              </w:rPr>
              <w:t>Trailing EPS</w:t>
            </w:r>
          </w:p>
        </w:tc>
        <w:tc>
          <w:tcPr>
            <w:tcW w:type="dxa" w:w="3135"/>
          </w:tcPr>
          <w:p>
            <w:r>
              <w:rPr>
                <w:rFonts w:ascii="Meiryo UI" w:hAnsi="Meiryo UI"/>
                <w:sz w:val="18"/>
              </w:rPr>
              <w:t>Yahoo Finance実績値</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手数料収入改善</w:t>
            </w:r>
          </w:p>
        </w:tc>
        <w:tc>
          <w:tcPr>
            <w:tcW w:type="dxa" w:w="3135"/>
            <w:shd w:val="clear" w:color="auto" w:fill="DDEBF7"/>
          </w:tcPr>
          <w:p>
            <w:r>
              <w:rPr>
                <w:rFonts w:ascii="Meiryo UI" w:hAnsi="Meiryo UI"/>
                <w:sz w:val="18"/>
              </w:rPr>
              <w:t>市場正常化+15%増収</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金融収益増</w:t>
            </w:r>
          </w:p>
        </w:tc>
        <w:tc>
          <w:tcPr>
            <w:tcW w:type="dxa" w:w="3135"/>
          </w:tcPr>
          <w:p>
            <w:r>
              <w:rPr>
                <w:rFonts w:ascii="Meiryo UI" w:hAnsi="Meiryo UI"/>
                <w:sz w:val="18"/>
              </w:rPr>
              <w:t>金利上昇効果</w:t>
            </w:r>
          </w:p>
        </w:tc>
        <w:tc>
          <w:tcPr>
            <w:tcW w:type="dxa" w:w="3135"/>
          </w:tcPr>
          <w:p>
            <w:r>
              <w:rPr>
                <w:rFonts w:ascii="Meiryo UI" w:hAnsi="Meiryo UI"/>
                <w:sz w:val="18"/>
              </w:rPr>
              <w:t>+¥5</w:t>
            </w:r>
          </w:p>
        </w:tc>
      </w:tr>
      <w:tr>
        <w:tc>
          <w:tcPr>
            <w:tcW w:type="dxa" w:w="3135"/>
            <w:shd w:val="clear" w:color="auto" w:fill="DDEBF7"/>
          </w:tcPr>
          <w:p>
            <w:r>
              <w:rPr>
                <w:rFonts w:ascii="Meiryo UI" w:hAnsi="Meiryo UI"/>
                <w:sz w:val="18"/>
              </w:rPr>
              <w:t>地銀提携拡大</w:t>
            </w:r>
          </w:p>
        </w:tc>
        <w:tc>
          <w:tcPr>
            <w:tcW w:type="dxa" w:w="3135"/>
            <w:shd w:val="clear" w:color="auto" w:fill="DDEBF7"/>
          </w:tcPr>
          <w:p>
            <w:r>
              <w:rPr>
                <w:rFonts w:ascii="Meiryo UI" w:hAnsi="Meiryo UI"/>
                <w:sz w:val="18"/>
              </w:rPr>
              <w:t>新規5社追加想定</w:t>
            </w:r>
          </w:p>
        </w:tc>
        <w:tc>
          <w:tcPr>
            <w:tcW w:type="dxa" w:w="3135"/>
            <w:shd w:val="clear" w:color="auto" w:fill="DDEBF7"/>
          </w:tcPr>
          <w:p>
            <w:r>
              <w:rPr>
                <w:rFonts w:ascii="Meiryo UI" w:hAnsi="Meiryo UI"/>
                <w:sz w:val="18"/>
              </w:rPr>
              <w:t>+¥3</w:t>
            </w:r>
          </w:p>
        </w:tc>
      </w:tr>
      <w:tr>
        <w:tc>
          <w:tcPr>
            <w:tcW w:type="dxa" w:w="3135"/>
          </w:tcPr>
          <w:p>
            <w:r>
              <w:rPr>
                <w:rFonts w:ascii="Meiryo UI" w:hAnsi="Meiryo UI"/>
                <w:sz w:val="18"/>
              </w:rPr>
              <w:t>Forward EPS（FY27E）</w:t>
            </w:r>
          </w:p>
        </w:tc>
        <w:tc>
          <w:tcPr>
            <w:tcW w:type="dxa" w:w="3135"/>
          </w:tcPr>
          <w:p>
            <w:r>
              <w:rPr>
                <w:rFonts w:ascii="Meiryo UI" w:hAnsi="Meiryo UI"/>
                <w:sz w:val="18"/>
              </w:rPr>
            </w:r>
          </w:p>
        </w:tc>
        <w:tc>
          <w:tcPr>
            <w:tcW w:type="dxa" w:w="3135"/>
          </w:tcPr>
          <w:p>
            <w:r>
              <w:rPr>
                <w:rFonts w:ascii="Meiryo UI" w:hAnsi="Meiryo UI"/>
                <w:sz w:val="18"/>
              </w:rPr>
              <w:t>≈¥68</w:t>
            </w:r>
          </w:p>
        </w:tc>
      </w:tr>
    </w:tbl>
    <w:p/>
    <w:p>
      <w:pPr>
        <w:pStyle w:val="Heading3"/>
      </w:pPr>
      <w:r>
        <w:rPr>
          <w:rFonts w:ascii="Meiryo UI" w:hAnsi="Meiryo UI"/>
          <w:color w:val="2E74B5"/>
        </w:rPr>
        <w:t>目標株価算定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Base (PBR 1.15x)</w:t>
            </w:r>
          </w:p>
        </w:tc>
        <w:tc>
          <w:tcPr>
            <w:tcW w:type="dxa" w:w="2351"/>
          </w:tcPr>
          <w:p>
            <w:r>
              <w:rPr>
                <w:rFonts w:ascii="Meiryo UI" w:hAnsi="Meiryo UI"/>
                <w:sz w:val="18"/>
              </w:rPr>
              <w:t>ROE 9%達成時の適正PBR</w:t>
            </w:r>
          </w:p>
        </w:tc>
        <w:tc>
          <w:tcPr>
            <w:tcW w:type="dxa" w:w="2351"/>
          </w:tcPr>
          <w:p>
            <w:r>
              <w:rPr>
                <w:rFonts w:ascii="Meiryo UI" w:hAnsi="Meiryo UI"/>
                <w:sz w:val="18"/>
              </w:rPr>
              <w:t>¥851</w:t>
            </w:r>
          </w:p>
        </w:tc>
        <w:tc>
          <w:tcPr>
            <w:tcW w:type="dxa" w:w="2351"/>
          </w:tcPr>
          <w:p>
            <w:r>
              <w:rPr>
                <w:rFonts w:ascii="Meiryo UI" w:hAnsi="Meiryo UI"/>
                <w:sz w:val="18"/>
              </w:rPr>
              <w:t>+13%</w:t>
            </w:r>
          </w:p>
        </w:tc>
      </w:tr>
      <w:tr>
        <w:tc>
          <w:tcPr>
            <w:tcW w:type="dxa" w:w="2351"/>
            <w:shd w:val="clear" w:color="auto" w:fill="DDEBF7"/>
          </w:tcPr>
          <w:p>
            <w:r>
              <w:rPr>
                <w:rFonts w:ascii="Meiryo UI" w:hAnsi="Meiryo UI"/>
                <w:sz w:val="18"/>
              </w:rPr>
              <w:t>Main (Forward PER 12x)</w:t>
            </w:r>
          </w:p>
        </w:tc>
        <w:tc>
          <w:tcPr>
            <w:tcW w:type="dxa" w:w="2351"/>
            <w:shd w:val="clear" w:color="auto" w:fill="DDEBF7"/>
          </w:tcPr>
          <w:p>
            <w:r>
              <w:rPr>
                <w:rFonts w:ascii="Meiryo UI" w:hAnsi="Meiryo UI"/>
                <w:sz w:val="18"/>
              </w:rPr>
              <w:t>FY27E EPS ¥68 × 12</w:t>
            </w:r>
          </w:p>
        </w:tc>
        <w:tc>
          <w:tcPr>
            <w:tcW w:type="dxa" w:w="2351"/>
            <w:shd w:val="clear" w:color="auto" w:fill="DDEBF7"/>
          </w:tcPr>
          <w:p>
            <w:r>
              <w:rPr>
                <w:rFonts w:ascii="Meiryo UI" w:hAnsi="Meiryo UI"/>
                <w:sz w:val="18"/>
              </w:rPr>
              <w:t>¥816</w:t>
            </w:r>
          </w:p>
        </w:tc>
        <w:tc>
          <w:tcPr>
            <w:tcW w:type="dxa" w:w="2351"/>
            <w:shd w:val="clear" w:color="auto" w:fill="DDEBF7"/>
          </w:tcPr>
          <w:p>
            <w:r>
              <w:rPr>
                <w:rFonts w:ascii="Meiryo UI" w:hAnsi="Meiryo UI"/>
                <w:sz w:val="18"/>
              </w:rPr>
              <w:t>+8%</w:t>
            </w:r>
          </w:p>
        </w:tc>
      </w:tr>
      <w:tr>
        <w:tc>
          <w:tcPr>
            <w:tcW w:type="dxa" w:w="2351"/>
          </w:tcPr>
          <w:p>
            <w:r>
              <w:rPr>
                <w:rFonts w:ascii="Meiryo UI" w:hAnsi="Meiryo UI"/>
                <w:sz w:val="18"/>
              </w:rPr>
              <w:t>Bear (PBR 1.0x)</w:t>
            </w:r>
          </w:p>
        </w:tc>
        <w:tc>
          <w:tcPr>
            <w:tcW w:type="dxa" w:w="2351"/>
          </w:tcPr>
          <w:p>
            <w:r>
              <w:rPr>
                <w:rFonts w:ascii="Meiryo UI" w:hAnsi="Meiryo UI"/>
                <w:sz w:val="18"/>
              </w:rPr>
              <w:t>現状維持・下値サポート</w:t>
            </w:r>
          </w:p>
        </w:tc>
        <w:tc>
          <w:tcPr>
            <w:tcW w:type="dxa" w:w="2351"/>
          </w:tcPr>
          <w:p>
            <w:r>
              <w:rPr>
                <w:rFonts w:ascii="Meiryo UI" w:hAnsi="Meiryo UI"/>
                <w:sz w:val="18"/>
              </w:rPr>
              <w:t>¥740</w:t>
            </w:r>
          </w:p>
        </w:tc>
        <w:tc>
          <w:tcPr>
            <w:tcW w:type="dxa" w:w="2351"/>
          </w:tcPr>
          <w:p>
            <w:r>
              <w:rPr>
                <w:rFonts w:ascii="Meiryo UI" w:hAnsi="Meiryo UI"/>
                <w:sz w:val="18"/>
              </w:rPr>
              <w:t>▲2%</w:t>
            </w:r>
          </w:p>
        </w:tc>
      </w:tr>
    </w:tbl>
    <w:p/>
    <w:p>
      <w:r>
        <w:rPr>
          <w:rFonts w:ascii="Meiryo UI" w:hAnsi="Meiryo UI"/>
          <w:sz w:val="20"/>
        </w:rPr>
        <w:t>TP採用: ¥850（PBR 1.15倍、6ヵ月目途）</w:t>
      </w:r>
    </w:p>
    <w:p/>
    <w:p>
      <w:r>
        <w:rPr>
          <w:rFonts w:ascii="Meiryo UI" w:hAnsi="Meiryo UI"/>
          <w:sz w:val="20"/>
        </w:rPr>
        <w:t>注: アップサイドは限定的（+13%）。コンビクションはやや弱い。¥740割れで即撤退が鉄則。</w:t>
      </w:r>
    </w:p>
    <w:p/>
    <w:p>
      <w:pPr>
        <w:pStyle w:val="Heading3"/>
      </w:pPr>
      <w:r>
        <w:rPr>
          <w:rFonts w:ascii="Meiryo UI" w:hAnsi="Meiryo UI"/>
          <w:color w:val="2E74B5"/>
        </w:rPr>
        <w:t>PBR-ROE整合</w:t>
      </w:r>
    </w:p>
    <w:p/>
    <w:p>
      <w:pPr>
        <w:pStyle w:val="ListBullet"/>
      </w:pPr>
      <w:r>
        <w:rPr>
          <w:rFonts w:ascii="Meiryo UI" w:hAnsi="Meiryo UI"/>
          <w:sz w:val="20"/>
        </w:rPr>
        <w:t>現ROE 7.4%、COE推定: 10%（証券業・小型株）</w:t>
      </w:r>
    </w:p>
    <w:p>
      <w:pPr>
        <w:pStyle w:val="ListBullet"/>
      </w:pPr>
      <w:r>
        <w:rPr>
          <w:rFonts w:ascii="Meiryo UI" w:hAnsi="Meiryo UI"/>
          <w:sz w:val="20"/>
        </w:rPr>
        <w:t>ROE-COEスプレッド: ▲2.6%（マイナス） → 理論上PBR &lt; 1.0x</w:t>
      </w:r>
    </w:p>
    <w:p>
      <w:pPr>
        <w:pStyle w:val="ListBullet"/>
      </w:pPr>
      <w:r>
        <w:rPr>
          <w:rFonts w:ascii="Meiryo UI" w:hAnsi="Meiryo UI"/>
          <w:sz w:val="20"/>
        </w:rPr>
        <w:t>現PBR 1.02倍はやや割高</w:t>
      </w:r>
    </w:p>
    <w:p>
      <w:pPr>
        <w:pStyle w:val="ListBullet"/>
      </w:pPr>
      <w:r>
        <w:rPr>
          <w:rFonts w:ascii="Meiryo UI" w:hAnsi="Meiryo UI"/>
          <w:sz w:val="20"/>
        </w:rPr>
        <w:t>改善条件: ROEが10%を超えれば PBR 1.2-1.5x を目指せる</w:t>
      </w:r>
    </w:p>
    <w:p>
      <w:pPr>
        <w:pStyle w:val="ListBullet"/>
      </w:pPr>
      <w:r>
        <w:rPr>
          <w:rFonts w:ascii="Meiryo UI" w:hAnsi="Meiryo UI"/>
          <w:sz w:val="20"/>
        </w:rPr>
        <w:t>FY27でROE 9-10%達成が見込まれれば現値は魅力的な仕込み水準</w:t>
      </w:r>
    </w:p>
    <w:p/>
    <w:p>
      <w:r>
        <w:t>──────────────────────────────────────────────────</w:t>
      </w:r>
    </w:p>
    <w:p/>
    <w:p>
      <w:pPr>
        <w:pStyle w:val="Heading2"/>
      </w:pPr>
      <w:r>
        <w:rPr>
          <w:rFonts w:ascii="Meiryo UI" w:hAnsi="Meiryo UI"/>
          <w:color w:val="2E74B5"/>
        </w:rPr>
        <w:t>5. リスクシナリオ（定量化）</w:t>
      </w:r>
    </w:p>
    <w:p/>
    <w:p>
      <w:pPr>
        <w:pStyle w:val="Heading3"/>
      </w:pPr>
      <w:r>
        <w:rPr>
          <w:rFonts w:ascii="Meiryo UI" w:hAnsi="Meiryo UI"/>
          <w:color w:val="2E74B5"/>
        </w:rPr>
        <w:t>シナリオ①（Base）: BUY継続</w:t>
      </w:r>
    </w:p>
    <w:p>
      <w:pPr>
        <w:pStyle w:val="ListBullet"/>
      </w:pPr>
      <w:r>
        <w:rPr>
          <w:rFonts w:ascii="Meiryo UI" w:hAnsi="Meiryo UI"/>
          <w:sz w:val="20"/>
        </w:rPr>
        <w:t>ホルムズ再開 → 株式市場正常化 → 手数料増</w:t>
      </w:r>
    </w:p>
    <w:p>
      <w:pPr>
        <w:pStyle w:val="ListBullet"/>
      </w:pPr>
      <w:r>
        <w:rPr>
          <w:rFonts w:ascii="Meiryo UI" w:hAnsi="Meiryo UI"/>
          <w:sz w:val="20"/>
        </w:rPr>
        <w:t>FY27 ROE 9%達成</w:t>
      </w:r>
    </w:p>
    <w:p>
      <w:pPr>
        <w:pStyle w:val="ListBullet"/>
      </w:pPr>
      <w:r>
        <w:rPr>
          <w:rFonts w:ascii="Meiryo UI" w:hAnsi="Meiryo UI"/>
          <w:sz w:val="20"/>
        </w:rPr>
        <w:t>TP ¥850 (+13%)</w:t>
      </w:r>
    </w:p>
    <w:p>
      <w:pPr>
        <w:pStyle w:val="ListBullet"/>
      </w:pPr>
      <w:r>
        <w:rPr>
          <w:rFonts w:ascii="Meiryo UI" w:hAnsi="Meiryo UI"/>
          <w:sz w:val="20"/>
        </w:rPr>
        <w:t>確率: 45%</w:t>
      </w:r>
    </w:p>
    <w:p/>
    <w:p>
      <w:pPr>
        <w:pStyle w:val="Heading3"/>
      </w:pPr>
      <w:r>
        <w:rPr>
          <w:rFonts w:ascii="Meiryo UI" w:hAnsi="Meiryo UI"/>
          <w:color w:val="2E74B5"/>
        </w:rPr>
        <w:t>シナリオ②（強気）: アウトパフォーム</w:t>
      </w:r>
    </w:p>
    <w:p>
      <w:pPr>
        <w:pStyle w:val="ListBullet"/>
      </w:pPr>
      <w:r>
        <w:rPr>
          <w:rFonts w:ascii="Meiryo UI" w:hAnsi="Meiryo UI"/>
          <w:sz w:val="20"/>
        </w:rPr>
        <w:t>地銀提携新規10社追加 + 市場活況</w:t>
      </w:r>
    </w:p>
    <w:p>
      <w:pPr>
        <w:pStyle w:val="ListBullet"/>
      </w:pPr>
      <w:r>
        <w:rPr>
          <w:rFonts w:ascii="Meiryo UI" w:hAnsi="Meiryo UI"/>
          <w:sz w:val="20"/>
        </w:rPr>
        <w:t>FY27 ROE 12%達成</w:t>
      </w:r>
    </w:p>
    <w:p>
      <w:pPr>
        <w:pStyle w:val="ListBullet"/>
      </w:pPr>
      <w:r>
        <w:rPr>
          <w:rFonts w:ascii="Meiryo UI" w:hAnsi="Meiryo UI"/>
          <w:sz w:val="20"/>
        </w:rPr>
        <w:t>TP ¥1,000 (+33%)</w:t>
      </w:r>
    </w:p>
    <w:p>
      <w:pPr>
        <w:pStyle w:val="ListBullet"/>
      </w:pPr>
      <w:r>
        <w:rPr>
          <w:rFonts w:ascii="Meiryo UI" w:hAnsi="Meiryo UI"/>
          <w:sz w:val="20"/>
        </w:rPr>
        <w:t>確率: 20%</w:t>
      </w:r>
    </w:p>
    <w:p/>
    <w:p>
      <w:pPr>
        <w:pStyle w:val="Heading3"/>
      </w:pPr>
      <w:r>
        <w:rPr>
          <w:rFonts w:ascii="Meiryo UI" w:hAnsi="Meiryo UI"/>
          <w:color w:val="2E74B5"/>
        </w:rPr>
        <w:t>シナリオ③（弱気）: HOLD転換</w:t>
      </w:r>
    </w:p>
    <w:p>
      <w:pPr>
        <w:pStyle w:val="ListBullet"/>
      </w:pPr>
      <w:r>
        <w:rPr>
          <w:rFonts w:ascii="Meiryo UI" w:hAnsi="Meiryo UI"/>
          <w:sz w:val="20"/>
        </w:rPr>
        <w:t>市場低迷継続 or 競合激化（ネット証券の侵食）</w:t>
      </w:r>
    </w:p>
    <w:p>
      <w:pPr>
        <w:pStyle w:val="ListBullet"/>
      </w:pPr>
      <w:r>
        <w:rPr>
          <w:rFonts w:ascii="Meiryo UI" w:hAnsi="Meiryo UI"/>
          <w:sz w:val="20"/>
        </w:rPr>
        <w:t>FY27 ROE 6%以下</w:t>
      </w:r>
    </w:p>
    <w:p>
      <w:pPr>
        <w:pStyle w:val="ListBullet"/>
      </w:pPr>
      <w:r>
        <w:rPr>
          <w:rFonts w:ascii="Meiryo UI" w:hAnsi="Meiryo UI"/>
          <w:sz w:val="20"/>
        </w:rPr>
        <w:t>PBR 0.9x割れ → ¥666（▲12%）</w:t>
      </w:r>
    </w:p>
    <w:p>
      <w:pPr>
        <w:pStyle w:val="ListBullet"/>
      </w:pPr>
      <w:r>
        <w:rPr>
          <w:rFonts w:ascii="Meiryo UI" w:hAnsi="Meiryo UI"/>
          <w:sz w:val="20"/>
        </w:rPr>
        <w:t>確率: 25%</w:t>
      </w:r>
    </w:p>
    <w:p/>
    <w:p>
      <w:pPr>
        <w:pStyle w:val="Heading3"/>
      </w:pPr>
      <w:r>
        <w:rPr>
          <w:rFonts w:ascii="Meiryo UI" w:hAnsi="Meiryo UI"/>
          <w:color w:val="2E74B5"/>
        </w:rPr>
        <w:t>シナリオ④（テールリスク）: Sell</w:t>
      </w:r>
    </w:p>
    <w:p>
      <w:pPr>
        <w:pStyle w:val="ListBullet"/>
      </w:pPr>
      <w:r>
        <w:rPr>
          <w:rFonts w:ascii="Meiryo UI" w:hAnsi="Meiryo UI"/>
          <w:sz w:val="20"/>
        </w:rPr>
        <w:t>景気後退 + 株式市場急落 + 市場流動性危機</w:t>
      </w:r>
    </w:p>
    <w:p>
      <w:pPr>
        <w:pStyle w:val="ListBullet"/>
      </w:pPr>
      <w:r>
        <w:rPr>
          <w:rFonts w:ascii="Meiryo UI" w:hAnsi="Meiryo UI"/>
          <w:sz w:val="20"/>
        </w:rPr>
        <w:t>営業損失計上 → PBR 0.7倍</w:t>
      </w:r>
    </w:p>
    <w:p>
      <w:pPr>
        <w:pStyle w:val="ListBullet"/>
      </w:pPr>
      <w:r>
        <w:rPr>
          <w:rFonts w:ascii="Meiryo UI" w:hAnsi="Meiryo UI"/>
          <w:sz w:val="20"/>
        </w:rPr>
        <w:t>下値 ¥518（▲31%）</w:t>
      </w:r>
    </w:p>
    <w:p>
      <w:pPr>
        <w:pStyle w:val="ListBullet"/>
      </w:pPr>
      <w:r>
        <w:rPr>
          <w:rFonts w:ascii="Meiryo UI" w:hAnsi="Meiryo UI"/>
          <w:sz w:val="20"/>
        </w:rPr>
        <w:t>確率: 10%</w:t>
      </w:r>
    </w:p>
    <w:p/>
    <w:p>
      <w:r>
        <w:t>──────────────────────────────────────────────────</w:t>
      </w:r>
    </w:p>
    <w:p/>
    <w:p>
      <w:pPr>
        <w:pStyle w:val="Heading2"/>
      </w:pPr>
      <w:r>
        <w:rPr>
          <w:rFonts w:ascii="Meiryo UI" w:hAnsi="Meiryo UI"/>
          <w:color w:val="2E74B5"/>
        </w:rPr>
        <w:t>6. Q-1定性変化（直近四半期の質的変化）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ホルムズ再開（本日）</w:t>
            </w:r>
          </w:p>
        </w:tc>
        <w:tc>
          <w:tcPr>
            <w:tcW w:type="dxa" w:w="3135"/>
          </w:tcPr>
          <w:p>
            <w:r>
              <w:rPr>
                <w:rFonts w:ascii="Meiryo UI" w:hAnsi="Meiryo UI"/>
                <w:sz w:val="18"/>
              </w:rPr>
              <w:t>市場センチメント改善 → 証券取引活性化</w:t>
            </w:r>
          </w:p>
        </w:tc>
        <w:tc>
          <w:tcPr>
            <w:tcW w:type="dxa" w:w="3135"/>
          </w:tcPr>
          <w:p>
            <w:r>
              <w:rPr>
                <w:rFonts w:ascii="Meiryo UI" w:hAnsi="Meiryo UI"/>
                <w:sz w:val="18"/>
              </w:rPr>
              <w:t>⬆ 短期POSITIVE</w:t>
            </w:r>
          </w:p>
        </w:tc>
      </w:tr>
      <w:tr>
        <w:tc>
          <w:tcPr>
            <w:tcW w:type="dxa" w:w="3135"/>
            <w:shd w:val="clear" w:color="auto" w:fill="DDEBF7"/>
          </w:tcPr>
          <w:p>
            <w:r>
              <w:rPr>
                <w:rFonts w:ascii="Meiryo UI" w:hAnsi="Meiryo UI"/>
                <w:sz w:val="18"/>
              </w:rPr>
              <w:t>NISA制度拡充継続</w:t>
            </w:r>
          </w:p>
        </w:tc>
        <w:tc>
          <w:tcPr>
            <w:tcW w:type="dxa" w:w="3135"/>
            <w:shd w:val="clear" w:color="auto" w:fill="DDEBF7"/>
          </w:tcPr>
          <w:p>
            <w:r>
              <w:rPr>
                <w:rFonts w:ascii="Meiryo UI" w:hAnsi="Meiryo UI"/>
                <w:sz w:val="18"/>
              </w:rPr>
              <w:t>個人の株式投資拡大が構造的に続く</w:t>
            </w:r>
          </w:p>
        </w:tc>
        <w:tc>
          <w:tcPr>
            <w:tcW w:type="dxa" w:w="3135"/>
            <w:shd w:val="clear" w:color="auto" w:fill="DDEBF7"/>
          </w:tcPr>
          <w:p>
            <w:r>
              <w:rPr>
                <w:rFonts w:ascii="Meiryo UI" w:hAnsi="Meiryo UI"/>
                <w:sz w:val="18"/>
              </w:rPr>
              <w:t>⬆ 中期POSITIVE</w:t>
            </w:r>
          </w:p>
        </w:tc>
      </w:tr>
      <w:tr>
        <w:tc>
          <w:tcPr>
            <w:tcW w:type="dxa" w:w="3135"/>
          </w:tcPr>
          <w:p>
            <w:r>
              <w:rPr>
                <w:rFonts w:ascii="Meiryo UI" w:hAnsi="Meiryo UI"/>
                <w:sz w:val="18"/>
              </w:rPr>
              <w:t>地銀提携モデル成熟</w:t>
            </w:r>
          </w:p>
        </w:tc>
        <w:tc>
          <w:tcPr>
            <w:tcW w:type="dxa" w:w="3135"/>
          </w:tcPr>
          <w:p>
            <w:r>
              <w:rPr>
                <w:rFonts w:ascii="Meiryo UI" w:hAnsi="Meiryo UI"/>
                <w:sz w:val="18"/>
              </w:rPr>
              <w:t>提携先60社超え。新規余地は限定的になりつつある</w:t>
            </w:r>
          </w:p>
        </w:tc>
        <w:tc>
          <w:tcPr>
            <w:tcW w:type="dxa" w:w="3135"/>
          </w:tcPr>
          <w:p>
            <w:r>
              <w:rPr>
                <w:rFonts w:ascii="Meiryo UI" w:hAnsi="Meiryo UI"/>
                <w:sz w:val="18"/>
              </w:rPr>
              <w:t>→ 中立</w:t>
            </w:r>
          </w:p>
        </w:tc>
      </w:tr>
      <w:tr>
        <w:tc>
          <w:tcPr>
            <w:tcW w:type="dxa" w:w="3135"/>
            <w:shd w:val="clear" w:color="auto" w:fill="DDEBF7"/>
          </w:tcPr>
          <w:p>
            <w:r>
              <w:rPr>
                <w:rFonts w:ascii="Meiryo UI" w:hAnsi="Meiryo UI"/>
                <w:sz w:val="18"/>
              </w:rPr>
              <w:t>ネット証券競合激化</w:t>
            </w:r>
          </w:p>
        </w:tc>
        <w:tc>
          <w:tcPr>
            <w:tcW w:type="dxa" w:w="3135"/>
            <w:shd w:val="clear" w:color="auto" w:fill="DDEBF7"/>
          </w:tcPr>
          <w:p>
            <w:r>
              <w:rPr>
                <w:rFonts w:ascii="Meiryo UI" w:hAnsi="Meiryo UI"/>
                <w:sz w:val="18"/>
              </w:rPr>
              <w:t>手数料ゼロ化競争が続く。対面証券の収益圧迫</w:t>
            </w:r>
          </w:p>
        </w:tc>
        <w:tc>
          <w:tcPr>
            <w:tcW w:type="dxa" w:w="3135"/>
            <w:shd w:val="clear" w:color="auto" w:fill="DDEBF7"/>
          </w:tcPr>
          <w:p>
            <w:r>
              <w:rPr>
                <w:rFonts w:ascii="Meiryo UI" w:hAnsi="Meiryo UI"/>
                <w:sz w:val="18"/>
              </w:rPr>
              <w:t>⬇ 構造的NEGATIVE</w:t>
            </w:r>
          </w:p>
        </w:tc>
      </w:tr>
    </w:tbl>
    <w:p/>
    <w:p>
      <w:r>
        <w:t>──────────────────────────────────────────────────</w:t>
      </w:r>
    </w:p>
    <w:p/>
    <w:p>
      <w:pPr>
        <w:pStyle w:val="Heading2"/>
      </w:pPr>
      <w:r>
        <w:rPr>
          <w:rFonts w:ascii="Meiryo UI" w:hAnsi="Meiryo UI"/>
          <w:color w:val="2E74B5"/>
        </w:rPr>
        <w:t>7. ガイダンス考察</w:t>
      </w:r>
    </w:p>
    <w:p/>
    <w:p>
      <w:r>
        <w:rPr>
          <w:rFonts w:ascii="Meiryo UI" w:hAnsi="Meiryo UI"/>
          <w:sz w:val="20"/>
        </w:rPr>
        <w:t>FY3/2026 本決算（2026年5月中旬）注目ポイント:</w:t>
      </w:r>
    </w:p>
    <w:p>
      <w:pPr>
        <w:pStyle w:val="ListBullet"/>
      </w:pPr>
      <w:r>
        <w:rPr>
          <w:rFonts w:ascii="Meiryo UI" w:hAnsi="Meiryo UI"/>
          <w:sz w:val="20"/>
        </w:rPr>
        <w:t>Q4（1-3月）業績: ホルムズ封鎖期間(2/28-3/31)は市場ボラティリティが高く、手数料収入は一定増加した可能性</w:t>
      </w:r>
    </w:p>
    <w:p>
      <w:pPr>
        <w:pStyle w:val="ListBullet"/>
      </w:pPr>
      <w:r>
        <w:rPr>
          <w:rFonts w:ascii="Meiryo UI" w:hAnsi="Meiryo UI"/>
          <w:sz w:val="20"/>
        </w:rPr>
        <w:t>FY3/2027ガイダンス: ROE改善計画の提示が最重要。10%を目標とする発言があればBUYコンビクション上昇</w:t>
      </w:r>
    </w:p>
    <w:p>
      <w:pPr>
        <w:pStyle w:val="ListBullet"/>
      </w:pPr>
      <w:r>
        <w:rPr>
          <w:rFonts w:ascii="Meiryo UI" w:hAnsi="Meiryo UI"/>
          <w:sz w:val="20"/>
        </w:rPr>
        <w:t>地銀提携の新規追加: 今年度の新規契約数が示されれば成長持続性の評価が可能</w:t>
      </w:r>
    </w:p>
    <w:p>
      <w:pPr>
        <w:pStyle w:val="ListBullet"/>
      </w:pPr>
      <w:r>
        <w:rPr>
          <w:rFonts w:ascii="Meiryo UI" w:hAnsi="Meiryo UI"/>
          <w:sz w:val="20"/>
        </w:rPr>
        <w:t>配当政策: 現在の配当水準（¥20-25/株想定）の維持・増額方針</w:t>
      </w:r>
    </w:p>
    <w:p/>
    <w:p>
      <w:r>
        <w:rPr>
          <w:rFonts w:ascii="Meiryo UI" w:hAnsi="Meiryo UI"/>
          <w:sz w:val="20"/>
        </w:rPr>
        <w:t>ROE10%への道筋（鍵）:</w:t>
      </w:r>
    </w:p>
    <w:p>
      <w:pPr>
        <w:pStyle w:val="ListBullet"/>
      </w:pPr>
      <w:r>
        <w:rPr>
          <w:rFonts w:ascii="Meiryo UI" w:hAnsi="Meiryo UI"/>
          <w:sz w:val="20"/>
        </w:rPr>
        <w:t>純営業収益: 現¥580億 → ¥650億必要（+12%）</w:t>
      </w:r>
    </w:p>
    <w:p>
      <w:pPr>
        <w:pStyle w:val="ListBullet"/>
      </w:pPr>
      <w:r>
        <w:rPr>
          <w:rFonts w:ascii="Meiryo UI" w:hAnsi="Meiryo UI"/>
          <w:sz w:val="20"/>
        </w:rPr>
        <w:t>コスト圧縮: 販管費率の改善（現80%台前半 → 75%台へ）</w:t>
      </w:r>
    </w:p>
    <w:p>
      <w:pPr>
        <w:pStyle w:val="ListBullet"/>
      </w:pPr>
      <w:r>
        <w:rPr>
          <w:rFonts w:ascii="Meiryo UI" w:hAnsi="Meiryo UI"/>
          <w:sz w:val="20"/>
        </w:rPr>
        <w:t>財務レバレッジ: 現状で適正</w:t>
      </w:r>
    </w:p>
    <w:p/>
    <w:p>
      <w:r>
        <w:t>──────────────────────────────────────────────────</w:t>
      </w:r>
    </w:p>
    <w:p/>
    <w:p>
      <w:pPr>
        <w:pStyle w:val="Heading2"/>
      </w:pPr>
      <w:r>
        <w:rPr>
          <w:rFonts w:ascii="Meiryo UI" w:hAnsi="Meiryo UI"/>
          <w:color w:val="2E74B5"/>
        </w:rPr>
        <w:t>8. 不動産含み益考察（全DeepResearch必須）</w:t>
      </w:r>
    </w:p>
    <w:p/>
    <w:p>
      <w:r>
        <w:rPr>
          <w:rFonts w:ascii="Meiryo UI" w:hAnsi="Meiryo UI"/>
          <w:sz w:val="20"/>
        </w:rPr>
        <w:t>証券持株会社であり、不動産保有は限定的。</w:t>
      </w:r>
    </w:p>
    <w:p>
      <w:pPr>
        <w:pStyle w:val="ListBullet"/>
      </w:pPr>
      <w:r>
        <w:rPr>
          <w:rFonts w:ascii="Meiryo UI" w:hAnsi="Meiryo UI"/>
          <w:sz w:val="20"/>
        </w:rPr>
        <w:t>本社（名古屋）: 自社ビル保有の可能性あり。小規模</w:t>
      </w:r>
    </w:p>
    <w:p>
      <w:pPr>
        <w:pStyle w:val="ListBullet"/>
      </w:pPr>
      <w:r>
        <w:rPr>
          <w:rFonts w:ascii="Meiryo UI" w:hAnsi="Meiryo UI"/>
          <w:sz w:val="20"/>
        </w:rPr>
        <w:t>支店網: 主要都市（名古屋・東京・大阪等）に展開。賃貸主体と推定</w:t>
      </w:r>
    </w:p>
    <w:p>
      <w:pPr>
        <w:pStyle w:val="ListBullet"/>
      </w:pPr>
      <w:r>
        <w:rPr>
          <w:rFonts w:ascii="Meiryo UI" w:hAnsi="Meiryo UI"/>
          <w:sz w:val="20"/>
        </w:rPr>
        <w:t>地銀提携先への出資: 有価証券として保有。含み益の評価は出資先時価に依存</w:t>
      </w:r>
    </w:p>
    <w:p>
      <w:pPr>
        <w:pStyle w:val="ListBullet"/>
      </w:pPr>
      <w:r>
        <w:rPr>
          <w:rFonts w:ascii="Meiryo UI" w:hAnsi="Meiryo UI"/>
          <w:sz w:val="20"/>
        </w:rPr>
        <w:t>結論: 不動産含み益は実質ゼロ。金融業のため純粋な利益率・ROE改善ベースで評価すべき</w:t>
      </w:r>
    </w:p>
    <w:p/>
    <w:p>
      <w:r>
        <w:t>──────────────────────────────────────────────────</w:t>
      </w:r>
    </w:p>
    <w:p/>
    <w:p>
      <w:pPr>
        <w:pStyle w:val="Heading2"/>
      </w:pPr>
      <w:r>
        <w:rPr>
          <w:rFonts w:ascii="Meiryo UI" w:hAnsi="Meiryo UI"/>
          <w:color w:val="2E74B5"/>
        </w:rPr>
        <w:t>9. 推奨アクション（執行命令）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打診買い</w:t>
            </w:r>
          </w:p>
        </w:tc>
        <w:tc>
          <w:tcPr>
            <w:tcW w:type="dxa" w:w="3135"/>
          </w:tcPr>
          <w:p>
            <w:r>
              <w:rPr>
                <w:rFonts w:ascii="Meiryo UI" w:hAnsi="Meiryo UI"/>
                <w:sz w:val="18"/>
              </w:rPr>
              <w:t>¥740-760</w:t>
            </w:r>
          </w:p>
        </w:tc>
        <w:tc>
          <w:tcPr>
            <w:tcW w:type="dxa" w:w="3135"/>
          </w:tcPr>
          <w:p>
            <w:r>
              <w:rPr>
                <w:rFonts w:ascii="Meiryo UI" w:hAnsi="Meiryo UI"/>
                <w:sz w:val="18"/>
              </w:rPr>
              <w:t>BPS水準。PBR 1.0x割れは下値限定。少量仕込み</w:t>
            </w:r>
          </w:p>
        </w:tc>
      </w:tr>
      <w:tr>
        <w:tc>
          <w:tcPr>
            <w:tcW w:type="dxa" w:w="3135"/>
            <w:shd w:val="clear" w:color="auto" w:fill="DDEBF7"/>
          </w:tcPr>
          <w:p>
            <w:r>
              <w:rPr>
                <w:rFonts w:ascii="Meiryo UI" w:hAnsi="Meiryo UI"/>
                <w:sz w:val="18"/>
              </w:rPr>
              <w:t>積み増し</w:t>
            </w:r>
          </w:p>
        </w:tc>
        <w:tc>
          <w:tcPr>
            <w:tcW w:type="dxa" w:w="3135"/>
            <w:shd w:val="clear" w:color="auto" w:fill="DDEBF7"/>
          </w:tcPr>
          <w:p>
            <w:r>
              <w:rPr>
                <w:rFonts w:ascii="Meiryo UI" w:hAnsi="Meiryo UI"/>
                <w:sz w:val="18"/>
              </w:rPr>
              <w:t>¥720-740 割れ込み</w:t>
            </w:r>
          </w:p>
        </w:tc>
        <w:tc>
          <w:tcPr>
            <w:tcW w:type="dxa" w:w="3135"/>
            <w:shd w:val="clear" w:color="auto" w:fill="DDEBF7"/>
          </w:tcPr>
          <w:p>
            <w:r>
              <w:rPr>
                <w:rFonts w:ascii="Meiryo UI" w:hAnsi="Meiryo UI"/>
                <w:sz w:val="18"/>
              </w:rPr>
              <w:t>PBR 0.97倍。理論割安水準。強気で追加</w:t>
            </w:r>
          </w:p>
        </w:tc>
      </w:tr>
      <w:tr>
        <w:tc>
          <w:tcPr>
            <w:tcW w:type="dxa" w:w="3135"/>
          </w:tcPr>
          <w:p>
            <w:r>
              <w:rPr>
                <w:rFonts w:ascii="Meiryo UI" w:hAnsi="Meiryo UI"/>
                <w:sz w:val="18"/>
              </w:rPr>
              <w:t>利確</w:t>
            </w:r>
          </w:p>
        </w:tc>
        <w:tc>
          <w:tcPr>
            <w:tcW w:type="dxa" w:w="3135"/>
          </w:tcPr>
          <w:p>
            <w:r>
              <w:rPr>
                <w:rFonts w:ascii="Meiryo UI" w:hAnsi="Meiryo UI"/>
                <w:sz w:val="18"/>
              </w:rPr>
              <w:t>¥830-850</w:t>
            </w:r>
          </w:p>
        </w:tc>
        <w:tc>
          <w:tcPr>
            <w:tcW w:type="dxa" w:w="3135"/>
          </w:tcPr>
          <w:p>
            <w:r>
              <w:rPr>
                <w:rFonts w:ascii="Meiryo UI" w:hAnsi="Meiryo UI"/>
                <w:sz w:val="18"/>
              </w:rPr>
              <w:t>PBR 1.12-1.15倍。FY27ガイダンス良好なら継続</w:t>
            </w:r>
          </w:p>
        </w:tc>
      </w:tr>
      <w:tr>
        <w:tc>
          <w:tcPr>
            <w:tcW w:type="dxa" w:w="3135"/>
            <w:shd w:val="clear" w:color="auto" w:fill="DDEBF7"/>
          </w:tcPr>
          <w:p>
            <w:r>
              <w:rPr>
                <w:rFonts w:ascii="Meiryo UI" w:hAnsi="Meiryo UI"/>
                <w:sz w:val="18"/>
              </w:rPr>
              <w:t>最終TP</w:t>
            </w:r>
          </w:p>
        </w:tc>
        <w:tc>
          <w:tcPr>
            <w:tcW w:type="dxa" w:w="3135"/>
            <w:shd w:val="clear" w:color="auto" w:fill="DDEBF7"/>
          </w:tcPr>
          <w:p>
            <w:r>
              <w:rPr>
                <w:rFonts w:ascii="Meiryo UI" w:hAnsi="Meiryo UI"/>
                <w:sz w:val="18"/>
              </w:rPr>
              <w:t>¥850</w:t>
            </w:r>
          </w:p>
        </w:tc>
        <w:tc>
          <w:tcPr>
            <w:tcW w:type="dxa" w:w="3135"/>
            <w:shd w:val="clear" w:color="auto" w:fill="DDEBF7"/>
          </w:tcPr>
          <w:p>
            <w:r>
              <w:rPr>
                <w:rFonts w:ascii="Meiryo UI" w:hAnsi="Meiryo UI"/>
                <w:sz w:val="18"/>
              </w:rPr>
              <w:t>PBR 1.15倍、ROE 9%達成前提</w:t>
            </w:r>
          </w:p>
        </w:tc>
      </w:tr>
      <w:tr>
        <w:tc>
          <w:tcPr>
            <w:tcW w:type="dxa" w:w="3135"/>
          </w:tcPr>
          <w:p>
            <w:r>
              <w:rPr>
                <w:rFonts w:ascii="Meiryo UI" w:hAnsi="Meiryo UI"/>
                <w:sz w:val="18"/>
              </w:rPr>
              <w:t>損切り</w:t>
            </w:r>
          </w:p>
        </w:tc>
        <w:tc>
          <w:tcPr>
            <w:tcW w:type="dxa" w:w="3135"/>
          </w:tcPr>
          <w:p>
            <w:r>
              <w:rPr>
                <w:rFonts w:ascii="Meiryo UI" w:hAnsi="Meiryo UI"/>
                <w:sz w:val="18"/>
              </w:rPr>
              <w:t>¥700</w:t>
            </w:r>
          </w:p>
        </w:tc>
        <w:tc>
          <w:tcPr>
            <w:tcW w:type="dxa" w:w="3135"/>
          </w:tcPr>
          <w:p>
            <w:r>
              <w:rPr>
                <w:rFonts w:ascii="Meiryo UI" w:hAnsi="Meiryo UI"/>
                <w:sz w:val="18"/>
              </w:rPr>
              <w:t>PBR 0.95倍割れ。ROE低下 or 市場崩壊シグナル</w:t>
            </w:r>
          </w:p>
        </w:tc>
      </w:tr>
    </w:tbl>
    <w:p/>
    <w:p>
      <w:r>
        <w:rPr>
          <w:rFonts w:ascii="Meiryo UI" w:hAnsi="Meiryo UI"/>
          <w:sz w:val="20"/>
        </w:rPr>
        <w:t>コンビクション注記: アップサイド+13%は決して大きくない。ROE改善の確認前は小さいポジションで。FY27ガイダンスでROE10%が視野に入れば本格買い。</w:t>
      </w:r>
    </w:p>
    <w:p/>
    <w:p>
      <w:r>
        <w:t>──────────────────────────────────────────────────</w:t>
      </w:r>
    </w:p>
    <w:p/>
    <w:p>
      <w:pPr>
        <w:pStyle w:val="Heading2"/>
      </w:pPr>
      <w:r>
        <w:rPr>
          <w:rFonts w:ascii="Meiryo UI" w:hAnsi="Meiryo UI"/>
          <w:color w:val="2E74B5"/>
        </w:rPr>
        <w:t>10. 本日の市場文脈との整合</w:t>
      </w:r>
    </w:p>
    <w:p/>
    <w:p>
      <w:pPr>
        <w:pStyle w:val="ListBullet"/>
      </w:pPr>
      <w:r>
        <w:rPr>
          <w:rFonts w:ascii="Meiryo UI" w:hAnsi="Meiryo UI"/>
          <w:sz w:val="20"/>
        </w:rPr>
        <w:t>ホルムズ再開（本日確定）: 株式市場の不確実性低下 → 証券業全般にプラス。8616の短期手数料収入を押し上げ</w:t>
      </w:r>
    </w:p>
    <w:p>
      <w:pPr>
        <w:pStyle w:val="ListBullet"/>
      </w:pPr>
      <w:r>
        <w:rPr>
          <w:rFonts w:ascii="Meiryo UI" w:hAnsi="Meiryo UI"/>
          <w:sz w:val="20"/>
        </w:rPr>
        <w:t>日本株市場の動向: 封鎖期間中の市場ボラティリティは証券業の短期収益には若干プラスだったが、長期の健全な相場の方が有利</w:t>
      </w:r>
    </w:p>
    <w:p>
      <w:pPr>
        <w:pStyle w:val="ListBullet"/>
      </w:pPr>
      <w:r>
        <w:rPr>
          <w:rFonts w:ascii="Meiryo UI" w:hAnsi="Meiryo UI"/>
          <w:sz w:val="20"/>
        </w:rPr>
        <w:t>グロース市場 vs プライム: 8616はプライム上場。市場全体の回復が地合い改善に直結</w:t>
      </w:r>
    </w:p>
    <w:p>
      <w:pPr>
        <w:pStyle w:val="ListBullet"/>
      </w:pPr>
      <w:r>
        <w:rPr>
          <w:rFonts w:ascii="Meiryo UI" w:hAnsi="Meiryo UI"/>
          <w:sz w:val="20"/>
        </w:rPr>
        <w:t>競合環境: SBI証券・楽天証券のネット系との差別化は「地銀提携の人的サービス」のみ。手数料競争には巻き込まれにくいが成長余力に制約</w:t>
      </w:r>
    </w:p>
    <w:p/>
    <w:p>
      <w:r>
        <w:t>──────────────────────────────────────────────────</w:t>
      </w:r>
    </w:p>
    <w:p/>
    <w:p>
      <w:r>
        <w:rPr>
          <w:rFonts w:ascii="Meiryo UI" w:hAnsi="Meiryo UI"/>
          <w:sz w:val="20"/>
        </w:rPr>
        <w:t xml:space="preserve">Deep Research作成: 深井 / 2026-04-17  </w:t>
      </w:r>
    </w:p>
    <w:p>
      <w:r>
        <w:rPr>
          <w:rFonts w:ascii="Meiryo UI" w:hAnsi="Meiryo UI"/>
          <w:sz w:val="20"/>
        </w:rPr>
        <w:t>データソース: Yahoo Finance (株価・財務指標リアルタイム), 東海東京FH IR, 日本証券業協会, Bloomberg</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