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8919 カチタス　Deep Research　2026-04-20</w:t>
      </w:r>
    </w:p>
    <w:p/>
    <w:p/>
    <w:p>
      <w:pPr>
        <w:jc w:val="center"/>
      </w:pPr>
      <w:r>
        <w:rPr>
          <w:rFonts w:ascii="Meiryo UI" w:hAnsi="Meiryo UI"/>
          <w:sz w:val="24"/>
        </w:rPr>
        <w:t>アナリスト：深井</w:t>
      </w:r>
    </w:p>
    <w:p>
      <w:pPr>
        <w:jc w:val="center"/>
      </w:pPr>
      <w:r>
        <w:rPr>
          <w:rFonts w:ascii="Meiryo UI" w:hAnsi="Meiryo UI"/>
          <w:sz w:val="24"/>
        </w:rPr>
        <w:t>分析日：2026年04月20日</w:t>
      </w:r>
    </w:p>
    <w:p>
      <w:r>
        <w:br w:type="page"/>
      </w:r>
    </w:p>
    <w:p>
      <w:pPr>
        <w:pStyle w:val="Heading1"/>
      </w:pPr>
      <w:r>
        <w:rPr>
          <w:rFonts w:ascii="Meiryo UI" w:hAnsi="Meiryo UI"/>
          <w:color w:val="1F3864"/>
        </w:rPr>
        <w:t>8919 カチタス　Deep Research　2026-04-20</w:t>
      </w:r>
    </w:p>
    <w:p>
      <w:pPr>
        <w:pStyle w:val="Heading2"/>
      </w:pPr>
      <w:r>
        <w:rPr>
          <w:rFonts w:ascii="Meiryo UI" w:hAnsi="Meiryo UI"/>
          <w:color w:val="2E74B5"/>
        </w:rPr>
        <w:t>投資判断: BUY ／ TP: ¥4,000（基本）/ ¥5,000（強気）/ ¥2,200（弱気）</w:t>
      </w:r>
    </w:p>
    <w:p/>
    <w:p>
      <w:r>
        <w:t>──────────────────────────────────────────────────</w:t>
      </w:r>
    </w:p>
    <w:p/>
    <w:p>
      <w:pPr>
        <w:pStyle w:val="Heading2"/>
      </w:pPr>
      <w:r>
        <w:rPr>
          <w:rFonts w:ascii="Meiryo UI" w:hAnsi="Meiryo UI"/>
          <w:color w:val="2E74B5"/>
        </w:rPr>
        <w:t>▼ 10秒エグゼクティブサマリー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¥3,135</w:t>
            </w:r>
          </w:p>
        </w:tc>
      </w:tr>
      <w:tr>
        <w:tc>
          <w:tcPr>
            <w:tcW w:type="dxa" w:w="4703"/>
          </w:tcPr>
          <w:p>
            <w:r>
              <w:rPr>
                <w:rFonts w:ascii="Meiryo UI" w:hAnsi="Meiryo UI"/>
                <w:sz w:val="18"/>
              </w:rPr>
              <w:t>TP（基本）</w:t>
            </w:r>
          </w:p>
        </w:tc>
        <w:tc>
          <w:tcPr>
            <w:tcW w:type="dxa" w:w="4703"/>
          </w:tcPr>
          <w:p>
            <w:r>
              <w:rPr>
                <w:rFonts w:ascii="Meiryo UI" w:hAnsi="Meiryo UI"/>
                <w:sz w:val="18"/>
              </w:rPr>
              <w:t>¥4,000（+27.6%）</w:t>
            </w:r>
          </w:p>
        </w:tc>
      </w:tr>
      <w:tr>
        <w:tc>
          <w:tcPr>
            <w:tcW w:type="dxa" w:w="4703"/>
            <w:shd w:val="clear" w:color="auto" w:fill="DDEBF7"/>
          </w:tcPr>
          <w:p>
            <w:r>
              <w:rPr>
                <w:rFonts w:ascii="Meiryo UI" w:hAnsi="Meiryo UI"/>
                <w:sz w:val="18"/>
              </w:rPr>
              <w:t>安全域</w:t>
            </w:r>
          </w:p>
        </w:tc>
        <w:tc>
          <w:tcPr>
            <w:tcW w:type="dxa" w:w="4703"/>
            <w:shd w:val="clear" w:color="auto" w:fill="DDEBF7"/>
          </w:tcPr>
          <w:p>
            <w:r>
              <w:rPr>
                <w:rFonts w:ascii="Meiryo UI" w:hAnsi="Meiryo UI"/>
                <w:sz w:val="18"/>
              </w:rPr>
              <w:t>+27.6%</w:t>
            </w:r>
          </w:p>
        </w:tc>
      </w:tr>
      <w:tr>
        <w:tc>
          <w:tcPr>
            <w:tcW w:type="dxa" w:w="4703"/>
          </w:tcPr>
          <w:p>
            <w:r>
              <w:rPr>
                <w:rFonts w:ascii="Meiryo UI" w:hAnsi="Meiryo UI"/>
                <w:sz w:val="18"/>
              </w:rPr>
              <w:t>3弾丸</w:t>
            </w:r>
          </w:p>
        </w:tc>
        <w:tc>
          <w:tcPr>
            <w:tcW w:type="dxa" w:w="4703"/>
          </w:tcPr>
          <w:p>
            <w:r>
              <w:rPr>
                <w:rFonts w:ascii="Meiryo UI" w:hAnsi="Meiryo UI"/>
                <w:sz w:val="18"/>
              </w:rPr>
              <w:t>①中古住宅市場の構造的独占（業界No.1、2位に17倍の差）→ 中期計画1万件・OP¥200億射程圏内 ②ホルムズ封鎖→新築供給制約→中古市場シフト加速（業界唯一の大規模受益者） ③FY2026 Q1-Q3経常利益¥139億（+31%）：FY2025通期¥138億を9ヶ月で超過→ 決算上振れ確実視</w:t>
            </w:r>
          </w:p>
        </w:tc>
      </w:tr>
      <w:tr>
        <w:tc>
          <w:tcPr>
            <w:tcW w:type="dxa" w:w="4703"/>
            <w:shd w:val="clear" w:color="auto" w:fill="DDEBF7"/>
          </w:tcPr>
          <w:p>
            <w:r>
              <w:rPr>
                <w:rFonts w:ascii="Meiryo UI" w:hAnsi="Meiryo UI"/>
                <w:sz w:val="18"/>
              </w:rPr>
              <w:t>1リスク</w:t>
            </w:r>
          </w:p>
        </w:tc>
        <w:tc>
          <w:tcPr>
            <w:tcW w:type="dxa" w:w="4703"/>
            <w:shd w:val="clear" w:color="auto" w:fill="DDEBF7"/>
          </w:tcPr>
          <w:p>
            <w:r>
              <w:rPr>
                <w:rFonts w:ascii="Meiryo UI" w:hAnsi="Meiryo UI"/>
                <w:sz w:val="18"/>
              </w:rPr>
              <w:t>住宅市場全体の停滞（金利高止まり→中古購入も手控え） → EPS ▲20-30%</w:t>
            </w:r>
          </w:p>
        </w:tc>
      </w:tr>
      <w:tr>
        <w:tc>
          <w:tcPr>
            <w:tcW w:type="dxa" w:w="4703"/>
          </w:tcPr>
          <w:p>
            <w:r>
              <w:rPr>
                <w:rFonts w:ascii="Meiryo UI" w:hAnsi="Meiryo UI"/>
                <w:sz w:val="18"/>
              </w:rPr>
              <w:t>推奨アクション</w:t>
            </w:r>
          </w:p>
        </w:tc>
        <w:tc>
          <w:tcPr>
            <w:tcW w:type="dxa" w:w="4703"/>
          </w:tcPr>
          <w:p>
            <w:r>
              <w:rPr>
                <w:rFonts w:ascii="Meiryo UI" w:hAnsi="Meiryo UI"/>
                <w:sz w:val="18"/>
              </w:rPr>
              <w:t>現値¥3,135は52w高値¥3,640比▲14%。FY2026通期決算（5月予定）前の仕込みとして推奨。最大ウェイト1.0%。</w:t>
            </w:r>
          </w:p>
        </w:tc>
      </w:tr>
    </w:tbl>
    <w:p/>
    <w:p>
      <w:r>
        <w:t>──────────────────────────────────────────────────</w:t>
      </w:r>
    </w:p>
    <w:p/>
    <w:p>
      <w:pPr>
        <w:pStyle w:val="Heading2"/>
      </w:pPr>
      <w:r>
        <w:rPr>
          <w:rFonts w:ascii="Meiryo UI" w:hAnsi="Meiryo UI"/>
          <w:color w:val="2E74B5"/>
        </w:rPr>
        <w:t>■ IR自律偵察プロトコル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情報</w:t>
            </w:r>
          </w:p>
        </w:tc>
      </w:tr>
      <w:tr>
        <w:tc>
          <w:tcPr>
            <w:tcW w:type="dxa" w:w="4703"/>
          </w:tcPr>
          <w:p>
            <w:r>
              <w:rPr>
                <w:rFonts w:ascii="Meiryo UI" w:hAnsi="Meiryo UI"/>
                <w:sz w:val="18"/>
              </w:rPr>
              <w:t>IRページURL</w:t>
            </w:r>
          </w:p>
        </w:tc>
        <w:tc>
          <w:tcPr>
            <w:tcW w:type="dxa" w:w="4703"/>
          </w:tcPr>
          <w:p>
            <w:r>
              <w:rPr>
                <w:rFonts w:ascii="Meiryo UI" w:hAnsi="Meiryo UI"/>
                <w:sz w:val="18"/>
              </w:rPr>
              <w:t>https://katitas.co.jp/ir/</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群馬県桐生市（創業地）、東京オフィス：東京都港区</w:t>
            </w:r>
          </w:p>
        </w:tc>
      </w:tr>
      <w:tr>
        <w:tc>
          <w:tcPr>
            <w:tcW w:type="dxa" w:w="4703"/>
          </w:tcPr>
          <w:p>
            <w:r>
              <w:rPr>
                <w:rFonts w:ascii="Meiryo UI" w:hAnsi="Meiryo UI"/>
                <w:sz w:val="18"/>
              </w:rPr>
              <w:t>投資家問い合わせ</w:t>
            </w:r>
          </w:p>
        </w:tc>
        <w:tc>
          <w:tcPr>
            <w:tcW w:type="dxa" w:w="4703"/>
          </w:tcPr>
          <w:p>
            <w:r>
              <w:rPr>
                <w:rFonts w:ascii="Meiryo UI" w:hAnsi="Meiryo UI"/>
                <w:sz w:val="18"/>
              </w:rPr>
              <w:t>katitas.co.jp/contact-c/</w:t>
            </w:r>
          </w:p>
        </w:tc>
      </w:tr>
      <w:tr>
        <w:tc>
          <w:tcPr>
            <w:tcW w:type="dxa" w:w="4703"/>
            <w:shd w:val="clear" w:color="auto" w:fill="DDEBF7"/>
          </w:tcPr>
          <w:p>
            <w:r>
              <w:rPr>
                <w:rFonts w:ascii="Meiryo UI" w:hAnsi="Meiryo UI"/>
                <w:sz w:val="18"/>
              </w:rPr>
              <w:t>最終決算開示</w:t>
            </w:r>
          </w:p>
        </w:tc>
        <w:tc>
          <w:tcPr>
            <w:tcW w:type="dxa" w:w="4703"/>
            <w:shd w:val="clear" w:color="auto" w:fill="DDEBF7"/>
          </w:tcPr>
          <w:p>
            <w:r>
              <w:rPr>
                <w:rFonts w:ascii="Meiryo UI" w:hAnsi="Meiryo UI"/>
                <w:sz w:val="18"/>
              </w:rPr>
              <w:t>2026年2月（2026年3月期第3四半期累計：9M）</w:t>
            </w:r>
          </w:p>
        </w:tc>
      </w:tr>
      <w:tr>
        <w:tc>
          <w:tcPr>
            <w:tcW w:type="dxa" w:w="4703"/>
          </w:tcPr>
          <w:p>
            <w:r>
              <w:rPr>
                <w:rFonts w:ascii="Meiryo UI" w:hAnsi="Meiryo UI"/>
                <w:sz w:val="18"/>
              </w:rPr>
              <w:t>次回決算予定</w:t>
            </w:r>
          </w:p>
        </w:tc>
        <w:tc>
          <w:tcPr>
            <w:tcW w:type="dxa" w:w="4703"/>
          </w:tcPr>
          <w:p>
            <w:r>
              <w:rPr>
                <w:rFonts w:ascii="Meiryo UI" w:hAnsi="Meiryo UI"/>
                <w:sz w:val="18"/>
              </w:rPr>
              <w:t>2026年5月（2026年3月期通期：FY2026全年度）</w:t>
            </w:r>
          </w:p>
        </w:tc>
      </w:tr>
      <w:tr>
        <w:tc>
          <w:tcPr>
            <w:tcW w:type="dxa" w:w="4703"/>
            <w:shd w:val="clear" w:color="auto" w:fill="DDEBF7"/>
          </w:tcPr>
          <w:p>
            <w:r>
              <w:rPr>
                <w:rFonts w:ascii="Meiryo UI" w:hAnsi="Meiryo UI"/>
                <w:sz w:val="18"/>
              </w:rPr>
              <w:t>中期経営計画</w:t>
            </w:r>
          </w:p>
        </w:tc>
        <w:tc>
          <w:tcPr>
            <w:tcW w:type="dxa" w:w="4703"/>
            <w:shd w:val="clear" w:color="auto" w:fill="DDEBF7"/>
          </w:tcPr>
          <w:p>
            <w:r>
              <w:rPr>
                <w:rFonts w:ascii="Meiryo UI" w:hAnsi="Meiryo UI"/>
                <w:sz w:val="18"/>
              </w:rPr>
              <w:t>第4次（FY2026-FY2028）：2025年5月発表</w:t>
            </w:r>
          </w:p>
        </w:tc>
      </w:tr>
    </w:tbl>
    <w:p/>
    <w:p>
      <w:r>
        <w:t>──────────────────────────────────────────────────</w:t>
      </w:r>
    </w:p>
    <w:p/>
    <w:p>
      <w:pPr>
        <w:pStyle w:val="Heading2"/>
      </w:pPr>
      <w:r>
        <w:rPr>
          <w:rFonts w:ascii="Meiryo UI" w:hAnsi="Meiryo UI"/>
          <w:color w:val="2E74B5"/>
        </w:rPr>
        <w:t>■ 1. 会社概要・ビジネスモデル</w:t>
      </w:r>
    </w:p>
    <w:p/>
    <w:p>
      <w:pPr>
        <w:pStyle w:val="Heading3"/>
      </w:pPr>
      <w:r>
        <w:rPr>
          <w:rFonts w:ascii="Meiryo UI" w:hAnsi="Meiryo UI"/>
          <w:color w:val="2E74B5"/>
        </w:rPr>
        <w:t>カチタスとは何者か</w:t>
      </w:r>
    </w:p>
    <w:p/>
    <w:p>
      <w:r>
        <w:rPr>
          <w:rFonts w:ascii="Meiryo UI" w:hAnsi="Meiryo UI"/>
          <w:sz w:val="20"/>
        </w:rPr>
        <w:t>中古住宅買取再販の圧倒的No.1。年間5,597戸販売（売上¥876億）で2位の17倍。事業モデルは極めてシンプルかつ参入障壁が高い：</w:t>
      </w:r>
    </w:p>
    <w:p/>
    <w:p>
      <w:pPr>
        <w:shd w:val="clear" w:color="auto" w:fill="F2F2F2"/>
      </w:pPr>
      <w:r>
        <w:rPr>
          <w:rFonts w:ascii="Courier New" w:hAnsi="Courier New"/>
          <w:sz w:val="16"/>
        </w:rPr>
        <w:t>① 地方・築古・空き家を低価格で仕入れ（約80%が空き家）</w:t>
        <w:br/>
        <w:t xml:space="preserve">      ↓</w:t>
        <w:br/>
        <w:t>② 現代の生活動線に合わせたリフォーム実施（粗利率26.1%確保）</w:t>
        <w:br/>
        <w:t xml:space="preserve">      ↓</w:t>
        <w:br/>
        <w:t>③ 新築の半額程度で販売 → 住宅コスト問題を解決</w:t>
      </w:r>
    </w:p>
    <w:p/>
    <w:p>
      <w:pPr>
        <w:pStyle w:val="Heading3"/>
      </w:pPr>
      <w:r>
        <w:rPr>
          <w:rFonts w:ascii="Meiryo UI" w:hAnsi="Meiryo UI"/>
          <w:color w:val="2E74B5"/>
        </w:rPr>
        <w:t>構造的競争優位（モート）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要素</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スケール優位</w:t>
            </w:r>
          </w:p>
        </w:tc>
        <w:tc>
          <w:tcPr>
            <w:tcW w:type="dxa" w:w="4703"/>
          </w:tcPr>
          <w:p>
            <w:r>
              <w:rPr>
                <w:rFonts w:ascii="Meiryo UI" w:hAnsi="Meiryo UI"/>
                <w:sz w:val="18"/>
              </w:rPr>
              <w:t>全国ネットワーク × 大量仕入れ → 査定精度・コスト低下</w:t>
            </w:r>
          </w:p>
        </w:tc>
      </w:tr>
      <w:tr>
        <w:tc>
          <w:tcPr>
            <w:tcW w:type="dxa" w:w="4703"/>
            <w:shd w:val="clear" w:color="auto" w:fill="DDEBF7"/>
          </w:tcPr>
          <w:p>
            <w:r>
              <w:rPr>
                <w:rFonts w:ascii="Meiryo UI" w:hAnsi="Meiryo UI"/>
                <w:sz w:val="18"/>
              </w:rPr>
              <w:t>独自データベース</w:t>
            </w:r>
          </w:p>
        </w:tc>
        <w:tc>
          <w:tcPr>
            <w:tcW w:type="dxa" w:w="4703"/>
            <w:shd w:val="clear" w:color="auto" w:fill="DDEBF7"/>
          </w:tcPr>
          <w:p>
            <w:r>
              <w:rPr>
                <w:rFonts w:ascii="Meiryo UI" w:hAnsi="Meiryo UI"/>
                <w:sz w:val="18"/>
              </w:rPr>
              <w:t>築古物件の修繕コスト・売却実績の蓄積（AIに直結）</w:t>
            </w:r>
          </w:p>
        </w:tc>
      </w:tr>
      <w:tr>
        <w:tc>
          <w:tcPr>
            <w:tcW w:type="dxa" w:w="4703"/>
          </w:tcPr>
          <w:p>
            <w:r>
              <w:rPr>
                <w:rFonts w:ascii="Meiryo UI" w:hAnsi="Meiryo UI"/>
                <w:sz w:val="18"/>
              </w:rPr>
              <w:t>社会的使命</w:t>
            </w:r>
          </w:p>
        </w:tc>
        <w:tc>
          <w:tcPr>
            <w:tcW w:type="dxa" w:w="4703"/>
          </w:tcPr>
          <w:p>
            <w:r>
              <w:rPr>
                <w:rFonts w:ascii="Meiryo UI" w:hAnsi="Meiryo UI"/>
                <w:sz w:val="18"/>
              </w:rPr>
              <w:t>空き家問題解決 ≒ 国土交通省・自治体との協力関係</w:t>
            </w:r>
          </w:p>
        </w:tc>
      </w:tr>
      <w:tr>
        <w:tc>
          <w:tcPr>
            <w:tcW w:type="dxa" w:w="4703"/>
            <w:shd w:val="clear" w:color="auto" w:fill="DDEBF7"/>
          </w:tcPr>
          <w:p>
            <w:r>
              <w:rPr>
                <w:rFonts w:ascii="Meiryo UI" w:hAnsi="Meiryo UI"/>
                <w:sz w:val="18"/>
              </w:rPr>
              <w:t>参入障壁</w:t>
            </w:r>
          </w:p>
        </w:tc>
        <w:tc>
          <w:tcPr>
            <w:tcW w:type="dxa" w:w="4703"/>
            <w:shd w:val="clear" w:color="auto" w:fill="DDEBF7"/>
          </w:tcPr>
          <w:p>
            <w:r>
              <w:rPr>
                <w:rFonts w:ascii="Meiryo UI" w:hAnsi="Meiryo UI"/>
                <w:sz w:val="18"/>
              </w:rPr>
              <w:t>規模の経済（仕入れ×リフォーム×販売の三位一体）を2位以下が複製不可</w:t>
            </w:r>
          </w:p>
        </w:tc>
      </w:tr>
    </w:tbl>
    <w:p/>
    <w:p>
      <w:r>
        <w:t>──────────────────────────────────────────────────</w:t>
      </w:r>
    </w:p>
    <w:p/>
    <w:p>
      <w:pPr>
        <w:pStyle w:val="Heading2"/>
      </w:pPr>
      <w:r>
        <w:rPr>
          <w:rFonts w:ascii="Meiryo UI" w:hAnsi="Meiryo UI"/>
          <w:color w:val="2E74B5"/>
        </w:rPr>
        <w:t>■ 2. 最新決算分析</w:t>
      </w:r>
    </w:p>
    <w:p/>
    <w:p>
      <w:pPr>
        <w:pStyle w:val="Heading3"/>
      </w:pPr>
      <w:r>
        <w:rPr>
          <w:rFonts w:ascii="Meiryo UI" w:hAnsi="Meiryo UI"/>
          <w:color w:val="2E74B5"/>
        </w:rPr>
        <w:t>FY2026 Q1-Q3（2025年4月〜2025年12月）累計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FY2025 9M（推計）</w:t>
            </w:r>
          </w:p>
        </w:tc>
        <w:tc>
          <w:tcPr>
            <w:tcW w:type="dxa" w:w="1881"/>
            <w:shd w:val="clear" w:color="auto" w:fill="2E74B5"/>
          </w:tcPr>
          <w:p>
            <w:r>
              <w:rPr>
                <w:rFonts w:ascii="Meiryo UI" w:hAnsi="Meiryo UI"/>
                <w:b/>
                <w:color w:val="FFFFFF"/>
                <w:sz w:val="18"/>
              </w:rPr>
              <w:t>FY2026 9M（実績）</w:t>
            </w:r>
          </w:p>
        </w:tc>
        <w:tc>
          <w:tcPr>
            <w:tcW w:type="dxa" w:w="1881"/>
            <w:shd w:val="clear" w:color="auto" w:fill="2E74B5"/>
          </w:tcPr>
          <w:p>
            <w:r>
              <w:rPr>
                <w:rFonts w:ascii="Meiryo UI" w:hAnsi="Meiryo UI"/>
                <w:b/>
                <w:color w:val="FFFFFF"/>
                <w:sz w:val="18"/>
              </w:rPr>
              <w:t>YoY</w:t>
            </w:r>
          </w:p>
        </w:tc>
        <w:tc>
          <w:tcPr>
            <w:tcW w:type="dxa" w:w="1881"/>
            <w:shd w:val="clear" w:color="auto" w:fill="2E74B5"/>
          </w:tcPr>
          <w:p>
            <w:r>
              <w:rPr>
                <w:rFonts w:ascii="Meiryo UI" w:hAnsi="Meiryo UI"/>
                <w:b/>
                <w:color w:val="FFFFFF"/>
                <w:sz w:val="18"/>
              </w:rPr>
              <w:t>評価</w:t>
            </w:r>
          </w:p>
        </w:tc>
      </w:tr>
      <w:tr>
        <w:tc>
          <w:tcPr>
            <w:tcW w:type="dxa" w:w="1881"/>
          </w:tcPr>
          <w:p>
            <w:r>
              <w:rPr>
                <w:rFonts w:ascii="Meiryo UI" w:hAnsi="Meiryo UI"/>
                <w:sz w:val="18"/>
              </w:rPr>
              <w:t>経常利益（累計）</w:t>
            </w:r>
          </w:p>
        </w:tc>
        <w:tc>
          <w:tcPr>
            <w:tcW w:type="dxa" w:w="1881"/>
          </w:tcPr>
          <w:p>
            <w:r>
              <w:rPr>
                <w:rFonts w:ascii="Meiryo UI" w:hAnsi="Meiryo UI"/>
                <w:sz w:val="18"/>
              </w:rPr>
              <w:t>≈¥106億</w:t>
            </w:r>
          </w:p>
        </w:tc>
        <w:tc>
          <w:tcPr>
            <w:tcW w:type="dxa" w:w="1881"/>
          </w:tcPr>
          <w:p>
            <w:r>
              <w:rPr>
                <w:rFonts w:ascii="Meiryo UI" w:hAnsi="Meiryo UI"/>
                <w:sz w:val="18"/>
              </w:rPr>
              <w:t>¥139億</w:t>
            </w:r>
          </w:p>
        </w:tc>
        <w:tc>
          <w:tcPr>
            <w:tcW w:type="dxa" w:w="1881"/>
          </w:tcPr>
          <w:p>
            <w:r>
              <w:rPr>
                <w:rFonts w:ascii="Meiryo UI" w:hAnsi="Meiryo UI"/>
                <w:sz w:val="18"/>
              </w:rPr>
              <w:t>+31.1%</w:t>
            </w:r>
          </w:p>
        </w:tc>
        <w:tc>
          <w:tcPr>
            <w:tcW w:type="dxa" w:w="1881"/>
          </w:tcPr>
          <w:p>
            <w:r>
              <w:rPr>
                <w:rFonts w:ascii="Meiryo UI" w:hAnsi="Meiryo UI"/>
                <w:sz w:val="18"/>
              </w:rPr>
              <w:t>✅ 大幅上振れ</w:t>
            </w:r>
          </w:p>
        </w:tc>
      </w:tr>
      <w:tr>
        <w:tc>
          <w:tcPr>
            <w:tcW w:type="dxa" w:w="1881"/>
            <w:shd w:val="clear" w:color="auto" w:fill="DDEBF7"/>
          </w:tcPr>
          <w:p>
            <w:r>
              <w:rPr>
                <w:rFonts w:ascii="Meiryo UI" w:hAnsi="Meiryo UI"/>
                <w:sz w:val="18"/>
              </w:rPr>
              <w:t>FY2025通期経常利益</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¥138億</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 Q3累計がすでに通期超え</w:t>
            </w:r>
          </w:p>
        </w:tc>
      </w:tr>
    </w:tbl>
    <w:p/>
    <w:p>
      <w:r>
        <w:rPr>
          <w:rFonts w:ascii="Meiryo UI" w:hAnsi="Meiryo UI"/>
          <w:sz w:val="20"/>
        </w:rPr>
        <w:t>重要: FY2026の9ヶ月累計¥139億がFY2025の12ヶ月全体¥138億を超過。Q4（1〜3月は住宅の繁忙期・移転シーズン）を加算すれば全年度は¥175-190億見込み。</w:t>
      </w:r>
    </w:p>
    <w:p/>
    <w:p>
      <w:r>
        <w:rPr>
          <w:rFonts w:ascii="Meiryo UI" w:hAnsi="Meiryo UI"/>
          <w:sz w:val="20"/>
        </w:rPr>
        <w:t>FY2026 Q1単体（2025年4〜6月）: 営業利益¥4,331M（+39.4%、過去最高益）</w:t>
      </w:r>
    </w:p>
    <w:p/>
    <w:p>
      <w:pPr>
        <w:pStyle w:val="Heading3"/>
      </w:pPr>
      <w:r>
        <w:rPr>
          <w:rFonts w:ascii="Meiryo UI" w:hAnsi="Meiryo UI"/>
          <w:color w:val="2E74B5"/>
        </w:rPr>
        <w:t>財務指標（yfinance / StockAnalysis取得・2026-04-20）</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株価</w:t>
            </w:r>
          </w:p>
        </w:tc>
        <w:tc>
          <w:tcPr>
            <w:tcW w:type="dxa" w:w="3135"/>
          </w:tcPr>
          <w:p>
            <w:r>
              <w:rPr>
                <w:rFonts w:ascii="Meiryo UI" w:hAnsi="Meiryo UI"/>
                <w:sz w:val="18"/>
              </w:rPr>
              <w:t>¥3,135</w:t>
            </w:r>
          </w:p>
        </w:tc>
        <w:tc>
          <w:tcPr>
            <w:tcW w:type="dxa" w:w="3135"/>
          </w:tcPr>
          <w:p>
            <w:r>
              <w:rPr>
                <w:rFonts w:ascii="Meiryo UI" w:hAnsi="Meiryo UI"/>
                <w:sz w:val="18"/>
              </w:rPr>
              <w:t>Yahoo Finance</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¥640</w:t>
            </w:r>
          </w:p>
        </w:tc>
        <w:tc>
          <w:tcPr>
            <w:tcW w:type="dxa" w:w="3135"/>
            <w:shd w:val="clear" w:color="auto" w:fill="DDEBF7"/>
          </w:tcPr>
          <w:p>
            <w:r>
              <w:rPr>
                <w:rFonts w:ascii="Meiryo UI" w:hAnsi="Meiryo UI"/>
                <w:sz w:val="18"/>
              </w:rPr>
              <w:t>yfinance Book Value/Share</w:t>
            </w:r>
          </w:p>
        </w:tc>
      </w:tr>
      <w:tr>
        <w:tc>
          <w:tcPr>
            <w:tcW w:type="dxa" w:w="3135"/>
          </w:tcPr>
          <w:p>
            <w:r>
              <w:rPr>
                <w:rFonts w:ascii="Meiryo UI" w:hAnsi="Meiryo UI"/>
                <w:sz w:val="18"/>
              </w:rPr>
              <w:t>PBR</w:t>
            </w:r>
          </w:p>
        </w:tc>
        <w:tc>
          <w:tcPr>
            <w:tcW w:type="dxa" w:w="3135"/>
          </w:tcPr>
          <w:p>
            <w:r>
              <w:rPr>
                <w:rFonts w:ascii="Meiryo UI" w:hAnsi="Meiryo UI"/>
                <w:sz w:val="18"/>
              </w:rPr>
              <w:t>4.90x</w:t>
            </w:r>
          </w:p>
        </w:tc>
        <w:tc>
          <w:tcPr>
            <w:tcW w:type="dxa" w:w="3135"/>
          </w:tcPr>
          <w:p>
            <w:r>
              <w:rPr>
                <w:rFonts w:ascii="Meiryo UI" w:hAnsi="Meiryo UI"/>
                <w:sz w:val="18"/>
              </w:rPr>
              <w:t>¥3,135 / ¥640 ✅整合</w:t>
            </w:r>
          </w:p>
        </w:tc>
      </w:tr>
      <w:tr>
        <w:tc>
          <w:tcPr>
            <w:tcW w:type="dxa" w:w="3135"/>
            <w:shd w:val="clear" w:color="auto" w:fill="DDEBF7"/>
          </w:tcPr>
          <w:p>
            <w:r>
              <w:rPr>
                <w:rFonts w:ascii="Meiryo UI" w:hAnsi="Meiryo UI"/>
                <w:sz w:val="18"/>
              </w:rPr>
              <w:t>PER（実績）</w:t>
            </w:r>
          </w:p>
        </w:tc>
        <w:tc>
          <w:tcPr>
            <w:tcW w:type="dxa" w:w="3135"/>
            <w:shd w:val="clear" w:color="auto" w:fill="DDEBF7"/>
          </w:tcPr>
          <w:p>
            <w:r>
              <w:rPr>
                <w:rFonts w:ascii="Meiryo UI" w:hAnsi="Meiryo UI"/>
                <w:sz w:val="18"/>
              </w:rPr>
              <w:t>20.6x</w:t>
            </w:r>
          </w:p>
        </w:tc>
        <w:tc>
          <w:tcPr>
            <w:tcW w:type="dxa" w:w="3135"/>
            <w:shd w:val="clear" w:color="auto" w:fill="DDEBF7"/>
          </w:tcPr>
          <w:p>
            <w:r>
              <w:rPr>
                <w:rFonts w:ascii="Meiryo UI" w:hAnsi="Meiryo UI"/>
                <w:sz w:val="18"/>
              </w:rPr>
              <w:t>EPS ¥151（FY2025）</w:t>
            </w:r>
          </w:p>
        </w:tc>
      </w:tr>
      <w:tr>
        <w:tc>
          <w:tcPr>
            <w:tcW w:type="dxa" w:w="3135"/>
          </w:tcPr>
          <w:p>
            <w:r>
              <w:rPr>
                <w:rFonts w:ascii="Meiryo UI" w:hAnsi="Meiryo UI"/>
                <w:sz w:val="18"/>
              </w:rPr>
              <w:t>予想PER（FY2026）</w:t>
            </w:r>
          </w:p>
        </w:tc>
        <w:tc>
          <w:tcPr>
            <w:tcW w:type="dxa" w:w="3135"/>
          </w:tcPr>
          <w:p>
            <w:r>
              <w:rPr>
                <w:rFonts w:ascii="Meiryo UI" w:hAnsi="Meiryo UI"/>
                <w:sz w:val="18"/>
              </w:rPr>
              <w:t>18.29x</w:t>
            </w:r>
          </w:p>
        </w:tc>
        <w:tc>
          <w:tcPr>
            <w:tcW w:type="dxa" w:w="3135"/>
          </w:tcPr>
          <w:p>
            <w:r>
              <w:rPr>
                <w:rFonts w:ascii="Meiryo UI" w:hAnsi="Meiryo UI"/>
                <w:sz w:val="18"/>
              </w:rPr>
              <w:t>StockAnalysis Forward P/E</w:t>
            </w:r>
          </w:p>
        </w:tc>
      </w:tr>
      <w:tr>
        <w:tc>
          <w:tcPr>
            <w:tcW w:type="dxa" w:w="3135"/>
            <w:shd w:val="clear" w:color="auto" w:fill="DDEBF7"/>
          </w:tcPr>
          <w:p>
            <w:r>
              <w:rPr>
                <w:rFonts w:ascii="Meiryo UI" w:hAnsi="Meiryo UI"/>
                <w:sz w:val="18"/>
              </w:rPr>
              <w:t>順算EPS（FY2026E）</w:t>
            </w:r>
          </w:p>
        </w:tc>
        <w:tc>
          <w:tcPr>
            <w:tcW w:type="dxa" w:w="3135"/>
            <w:shd w:val="clear" w:color="auto" w:fill="DDEBF7"/>
          </w:tcPr>
          <w:p>
            <w:r>
              <w:rPr>
                <w:rFonts w:ascii="Meiryo UI" w:hAnsi="Meiryo UI"/>
                <w:sz w:val="18"/>
              </w:rPr>
              <w:t>¥171</w:t>
            </w:r>
          </w:p>
        </w:tc>
        <w:tc>
          <w:tcPr>
            <w:tcW w:type="dxa" w:w="3135"/>
            <w:shd w:val="clear" w:color="auto" w:fill="DDEBF7"/>
          </w:tcPr>
          <w:p>
            <w:r>
              <w:rPr>
                <w:rFonts w:ascii="Meiryo UI" w:hAnsi="Meiryo UI"/>
                <w:sz w:val="18"/>
              </w:rPr>
              <w:t>¥3,135 / 18.29</w:t>
            </w:r>
          </w:p>
        </w:tc>
      </w:tr>
      <w:tr>
        <w:tc>
          <w:tcPr>
            <w:tcW w:type="dxa" w:w="3135"/>
          </w:tcPr>
          <w:p>
            <w:r>
              <w:rPr>
                <w:rFonts w:ascii="Meiryo UI" w:hAnsi="Meiryo UI"/>
                <w:sz w:val="18"/>
              </w:rPr>
              <w:t>ROE</w:t>
            </w:r>
          </w:p>
        </w:tc>
        <w:tc>
          <w:tcPr>
            <w:tcW w:type="dxa" w:w="3135"/>
          </w:tcPr>
          <w:p>
            <w:r>
              <w:rPr>
                <w:rFonts w:ascii="Meiryo UI" w:hAnsi="Meiryo UI"/>
                <w:sz w:val="18"/>
              </w:rPr>
              <w:t>25.3%</w:t>
            </w:r>
          </w:p>
        </w:tc>
        <w:tc>
          <w:tcPr>
            <w:tcW w:type="dxa" w:w="3135"/>
          </w:tcPr>
          <w:p>
            <w:r>
              <w:rPr>
                <w:rFonts w:ascii="Meiryo UI" w:hAnsi="Meiryo UI"/>
                <w:sz w:val="18"/>
              </w:rPr>
              <w:t>yfinance</w:t>
            </w:r>
          </w:p>
        </w:tc>
      </w:tr>
      <w:tr>
        <w:tc>
          <w:tcPr>
            <w:tcW w:type="dxa" w:w="3135"/>
            <w:shd w:val="clear" w:color="auto" w:fill="DDEBF7"/>
          </w:tcPr>
          <w:p>
            <w:r>
              <w:rPr>
                <w:rFonts w:ascii="Meiryo UI" w:hAnsi="Meiryo UI"/>
                <w:sz w:val="18"/>
              </w:rPr>
              <w:t>Beta</w:t>
            </w:r>
          </w:p>
        </w:tc>
        <w:tc>
          <w:tcPr>
            <w:tcW w:type="dxa" w:w="3135"/>
            <w:shd w:val="clear" w:color="auto" w:fill="DDEBF7"/>
          </w:tcPr>
          <w:p>
            <w:r>
              <w:rPr>
                <w:rFonts w:ascii="Meiryo UI" w:hAnsi="Meiryo UI"/>
                <w:sz w:val="18"/>
              </w:rPr>
              <w:t>0.65</w:t>
            </w:r>
          </w:p>
        </w:tc>
        <w:tc>
          <w:tcPr>
            <w:tcW w:type="dxa" w:w="3135"/>
            <w:shd w:val="clear" w:color="auto" w:fill="DDEBF7"/>
          </w:tcPr>
          <w:p>
            <w:r>
              <w:rPr>
                <w:rFonts w:ascii="Meiryo UI" w:hAnsi="Meiryo UI"/>
                <w:sz w:val="18"/>
              </w:rPr>
              <w:t>低ボラティリティ銘柄</w:t>
            </w:r>
          </w:p>
        </w:tc>
      </w:tr>
      <w:tr>
        <w:tc>
          <w:tcPr>
            <w:tcW w:type="dxa" w:w="3135"/>
          </w:tcPr>
          <w:p>
            <w:r>
              <w:rPr>
                <w:rFonts w:ascii="Meiryo UI" w:hAnsi="Meiryo UI"/>
                <w:sz w:val="18"/>
              </w:rPr>
              <w:t>配当利回り</w:t>
            </w:r>
          </w:p>
        </w:tc>
        <w:tc>
          <w:tcPr>
            <w:tcW w:type="dxa" w:w="3135"/>
          </w:tcPr>
          <w:p>
            <w:r>
              <w:rPr>
                <w:rFonts w:ascii="Meiryo UI" w:hAnsi="Meiryo UI"/>
                <w:sz w:val="18"/>
              </w:rPr>
              <w:t>2.51%（DPS ¥78）</w:t>
            </w:r>
          </w:p>
        </w:tc>
        <w:tc>
          <w:tcPr>
            <w:tcW w:type="dxa" w:w="3135"/>
          </w:tcPr>
          <w:p>
            <w:r>
              <w:rPr>
                <w:rFonts w:ascii="Meiryo UI" w:hAnsi="Meiryo UI"/>
                <w:sz w:val="18"/>
              </w:rPr>
              <w:t>yfinance</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¥2,453億</w:t>
            </w:r>
          </w:p>
        </w:tc>
        <w:tc>
          <w:tcPr>
            <w:tcW w:type="dxa" w:w="3135"/>
            <w:shd w:val="clear" w:color="auto" w:fill="DDEBF7"/>
          </w:tcPr>
          <w:p>
            <w:r>
              <w:rPr>
                <w:rFonts w:ascii="Meiryo UI" w:hAnsi="Meiryo UI"/>
                <w:sz w:val="18"/>
              </w:rPr>
            </w:r>
          </w:p>
        </w:tc>
      </w:tr>
      <w:tr>
        <w:tc>
          <w:tcPr>
            <w:tcW w:type="dxa" w:w="3135"/>
          </w:tcPr>
          <w:p>
            <w:r>
              <w:rPr>
                <w:rFonts w:ascii="Meiryo UI" w:hAnsi="Meiryo UI"/>
                <w:sz w:val="18"/>
              </w:rPr>
              <w:t>52wレンジ</w:t>
            </w:r>
          </w:p>
        </w:tc>
        <w:tc>
          <w:tcPr>
            <w:tcW w:type="dxa" w:w="3135"/>
          </w:tcPr>
          <w:p>
            <w:r>
              <w:rPr>
                <w:rFonts w:ascii="Meiryo UI" w:hAnsi="Meiryo UI"/>
                <w:sz w:val="18"/>
              </w:rPr>
              <w:t>¥2,020 - ¥3,640</w:t>
            </w:r>
          </w:p>
        </w:tc>
        <w:tc>
          <w:tcPr>
            <w:tcW w:type="dxa" w:w="3135"/>
          </w:tcPr>
          <w:p>
            <w:r>
              <w:rPr>
                <w:rFonts w:ascii="Meiryo UI" w:hAnsi="Meiryo UI"/>
                <w:sz w:val="18"/>
              </w:rPr>
              <w:t>現値は52w高値比▲14%</w:t>
            </w:r>
          </w:p>
        </w:tc>
      </w:tr>
    </w:tbl>
    <w:p/>
    <w:p>
      <w:r>
        <w:rPr>
          <w:rFonts w:ascii="Meiryo UI" w:hAnsi="Meiryo UI"/>
          <w:sz w:val="20"/>
        </w:rPr>
        <w:t>BPS整合性チェック: ¥640 × 4.90 = ¥3,136 ≈ ¥3,135 ✅</w:t>
      </w:r>
    </w:p>
    <w:p/>
    <w:p>
      <w:pPr>
        <w:pStyle w:val="Heading3"/>
      </w:pPr>
      <w:r>
        <w:rPr>
          <w:rFonts w:ascii="Meiryo UI" w:hAnsi="Meiryo UI"/>
          <w:color w:val="2E74B5"/>
        </w:rPr>
        <w:t>FY2025（2025年3月期）通期実績</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FY2024</w:t>
            </w:r>
          </w:p>
        </w:tc>
        <w:tc>
          <w:tcPr>
            <w:tcW w:type="dxa" w:w="2351"/>
            <w:shd w:val="clear" w:color="auto" w:fill="2E74B5"/>
          </w:tcPr>
          <w:p>
            <w:r>
              <w:rPr>
                <w:rFonts w:ascii="Meiryo UI" w:hAnsi="Meiryo UI"/>
                <w:b/>
                <w:color w:val="FFFFFF"/>
                <w:sz w:val="18"/>
              </w:rPr>
              <w:t>FY2025</w:t>
            </w:r>
          </w:p>
        </w:tc>
        <w:tc>
          <w:tcPr>
            <w:tcW w:type="dxa" w:w="2351"/>
            <w:shd w:val="clear" w:color="auto" w:fill="2E74B5"/>
          </w:tcPr>
          <w:p>
            <w:r>
              <w:rPr>
                <w:rFonts w:ascii="Meiryo UI" w:hAnsi="Meiryo UI"/>
                <w:b/>
                <w:color w:val="FFFFFF"/>
                <w:sz w:val="18"/>
              </w:rPr>
              <w:t>YoY</w:t>
            </w:r>
          </w:p>
        </w:tc>
      </w:tr>
      <w:tr>
        <w:tc>
          <w:tcPr>
            <w:tcW w:type="dxa" w:w="2351"/>
          </w:tcPr>
          <w:p>
            <w:r>
              <w:rPr>
                <w:rFonts w:ascii="Meiryo UI" w:hAnsi="Meiryo UI"/>
                <w:sz w:val="18"/>
              </w:rPr>
              <w:t>売上収益</w:t>
            </w:r>
          </w:p>
        </w:tc>
        <w:tc>
          <w:tcPr>
            <w:tcW w:type="dxa" w:w="2351"/>
          </w:tcPr>
          <w:p>
            <w:r>
              <w:rPr>
                <w:rFonts w:ascii="Meiryo UI" w:hAnsi="Meiryo UI"/>
                <w:sz w:val="18"/>
              </w:rPr>
              <w:t>¥1,267億</w:t>
            </w:r>
          </w:p>
        </w:tc>
        <w:tc>
          <w:tcPr>
            <w:tcW w:type="dxa" w:w="2351"/>
          </w:tcPr>
          <w:p>
            <w:r>
              <w:rPr>
                <w:rFonts w:ascii="Meiryo UI" w:hAnsi="Meiryo UI"/>
                <w:sz w:val="18"/>
              </w:rPr>
              <w:t>¥1,295億</w:t>
            </w:r>
          </w:p>
        </w:tc>
        <w:tc>
          <w:tcPr>
            <w:tcW w:type="dxa" w:w="2351"/>
          </w:tcPr>
          <w:p>
            <w:r>
              <w:rPr>
                <w:rFonts w:ascii="Meiryo UI" w:hAnsi="Meiryo UI"/>
                <w:sz w:val="18"/>
              </w:rPr>
              <w:t>+2.2%</w:t>
            </w:r>
          </w:p>
        </w:tc>
      </w:tr>
      <w:tr>
        <w:tc>
          <w:tcPr>
            <w:tcW w:type="dxa" w:w="2351"/>
            <w:shd w:val="clear" w:color="auto" w:fill="DDEBF7"/>
          </w:tcPr>
          <w:p>
            <w:r>
              <w:rPr>
                <w:rFonts w:ascii="Meiryo UI" w:hAnsi="Meiryo UI"/>
                <w:sz w:val="18"/>
              </w:rPr>
              <w:t>経常利益</w:t>
            </w:r>
          </w:p>
        </w:tc>
        <w:tc>
          <w:tcPr>
            <w:tcW w:type="dxa" w:w="2351"/>
            <w:shd w:val="clear" w:color="auto" w:fill="DDEBF7"/>
          </w:tcPr>
          <w:p>
            <w:r>
              <w:rPr>
                <w:rFonts w:ascii="Meiryo UI" w:hAnsi="Meiryo UI"/>
                <w:sz w:val="18"/>
              </w:rPr>
              <w:t>¥122億</w:t>
            </w:r>
          </w:p>
        </w:tc>
        <w:tc>
          <w:tcPr>
            <w:tcW w:type="dxa" w:w="2351"/>
            <w:shd w:val="clear" w:color="auto" w:fill="DDEBF7"/>
          </w:tcPr>
          <w:p>
            <w:r>
              <w:rPr>
                <w:rFonts w:ascii="Meiryo UI" w:hAnsi="Meiryo UI"/>
                <w:sz w:val="18"/>
              </w:rPr>
              <w:t>¥138億</w:t>
            </w:r>
          </w:p>
        </w:tc>
        <w:tc>
          <w:tcPr>
            <w:tcW w:type="dxa" w:w="2351"/>
            <w:shd w:val="clear" w:color="auto" w:fill="DDEBF7"/>
          </w:tcPr>
          <w:p>
            <w:r>
              <w:rPr>
                <w:rFonts w:ascii="Meiryo UI" w:hAnsi="Meiryo UI"/>
                <w:sz w:val="18"/>
              </w:rPr>
              <w:t>+12.6%</w:t>
            </w:r>
          </w:p>
        </w:tc>
      </w:tr>
      <w:tr>
        <w:tc>
          <w:tcPr>
            <w:tcW w:type="dxa" w:w="2351"/>
          </w:tcPr>
          <w:p>
            <w:r>
              <w:rPr>
                <w:rFonts w:ascii="Meiryo UI" w:hAnsi="Meiryo UI"/>
                <w:sz w:val="18"/>
              </w:rPr>
              <w:t>当期純利益</w:t>
            </w:r>
          </w:p>
        </w:tc>
        <w:tc>
          <w:tcPr>
            <w:tcW w:type="dxa" w:w="2351"/>
          </w:tcPr>
          <w:p>
            <w:r>
              <w:rPr>
                <w:rFonts w:ascii="Meiryo UI" w:hAnsi="Meiryo UI"/>
                <w:sz w:val="18"/>
              </w:rPr>
              <w:t>¥85億</w:t>
            </w:r>
          </w:p>
        </w:tc>
        <w:tc>
          <w:tcPr>
            <w:tcW w:type="dxa" w:w="2351"/>
          </w:tcPr>
          <w:p>
            <w:r>
              <w:rPr>
                <w:rFonts w:ascii="Meiryo UI" w:hAnsi="Meiryo UI"/>
                <w:sz w:val="18"/>
              </w:rPr>
              <w:t>¥95億</w:t>
            </w:r>
          </w:p>
        </w:tc>
        <w:tc>
          <w:tcPr>
            <w:tcW w:type="dxa" w:w="2351"/>
          </w:tcPr>
          <w:p>
            <w:r>
              <w:rPr>
                <w:rFonts w:ascii="Meiryo UI" w:hAnsi="Meiryo UI"/>
                <w:sz w:val="18"/>
              </w:rPr>
              <w:t>+12.4%</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¥120</w:t>
            </w:r>
          </w:p>
        </w:tc>
        <w:tc>
          <w:tcPr>
            <w:tcW w:type="dxa" w:w="2351"/>
            <w:shd w:val="clear" w:color="auto" w:fill="DDEBF7"/>
          </w:tcPr>
          <w:p>
            <w:r>
              <w:rPr>
                <w:rFonts w:ascii="Meiryo UI" w:hAnsi="Meiryo UI"/>
                <w:sz w:val="18"/>
              </w:rPr>
              <w:t>¥151</w:t>
            </w:r>
          </w:p>
        </w:tc>
        <w:tc>
          <w:tcPr>
            <w:tcW w:type="dxa" w:w="2351"/>
            <w:shd w:val="clear" w:color="auto" w:fill="DDEBF7"/>
          </w:tcPr>
          <w:p>
            <w:r>
              <w:rPr>
                <w:rFonts w:ascii="Meiryo UI" w:hAnsi="Meiryo UI"/>
                <w:sz w:val="18"/>
              </w:rPr>
              <w:t>+25.7%</w:t>
            </w:r>
          </w:p>
        </w:tc>
      </w:tr>
      <w:tr>
        <w:tc>
          <w:tcPr>
            <w:tcW w:type="dxa" w:w="2351"/>
          </w:tcPr>
          <w:p>
            <w:r>
              <w:rPr>
                <w:rFonts w:ascii="Meiryo UI" w:hAnsi="Meiryo UI"/>
                <w:sz w:val="18"/>
              </w:rPr>
              <w:t>DPS</w:t>
            </w:r>
          </w:p>
        </w:tc>
        <w:tc>
          <w:tcPr>
            <w:tcW w:type="dxa" w:w="2351"/>
          </w:tcPr>
          <w:p>
            <w:r>
              <w:rPr>
                <w:rFonts w:ascii="Meiryo UI" w:hAnsi="Meiryo UI"/>
                <w:sz w:val="18"/>
              </w:rPr>
              <w:t>¥64</w:t>
            </w:r>
          </w:p>
        </w:tc>
        <w:tc>
          <w:tcPr>
            <w:tcW w:type="dxa" w:w="2351"/>
          </w:tcPr>
          <w:p>
            <w:r>
              <w:rPr>
                <w:rFonts w:ascii="Meiryo UI" w:hAnsi="Meiryo UI"/>
                <w:sz w:val="18"/>
              </w:rPr>
              <w:t>¥78</w:t>
            </w:r>
          </w:p>
        </w:tc>
        <w:tc>
          <w:tcPr>
            <w:tcW w:type="dxa" w:w="2351"/>
          </w:tcPr>
          <w:p>
            <w:r>
              <w:rPr>
                <w:rFonts w:ascii="Meiryo UI" w:hAnsi="Meiryo UI"/>
                <w:sz w:val="18"/>
              </w:rPr>
              <w:t>+¥14</w:t>
            </w:r>
          </w:p>
        </w:tc>
      </w:tr>
    </w:tbl>
    <w:p/>
    <w:p>
      <w:r>
        <w:t>──────────────────────────────────────────────────</w:t>
      </w:r>
    </w:p>
    <w:p/>
    <w:p>
      <w:pPr>
        <w:pStyle w:val="Heading2"/>
      </w:pPr>
      <w:r>
        <w:rPr>
          <w:rFonts w:ascii="Meiryo UI" w:hAnsi="Meiryo UI"/>
          <w:color w:val="2E74B5"/>
        </w:rPr>
        <w:t>■ 3. FY2026通期予想・ガイダンス考察</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会社ガイダンス</w:t>
            </w:r>
          </w:p>
        </w:tc>
        <w:tc>
          <w:tcPr>
            <w:tcW w:type="dxa" w:w="2351"/>
            <w:shd w:val="clear" w:color="auto" w:fill="2E74B5"/>
          </w:tcPr>
          <w:p>
            <w:r>
              <w:rPr>
                <w:rFonts w:ascii="Meiryo UI" w:hAnsi="Meiryo UI"/>
                <w:b/>
                <w:color w:val="FFFFFF"/>
                <w:sz w:val="18"/>
              </w:rPr>
              <w:t>深井推定</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経常利益</w:t>
            </w:r>
          </w:p>
        </w:tc>
        <w:tc>
          <w:tcPr>
            <w:tcW w:type="dxa" w:w="2351"/>
          </w:tcPr>
          <w:p>
            <w:r>
              <w:rPr>
                <w:rFonts w:ascii="Meiryo UI" w:hAnsi="Meiryo UI"/>
                <w:sz w:val="18"/>
              </w:rPr>
              <w:t>¥157億</w:t>
            </w:r>
          </w:p>
        </w:tc>
        <w:tc>
          <w:tcPr>
            <w:tcW w:type="dxa" w:w="2351"/>
          </w:tcPr>
          <w:p>
            <w:r>
              <w:rPr>
                <w:rFonts w:ascii="Meiryo UI" w:hAnsi="Meiryo UI"/>
                <w:sz w:val="18"/>
              </w:rPr>
              <w:t>¥175-190億</w:t>
            </w:r>
          </w:p>
        </w:tc>
        <w:tc>
          <w:tcPr>
            <w:tcW w:type="dxa" w:w="2351"/>
          </w:tcPr>
          <w:p>
            <w:r>
              <w:rPr>
                <w:rFonts w:ascii="Meiryo UI" w:hAnsi="Meiryo UI"/>
                <w:sz w:val="18"/>
              </w:rPr>
              <w:t>Q1-Q3累計¥139億 + Q4繁忙期¥40-50億</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≈¥115億</w:t>
            </w:r>
          </w:p>
        </w:tc>
        <w:tc>
          <w:tcPr>
            <w:tcW w:type="dxa" w:w="2351"/>
            <w:shd w:val="clear" w:color="auto" w:fill="DDEBF7"/>
          </w:tcPr>
          <w:p>
            <w:r>
              <w:rPr>
                <w:rFonts w:ascii="Meiryo UI" w:hAnsi="Meiryo UI"/>
                <w:sz w:val="18"/>
              </w:rPr>
              <w:t>¥125-135億</w:t>
            </w:r>
          </w:p>
        </w:tc>
        <w:tc>
          <w:tcPr>
            <w:tcW w:type="dxa" w:w="2351"/>
            <w:shd w:val="clear" w:color="auto" w:fill="DDEBF7"/>
          </w:tcPr>
          <w:p>
            <w:r>
              <w:rPr>
                <w:rFonts w:ascii="Meiryo UI" w:hAnsi="Meiryo UI"/>
                <w:sz w:val="18"/>
              </w:rPr>
              <w:t>実効税率約25%・少数株主適用</w:t>
            </w:r>
          </w:p>
        </w:tc>
      </w:tr>
      <w:tr>
        <w:tc>
          <w:tcPr>
            <w:tcW w:type="dxa" w:w="2351"/>
          </w:tcPr>
          <w:p>
            <w:r>
              <w:rPr>
                <w:rFonts w:ascii="Meiryo UI" w:hAnsi="Meiryo UI"/>
                <w:sz w:val="18"/>
              </w:rPr>
              <w:t>EPS</w:t>
            </w:r>
          </w:p>
        </w:tc>
        <w:tc>
          <w:tcPr>
            <w:tcW w:type="dxa" w:w="2351"/>
          </w:tcPr>
          <w:p>
            <w:r>
              <w:rPr>
                <w:rFonts w:ascii="Meiryo UI" w:hAnsi="Meiryo UI"/>
                <w:sz w:val="18"/>
              </w:rPr>
              <w:t>≈¥147</w:t>
            </w:r>
          </w:p>
        </w:tc>
        <w:tc>
          <w:tcPr>
            <w:tcW w:type="dxa" w:w="2351"/>
          </w:tcPr>
          <w:p>
            <w:r>
              <w:rPr>
                <w:rFonts w:ascii="Meiryo UI" w:hAnsi="Meiryo UI"/>
                <w:sz w:val="18"/>
              </w:rPr>
              <w:t>¥160-173</w:t>
            </w:r>
          </w:p>
        </w:tc>
        <w:tc>
          <w:tcPr>
            <w:tcW w:type="dxa" w:w="2351"/>
          </w:tcPr>
          <w:p>
            <w:r>
              <w:rPr>
                <w:rFonts w:ascii="Meiryo UI" w:hAnsi="Meiryo UI"/>
                <w:sz w:val="18"/>
              </w:rPr>
              <w:t>純利益÷78.24M株</w:t>
            </w:r>
          </w:p>
        </w:tc>
      </w:tr>
      <w:tr>
        <w:tc>
          <w:tcPr>
            <w:tcW w:type="dxa" w:w="2351"/>
            <w:shd w:val="clear" w:color="auto" w:fill="DDEBF7"/>
          </w:tcPr>
          <w:p>
            <w:r>
              <w:rPr>
                <w:rFonts w:ascii="Meiryo UI" w:hAnsi="Meiryo UI"/>
                <w:sz w:val="18"/>
              </w:rPr>
              <w:t>DPS</w:t>
            </w:r>
          </w:p>
        </w:tc>
        <w:tc>
          <w:tcPr>
            <w:tcW w:type="dxa" w:w="2351"/>
            <w:shd w:val="clear" w:color="auto" w:fill="DDEBF7"/>
          </w:tcPr>
          <w:p>
            <w:r>
              <w:rPr>
                <w:rFonts w:ascii="Meiryo UI" w:hAnsi="Meiryo UI"/>
                <w:sz w:val="18"/>
              </w:rPr>
              <w:t>≈¥90</w:t>
            </w:r>
          </w:p>
        </w:tc>
        <w:tc>
          <w:tcPr>
            <w:tcW w:type="dxa" w:w="2351"/>
            <w:shd w:val="clear" w:color="auto" w:fill="DDEBF7"/>
          </w:tcPr>
          <w:p>
            <w:r>
              <w:rPr>
                <w:rFonts w:ascii="Meiryo UI" w:hAnsi="Meiryo UI"/>
                <w:sz w:val="18"/>
              </w:rPr>
              <w:t>¥90-100</w:t>
            </w:r>
          </w:p>
        </w:tc>
        <w:tc>
          <w:tcPr>
            <w:tcW w:type="dxa" w:w="2351"/>
            <w:shd w:val="clear" w:color="auto" w:fill="DDEBF7"/>
          </w:tcPr>
          <w:p>
            <w:r>
              <w:rPr>
                <w:rFonts w:ascii="Meiryo UI" w:hAnsi="Meiryo UI"/>
                <w:sz w:val="18"/>
              </w:rPr>
              <w:t>還元方針継続</w:t>
            </w:r>
          </w:p>
        </w:tc>
      </w:tr>
    </w:tbl>
    <w:p/>
    <w:p>
      <w:r>
        <w:rPr>
          <w:rFonts w:ascii="Meiryo UI" w:hAnsi="Meiryo UI"/>
          <w:sz w:val="20"/>
        </w:rPr>
        <w:t>上振れの根拠:</w:t>
      </w:r>
    </w:p>
    <w:p>
      <w:pPr>
        <w:pStyle w:val="ListBullet"/>
      </w:pPr>
      <w:r>
        <w:rPr>
          <w:rFonts w:ascii="Meiryo UI" w:hAnsi="Meiryo UI"/>
          <w:sz w:val="20"/>
        </w:rPr>
        <w:t>会社ガイダンス¥157億は Q1-Q3進捗率88.5%（Q4残¥18億で達成可能）</w:t>
      </w:r>
    </w:p>
    <w:p>
      <w:pPr>
        <w:pStyle w:val="ListBullet"/>
      </w:pPr>
      <w:r>
        <w:rPr>
          <w:rFonts w:ascii="Meiryo UI" w:hAnsi="Meiryo UI"/>
          <w:sz w:val="20"/>
        </w:rPr>
        <w:t>Q4（1-3月）は日本不動産の繁忙期→ 通常Q1-Q3の30-40%相当が加算</w:t>
      </w:r>
    </w:p>
    <w:p>
      <w:pPr>
        <w:pStyle w:val="ListBullet"/>
      </w:pPr>
      <w:r>
        <w:rPr>
          <w:rFonts w:ascii="Meiryo UI" w:hAnsi="Meiryo UI"/>
          <w:sz w:val="20"/>
        </w:rPr>
        <w:t>実際Q3累計¥139億時点でガイダンス¥157億への到達は「所与」</w:t>
      </w:r>
    </w:p>
    <w:p>
      <w:pPr>
        <w:pStyle w:val="ListBullet"/>
      </w:pPr>
      <w:r>
        <w:rPr>
          <w:rFonts w:ascii="Meiryo UI" w:hAnsi="Meiryo UI"/>
          <w:sz w:val="20"/>
        </w:rPr>
        <w:t>実質の上振れ確度: ◎高い</w:t>
      </w:r>
    </w:p>
    <w:p/>
    <w:p>
      <w:r>
        <w:t>──────────────────────────────────────────────────</w:t>
      </w:r>
    </w:p>
    <w:p/>
    <w:p>
      <w:pPr>
        <w:pStyle w:val="Heading2"/>
      </w:pPr>
      <w:r>
        <w:rPr>
          <w:rFonts w:ascii="Meiryo UI" w:hAnsi="Meiryo UI"/>
          <w:color w:val="2E74B5"/>
        </w:rPr>
        <w:t>■ 4. ホルムズ×カチタス：独自の受益構造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新築ビルダー</w:t>
            </w:r>
          </w:p>
        </w:tc>
        <w:tc>
          <w:tcPr>
            <w:tcW w:type="dxa" w:w="3135"/>
            <w:shd w:val="clear" w:color="auto" w:fill="2E74B5"/>
          </w:tcPr>
          <w:p>
            <w:r>
              <w:rPr>
                <w:rFonts w:ascii="Meiryo UI" w:hAnsi="Meiryo UI"/>
                <w:b/>
                <w:color w:val="FFFFFF"/>
                <w:sz w:val="18"/>
              </w:rPr>
              <w:t>カチタス</w:t>
            </w:r>
          </w:p>
        </w:tc>
      </w:tr>
      <w:tr>
        <w:tc>
          <w:tcPr>
            <w:tcW w:type="dxa" w:w="3135"/>
          </w:tcPr>
          <w:p>
            <w:r>
              <w:rPr>
                <w:rFonts w:ascii="Meiryo UI" w:hAnsi="Meiryo UI"/>
                <w:sz w:val="18"/>
              </w:rPr>
              <w:t>ホルムズ封鎖継続（現状）</w:t>
            </w:r>
          </w:p>
        </w:tc>
        <w:tc>
          <w:tcPr>
            <w:tcW w:type="dxa" w:w="3135"/>
          </w:tcPr>
          <w:p>
            <w:r>
              <w:rPr>
                <w:rFonts w:ascii="Meiryo UI" w:hAnsi="Meiryo UI"/>
                <w:sz w:val="18"/>
              </w:rPr>
              <w:t>✗ TOTO供給停止→着工遅延</w:t>
            </w:r>
          </w:p>
        </w:tc>
        <w:tc>
          <w:tcPr>
            <w:tcW w:type="dxa" w:w="3135"/>
          </w:tcPr>
          <w:p>
            <w:r>
              <w:rPr>
                <w:rFonts w:ascii="Meiryo UI" w:hAnsi="Meiryo UI"/>
                <w:sz w:val="18"/>
              </w:rPr>
              <w:t>✅ 影響なし（TOTO実績ゼロ確認済み：4/15 IRで開示）</w:t>
            </w:r>
          </w:p>
        </w:tc>
      </w:tr>
      <w:tr>
        <w:tc>
          <w:tcPr>
            <w:tcW w:type="dxa" w:w="3135"/>
            <w:shd w:val="clear" w:color="auto" w:fill="DDEBF7"/>
          </w:tcPr>
          <w:p>
            <w:r>
              <w:rPr>
                <w:rFonts w:ascii="Meiryo UI" w:hAnsi="Meiryo UI"/>
                <w:sz w:val="18"/>
              </w:rPr>
              <w:t>新築コスト高騰</w:t>
            </w:r>
          </w:p>
        </w:tc>
        <w:tc>
          <w:tcPr>
            <w:tcW w:type="dxa" w:w="3135"/>
            <w:shd w:val="clear" w:color="auto" w:fill="DDEBF7"/>
          </w:tcPr>
          <w:p>
            <w:r>
              <w:rPr>
                <w:rFonts w:ascii="Meiryo UI" w:hAnsi="Meiryo UI"/>
                <w:sz w:val="18"/>
              </w:rPr>
              <w:t>✗ 建材費上昇→値上げ→販売鈍化</w:t>
            </w:r>
          </w:p>
        </w:tc>
        <w:tc>
          <w:tcPr>
            <w:tcW w:type="dxa" w:w="3135"/>
            <w:shd w:val="clear" w:color="auto" w:fill="DDEBF7"/>
          </w:tcPr>
          <w:p>
            <w:r>
              <w:rPr>
                <w:rFonts w:ascii="Meiryo UI" w:hAnsi="Meiryo UI"/>
                <w:sz w:val="18"/>
              </w:rPr>
              <w:t>✅ 「新築の半額」のアドバンテージが拡大</w:t>
            </w:r>
          </w:p>
        </w:tc>
      </w:tr>
      <w:tr>
        <w:tc>
          <w:tcPr>
            <w:tcW w:type="dxa" w:w="3135"/>
          </w:tcPr>
          <w:p>
            <w:r>
              <w:rPr>
                <w:rFonts w:ascii="Meiryo UI" w:hAnsi="Meiryo UI"/>
                <w:sz w:val="18"/>
              </w:rPr>
              <w:t>空き家問題加速</w:t>
            </w:r>
          </w:p>
        </w:tc>
        <w:tc>
          <w:tcPr>
            <w:tcW w:type="dxa" w:w="3135"/>
          </w:tcPr>
          <w:p>
            <w:r>
              <w:rPr>
                <w:rFonts w:ascii="Meiryo UI" w:hAnsi="Meiryo UI"/>
                <w:sz w:val="18"/>
              </w:rPr>
              <w:t>✗ 関係薄</w:t>
            </w:r>
          </w:p>
        </w:tc>
        <w:tc>
          <w:tcPr>
            <w:tcW w:type="dxa" w:w="3135"/>
          </w:tcPr>
          <w:p>
            <w:r>
              <w:rPr>
                <w:rFonts w:ascii="Meiryo UI" w:hAnsi="Meiryo UI"/>
                <w:sz w:val="18"/>
              </w:rPr>
              <w:t>✅ 仕入れ物件増加・価格低下→粗利改善</w:t>
            </w:r>
          </w:p>
        </w:tc>
      </w:tr>
      <w:tr>
        <w:tc>
          <w:tcPr>
            <w:tcW w:type="dxa" w:w="3135"/>
            <w:shd w:val="clear" w:color="auto" w:fill="DDEBF7"/>
          </w:tcPr>
          <w:p>
            <w:r>
              <w:rPr>
                <w:rFonts w:ascii="Meiryo UI" w:hAnsi="Meiryo UI"/>
                <w:sz w:val="18"/>
              </w:rPr>
              <w:t>中古市場へのシフト需要</w:t>
            </w:r>
          </w:p>
        </w:tc>
        <w:tc>
          <w:tcPr>
            <w:tcW w:type="dxa" w:w="3135"/>
            <w:shd w:val="clear" w:color="auto" w:fill="DDEBF7"/>
          </w:tcPr>
          <w:p>
            <w:r>
              <w:rPr>
                <w:rFonts w:ascii="Meiryo UI" w:hAnsi="Meiryo UI"/>
                <w:sz w:val="18"/>
              </w:rPr>
              <w:t>✗ 対応困難</w:t>
            </w:r>
          </w:p>
        </w:tc>
        <w:tc>
          <w:tcPr>
            <w:tcW w:type="dxa" w:w="3135"/>
            <w:shd w:val="clear" w:color="auto" w:fill="DDEBF7"/>
          </w:tcPr>
          <w:p>
            <w:r>
              <w:rPr>
                <w:rFonts w:ascii="Meiryo UI" w:hAnsi="Meiryo UI"/>
                <w:sz w:val="18"/>
              </w:rPr>
              <w:t>✅ 唯一の全国大量販売プレイヤー</w:t>
            </w:r>
          </w:p>
        </w:tc>
      </w:tr>
    </w:tbl>
    <w:p/>
    <w:p>
      <w:r>
        <w:rPr>
          <w:rFonts w:ascii="Meiryo UI" w:hAnsi="Meiryo UI"/>
          <w:sz w:val="20"/>
        </w:rPr>
        <w:t>北米投資家のコメント（みずほ橋本AN 4/20）: 「国内事業比率が高い企業を選好」「カチタスへの関心が高かった」 → 海外機関の注目確認</w:t>
      </w:r>
    </w:p>
    <w:p/>
    <w:p>
      <w:r>
        <w:t>──────────────────────────────────────────────────</w:t>
      </w:r>
    </w:p>
    <w:p/>
    <w:p>
      <w:pPr>
        <w:pStyle w:val="Heading2"/>
      </w:pPr>
      <w:r>
        <w:rPr>
          <w:rFonts w:ascii="Meiryo UI" w:hAnsi="Meiryo UI"/>
          <w:color w:val="2E74B5"/>
        </w:rPr>
        <w:t>■ 5. フェアバリュー算定（TP ¥4,000）</w:t>
      </w:r>
    </w:p>
    <w:p/>
    <w:p>
      <w:pPr>
        <w:pStyle w:val="Heading3"/>
      </w:pPr>
      <w:r>
        <w:rPr>
          <w:rFonts w:ascii="Meiryo UI" w:hAnsi="Meiryo UI"/>
          <w:color w:val="2E74B5"/>
        </w:rPr>
        <w:t>手法① PER法（FY2027E EPS基準）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FY2026E EPS</w:t>
            </w:r>
          </w:p>
        </w:tc>
        <w:tc>
          <w:tcPr>
            <w:tcW w:type="dxa" w:w="3135"/>
          </w:tcPr>
          <w:p>
            <w:r>
              <w:rPr>
                <w:rFonts w:ascii="Meiryo UI" w:hAnsi="Meiryo UI"/>
                <w:sz w:val="18"/>
              </w:rPr>
              <w:t>¥171</w:t>
            </w:r>
          </w:p>
        </w:tc>
        <w:tc>
          <w:tcPr>
            <w:tcW w:type="dxa" w:w="3135"/>
          </w:tcPr>
          <w:p>
            <w:r>
              <w:rPr>
                <w:rFonts w:ascii="Meiryo UI" w:hAnsi="Meiryo UI"/>
                <w:sz w:val="18"/>
              </w:rPr>
              <w:t>Forward P/E 18.29x逆算（コンセンサス）</w:t>
            </w:r>
          </w:p>
        </w:tc>
      </w:tr>
      <w:tr>
        <w:tc>
          <w:tcPr>
            <w:tcW w:type="dxa" w:w="3135"/>
            <w:shd w:val="clear" w:color="auto" w:fill="DDEBF7"/>
          </w:tcPr>
          <w:p>
            <w:r>
              <w:rPr>
                <w:rFonts w:ascii="Meiryo UI" w:hAnsi="Meiryo UI"/>
                <w:sz w:val="18"/>
              </w:rPr>
              <w:t>深井FY2026E EPS（上振れ）</w:t>
            </w:r>
          </w:p>
        </w:tc>
        <w:tc>
          <w:tcPr>
            <w:tcW w:type="dxa" w:w="3135"/>
            <w:shd w:val="clear" w:color="auto" w:fill="DDEBF7"/>
          </w:tcPr>
          <w:p>
            <w:r>
              <w:rPr>
                <w:rFonts w:ascii="Meiryo UI" w:hAnsi="Meiryo UI"/>
                <w:sz w:val="18"/>
              </w:rPr>
              <w:t>¥165</w:t>
            </w:r>
          </w:p>
        </w:tc>
        <w:tc>
          <w:tcPr>
            <w:tcW w:type="dxa" w:w="3135"/>
            <w:shd w:val="clear" w:color="auto" w:fill="DDEBF7"/>
          </w:tcPr>
          <w:p>
            <w:r>
              <w:rPr>
                <w:rFonts w:ascii="Meiryo UI" w:hAnsi="Meiryo UI"/>
                <w:sz w:val="18"/>
              </w:rPr>
              <w:t>純利益¥129億÷78.24M（保守的採用）</w:t>
            </w:r>
          </w:p>
        </w:tc>
      </w:tr>
      <w:tr>
        <w:tc>
          <w:tcPr>
            <w:tcW w:type="dxa" w:w="3135"/>
          </w:tcPr>
          <w:p>
            <w:r>
              <w:rPr>
                <w:rFonts w:ascii="Meiryo UI" w:hAnsi="Meiryo UI"/>
                <w:sz w:val="18"/>
              </w:rPr>
              <w:t>FY2027E EPS</w:t>
            </w:r>
          </w:p>
        </w:tc>
        <w:tc>
          <w:tcPr>
            <w:tcW w:type="dxa" w:w="3135"/>
          </w:tcPr>
          <w:p>
            <w:r>
              <w:rPr>
                <w:rFonts w:ascii="Meiryo UI" w:hAnsi="Meiryo UI"/>
                <w:sz w:val="18"/>
              </w:rPr>
              <w:t>¥200</w:t>
            </w:r>
          </w:p>
        </w:tc>
        <w:tc>
          <w:tcPr>
            <w:tcW w:type="dxa" w:w="3135"/>
          </w:tcPr>
          <w:p>
            <w:r>
              <w:rPr>
                <w:rFonts w:ascii="Meiryo UI" w:hAnsi="Meiryo UI"/>
                <w:sz w:val="18"/>
              </w:rPr>
              <w:t>中期計画 年間1万件×粗利率26%×OP改善 → OP¥200億を先取り。NP÷78.24M</w:t>
            </w:r>
          </w:p>
        </w:tc>
      </w:tr>
      <w:tr>
        <w:tc>
          <w:tcPr>
            <w:tcW w:type="dxa" w:w="3135"/>
            <w:shd w:val="clear" w:color="auto" w:fill="DDEBF7"/>
          </w:tcPr>
          <w:p>
            <w:r>
              <w:rPr>
                <w:rFonts w:ascii="Meiryo UI" w:hAnsi="Meiryo UI"/>
                <w:sz w:val="18"/>
              </w:rPr>
              <w:t>Target P/E</w:t>
            </w:r>
          </w:p>
        </w:tc>
        <w:tc>
          <w:tcPr>
            <w:tcW w:type="dxa" w:w="3135"/>
            <w:shd w:val="clear" w:color="auto" w:fill="DDEBF7"/>
          </w:tcPr>
          <w:p>
            <w:r>
              <w:rPr>
                <w:rFonts w:ascii="Meiryo UI" w:hAnsi="Meiryo UI"/>
                <w:sz w:val="18"/>
              </w:rPr>
              <w:t>20x</w:t>
            </w:r>
          </w:p>
        </w:tc>
        <w:tc>
          <w:tcPr>
            <w:tcW w:type="dxa" w:w="3135"/>
            <w:shd w:val="clear" w:color="auto" w:fill="DDEBF7"/>
          </w:tcPr>
          <w:p>
            <w:r>
              <w:rPr>
                <w:rFonts w:ascii="Meiryo UI" w:hAnsi="Meiryo UI"/>
                <w:sz w:val="18"/>
              </w:rPr>
              <w:t>ROE25%成長企業・市場No.1・Beta0.65。PEG ratio ≈ 1.0（成長率20% → P/E 20x）</w:t>
            </w:r>
          </w:p>
        </w:tc>
      </w:tr>
      <w:tr>
        <w:tc>
          <w:tcPr>
            <w:tcW w:type="dxa" w:w="3135"/>
          </w:tcPr>
          <w:p>
            <w:r>
              <w:rPr>
                <w:rFonts w:ascii="Meiryo UI" w:hAnsi="Meiryo UI"/>
                <w:sz w:val="18"/>
              </w:rPr>
              <w:t>TP（FY2027E基準）</w:t>
            </w:r>
          </w:p>
        </w:tc>
        <w:tc>
          <w:tcPr>
            <w:tcW w:type="dxa" w:w="3135"/>
          </w:tcPr>
          <w:p>
            <w:r>
              <w:rPr>
                <w:rFonts w:ascii="Meiryo UI" w:hAnsi="Meiryo UI"/>
                <w:sz w:val="18"/>
              </w:rPr>
              <w:t>¥4,000</w:t>
            </w:r>
          </w:p>
        </w:tc>
        <w:tc>
          <w:tcPr>
            <w:tcW w:type="dxa" w:w="3135"/>
          </w:tcPr>
          <w:p>
            <w:r>
              <w:rPr>
                <w:rFonts w:ascii="Meiryo UI" w:hAnsi="Meiryo UI"/>
                <w:sz w:val="18"/>
              </w:rPr>
              <w:t>¥200 × 20x</w:t>
            </w:r>
          </w:p>
        </w:tc>
      </w:tr>
    </w:tbl>
    <w:p/>
    <w:p>
      <w:pPr>
        <w:pStyle w:val="Heading3"/>
      </w:pPr>
      <w:r>
        <w:rPr>
          <w:rFonts w:ascii="Meiryo UI" w:hAnsi="Meiryo UI"/>
          <w:color w:val="2E74B5"/>
        </w:rPr>
        <w:t>手法② WACC・DCFサポート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Rf</w:t>
            </w:r>
          </w:p>
        </w:tc>
        <w:tc>
          <w:tcPr>
            <w:tcW w:type="dxa" w:w="3135"/>
          </w:tcPr>
          <w:p>
            <w:r>
              <w:rPr>
                <w:rFonts w:ascii="Meiryo UI" w:hAnsi="Meiryo UI"/>
                <w:sz w:val="18"/>
              </w:rPr>
              <w:t>2.380%</w:t>
            </w:r>
          </w:p>
        </w:tc>
        <w:tc>
          <w:tcPr>
            <w:tcW w:type="dxa" w:w="3135"/>
          </w:tcPr>
          <w:p>
            <w:r>
              <w:rPr>
                <w:rFonts w:ascii="Meiryo UI" w:hAnsi="Meiryo UI"/>
                <w:sz w:val="18"/>
              </w:rPr>
              <w:t>財務省CSV固定値</w:t>
            </w:r>
          </w:p>
        </w:tc>
      </w:tr>
      <w:tr>
        <w:tc>
          <w:tcPr>
            <w:tcW w:type="dxa" w:w="3135"/>
            <w:shd w:val="clear" w:color="auto" w:fill="DDEBF7"/>
          </w:tcPr>
          <w:p>
            <w:r>
              <w:rPr>
                <w:rFonts w:ascii="Meiryo UI" w:hAnsi="Meiryo UI"/>
                <w:sz w:val="18"/>
              </w:rPr>
              <w:t>β</w:t>
            </w:r>
          </w:p>
        </w:tc>
        <w:tc>
          <w:tcPr>
            <w:tcW w:type="dxa" w:w="3135"/>
            <w:shd w:val="clear" w:color="auto" w:fill="DDEBF7"/>
          </w:tcPr>
          <w:p>
            <w:r>
              <w:rPr>
                <w:rFonts w:ascii="Meiryo UI" w:hAnsi="Meiryo UI"/>
                <w:sz w:val="18"/>
              </w:rPr>
              <w:t>0.65</w:t>
            </w:r>
          </w:p>
        </w:tc>
        <w:tc>
          <w:tcPr>
            <w:tcW w:type="dxa" w:w="3135"/>
            <w:shd w:val="clear" w:color="auto" w:fill="DDEBF7"/>
          </w:tcPr>
          <w:p>
            <w:r>
              <w:rPr>
                <w:rFonts w:ascii="Meiryo UI" w:hAnsi="Meiryo UI"/>
                <w:sz w:val="18"/>
              </w:rPr>
              <w:t>yfinance実測値</w:t>
            </w:r>
          </w:p>
        </w:tc>
      </w:tr>
      <w:tr>
        <w:tc>
          <w:tcPr>
            <w:tcW w:type="dxa" w:w="3135"/>
          </w:tcPr>
          <w:p>
            <w:r>
              <w:rPr>
                <w:rFonts w:ascii="Meiryo UI" w:hAnsi="Meiryo UI"/>
                <w:sz w:val="18"/>
              </w:rPr>
              <w:t>ERP</w:t>
            </w:r>
          </w:p>
        </w:tc>
        <w:tc>
          <w:tcPr>
            <w:tcW w:type="dxa" w:w="3135"/>
          </w:tcPr>
          <w:p>
            <w:r>
              <w:rPr>
                <w:rFonts w:ascii="Meiryo UI" w:hAnsi="Meiryo UI"/>
                <w:sz w:val="18"/>
              </w:rPr>
              <w:t>5.50%</w:t>
            </w:r>
          </w:p>
        </w:tc>
        <w:tc>
          <w:tcPr>
            <w:tcW w:type="dxa" w:w="3135"/>
          </w:tcPr>
          <w:p>
            <w:r>
              <w:rPr>
                <w:rFonts w:ascii="Meiryo UI" w:hAnsi="Meiryo UI"/>
                <w:sz w:val="18"/>
              </w:rPr>
              <w:t>恒久設定</w:t>
            </w:r>
          </w:p>
        </w:tc>
      </w:tr>
      <w:tr>
        <w:tc>
          <w:tcPr>
            <w:tcW w:type="dxa" w:w="3135"/>
            <w:shd w:val="clear" w:color="auto" w:fill="DDEBF7"/>
          </w:tcPr>
          <w:p>
            <w:r>
              <w:rPr>
                <w:rFonts w:ascii="Meiryo UI" w:hAnsi="Meiryo UI"/>
                <w:sz w:val="18"/>
              </w:rPr>
              <w:t>サイズプレミアム</w:t>
            </w:r>
          </w:p>
        </w:tc>
        <w:tc>
          <w:tcPr>
            <w:tcW w:type="dxa" w:w="3135"/>
            <w:shd w:val="clear" w:color="auto" w:fill="DDEBF7"/>
          </w:tcPr>
          <w:p>
            <w:r>
              <w:rPr>
                <w:rFonts w:ascii="Meiryo UI" w:hAnsi="Meiryo UI"/>
                <w:sz w:val="18"/>
              </w:rPr>
              <w:t>2.5%</w:t>
            </w:r>
          </w:p>
        </w:tc>
        <w:tc>
          <w:tcPr>
            <w:tcW w:type="dxa" w:w="3135"/>
            <w:shd w:val="clear" w:color="auto" w:fill="DDEBF7"/>
          </w:tcPr>
          <w:p>
            <w:r>
              <w:rPr>
                <w:rFonts w:ascii="Meiryo UI" w:hAnsi="Meiryo UI"/>
                <w:sz w:val="18"/>
              </w:rPr>
              <w:t>時価総額¥2,453億（中型株）</w:t>
            </w:r>
          </w:p>
        </w:tc>
      </w:tr>
      <w:tr>
        <w:tc>
          <w:tcPr>
            <w:tcW w:type="dxa" w:w="3135"/>
          </w:tcPr>
          <w:p>
            <w:r>
              <w:rPr>
                <w:rFonts w:ascii="Meiryo UI" w:hAnsi="Meiryo UI"/>
                <w:sz w:val="18"/>
              </w:rPr>
              <w:t>Cost of Equity</w:t>
            </w:r>
          </w:p>
        </w:tc>
        <w:tc>
          <w:tcPr>
            <w:tcW w:type="dxa" w:w="3135"/>
          </w:tcPr>
          <w:p>
            <w:r>
              <w:rPr>
                <w:rFonts w:ascii="Meiryo UI" w:hAnsi="Meiryo UI"/>
                <w:sz w:val="18"/>
              </w:rPr>
              <w:t>8.455%</w:t>
            </w:r>
          </w:p>
        </w:tc>
        <w:tc>
          <w:tcPr>
            <w:tcW w:type="dxa" w:w="3135"/>
          </w:tcPr>
          <w:p>
            <w:r>
              <w:rPr>
                <w:rFonts w:ascii="Meiryo UI" w:hAnsi="Meiryo UI"/>
                <w:sz w:val="18"/>
              </w:rPr>
              <w:t>2.38% + 0.65×5.5% + 2.5%</w:t>
            </w:r>
          </w:p>
        </w:tc>
      </w:tr>
      <w:tr>
        <w:tc>
          <w:tcPr>
            <w:tcW w:type="dxa" w:w="3135"/>
            <w:shd w:val="clear" w:color="auto" w:fill="DDEBF7"/>
          </w:tcPr>
          <w:p>
            <w:r>
              <w:rPr>
                <w:rFonts w:ascii="Meiryo UI" w:hAnsi="Meiryo UI"/>
                <w:sz w:val="18"/>
              </w:rPr>
              <w:t>WACC（低負債想定）</w:t>
            </w:r>
          </w:p>
        </w:tc>
        <w:tc>
          <w:tcPr>
            <w:tcW w:type="dxa" w:w="3135"/>
            <w:shd w:val="clear" w:color="auto" w:fill="DDEBF7"/>
          </w:tcPr>
          <w:p>
            <w:r>
              <w:rPr>
                <w:rFonts w:ascii="Meiryo UI" w:hAnsi="Meiryo UI"/>
                <w:sz w:val="18"/>
              </w:rPr>
              <w:t>≈7.3%</w:t>
            </w:r>
          </w:p>
        </w:tc>
        <w:tc>
          <w:tcPr>
            <w:tcW w:type="dxa" w:w="3135"/>
            <w:shd w:val="clear" w:color="auto" w:fill="DDEBF7"/>
          </w:tcPr>
          <w:p>
            <w:r>
              <w:rPr>
                <w:rFonts w:ascii="Meiryo UI" w:hAnsi="Meiryo UI"/>
                <w:sz w:val="18"/>
              </w:rPr>
              <w:t>E/V=83%×8.455% + D/V=17%×1.4%</w:t>
            </w:r>
          </w:p>
        </w:tc>
      </w:tr>
    </w:tbl>
    <w:p/>
    <w:p>
      <w:r>
        <w:rPr>
          <w:rFonts w:ascii="Meiryo UI" w:hAnsi="Meiryo UI"/>
          <w:sz w:val="20"/>
        </w:rPr>
        <w:t>DCF 2段階（簡略版）:</w:t>
      </w:r>
    </w:p>
    <w:p>
      <w:pPr>
        <w:pStyle w:val="ListBullet"/>
      </w:pPr>
      <w:r>
        <w:rPr>
          <w:rFonts w:ascii="Meiryo UI" w:hAnsi="Meiryo UI"/>
          <w:sz w:val="20"/>
        </w:rPr>
        <w:t>FY2026E FCF: OP¥170億×0.70 – 在庫増¥25億 ≈ ¥94億</w:t>
      </w:r>
    </w:p>
    <w:p>
      <w:pPr>
        <w:pStyle w:val="ListBullet"/>
      </w:pPr>
      <w:r>
        <w:rPr>
          <w:rFonts w:ascii="Meiryo UI" w:hAnsi="Meiryo UI"/>
          <w:sz w:val="20"/>
        </w:rPr>
        <w:t>Stage1（FY2026-30、成長率20%）PV: ≈¥560億</w:t>
      </w:r>
    </w:p>
    <w:p>
      <w:pPr>
        <w:pStyle w:val="ListBullet"/>
      </w:pPr>
      <w:r>
        <w:rPr>
          <w:rFonts w:ascii="Meiryo UI" w:hAnsi="Meiryo UI"/>
          <w:sz w:val="20"/>
        </w:rPr>
        <w:t>Stage2（ターミナル、g=3%）PV: ¥94×(1.20)^5×1.03/(7.3%-3%)/1.073^5 ≈ ¥3,300億</w:t>
      </w:r>
    </w:p>
    <w:p>
      <w:pPr>
        <w:pStyle w:val="ListBullet"/>
      </w:pPr>
      <w:r>
        <w:rPr>
          <w:rFonts w:ascii="Meiryo UI" w:hAnsi="Meiryo UI"/>
          <w:sz w:val="20"/>
        </w:rPr>
        <w:t>合計: ¥3,860億 → 1株: ¥3,860÷78.24M = ¥4,935</w:t>
      </w:r>
    </w:p>
    <w:p/>
    <w:p>
      <w:r>
        <w:rPr>
          <w:rFonts w:ascii="Meiryo UI" w:hAnsi="Meiryo UI"/>
          <w:sz w:val="20"/>
        </w:rPr>
        <w:t>DCFは¥4,935を示唆。中期計画進捗でターミナル値の説得力増す。</w:t>
      </w:r>
    </w:p>
    <w:p/>
    <w:p>
      <w:pPr>
        <w:pStyle w:val="Heading3"/>
      </w:pPr>
      <w:r>
        <w:rPr>
          <w:rFonts w:ascii="Meiryo UI" w:hAnsi="Meiryo UI"/>
          <w:color w:val="2E74B5"/>
        </w:rPr>
        <w:t>統合TP</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TP</w:t>
            </w:r>
          </w:p>
        </w:tc>
        <w:tc>
          <w:tcPr>
            <w:tcW w:type="dxa" w:w="2351"/>
            <w:shd w:val="clear" w:color="auto" w:fill="2E74B5"/>
          </w:tcPr>
          <w:p>
            <w:r>
              <w:rPr>
                <w:rFonts w:ascii="Meiryo UI" w:hAnsi="Meiryo UI"/>
                <w:b/>
                <w:color w:val="FFFFFF"/>
                <w:sz w:val="18"/>
              </w:rPr>
              <w:t>根拠</w:t>
            </w:r>
          </w:p>
        </w:tc>
        <w:tc>
          <w:tcPr>
            <w:tcW w:type="dxa" w:w="2351"/>
            <w:shd w:val="clear" w:color="auto" w:fill="2E74B5"/>
          </w:tcPr>
          <w:p>
            <w:r>
              <w:rPr>
                <w:rFonts w:ascii="Meiryo UI" w:hAnsi="Meiryo UI"/>
                <w:b/>
                <w:color w:val="FFFFFF"/>
                <w:sz w:val="18"/>
              </w:rPr>
              <w:t>確率</w:t>
            </w:r>
          </w:p>
        </w:tc>
      </w:tr>
      <w:tr>
        <w:tc>
          <w:tcPr>
            <w:tcW w:type="dxa" w:w="2351"/>
          </w:tcPr>
          <w:p>
            <w:r>
              <w:rPr>
                <w:rFonts w:ascii="Meiryo UI" w:hAnsi="Meiryo UI"/>
                <w:sz w:val="18"/>
              </w:rPr>
              <w:t>基本（Base）</w:t>
            </w:r>
          </w:p>
        </w:tc>
        <w:tc>
          <w:tcPr>
            <w:tcW w:type="dxa" w:w="2351"/>
          </w:tcPr>
          <w:p>
            <w:r>
              <w:rPr>
                <w:rFonts w:ascii="Meiryo UI" w:hAnsi="Meiryo UI"/>
                <w:sz w:val="18"/>
              </w:rPr>
              <w:t>¥4,000</w:t>
            </w:r>
          </w:p>
        </w:tc>
        <w:tc>
          <w:tcPr>
            <w:tcW w:type="dxa" w:w="2351"/>
          </w:tcPr>
          <w:p>
            <w:r>
              <w:rPr>
                <w:rFonts w:ascii="Meiryo UI" w:hAnsi="Meiryo UI"/>
                <w:sz w:val="18"/>
              </w:rPr>
              <w:t>PER 20x FY2027E EPS ¥200</w:t>
            </w:r>
          </w:p>
        </w:tc>
        <w:tc>
          <w:tcPr>
            <w:tcW w:type="dxa" w:w="2351"/>
          </w:tcPr>
          <w:p>
            <w:r>
              <w:rPr>
                <w:rFonts w:ascii="Meiryo UI" w:hAnsi="Meiryo UI"/>
                <w:sz w:val="18"/>
              </w:rPr>
              <w:t>55%</w:t>
            </w:r>
          </w:p>
        </w:tc>
      </w:tr>
      <w:tr>
        <w:tc>
          <w:tcPr>
            <w:tcW w:type="dxa" w:w="2351"/>
            <w:shd w:val="clear" w:color="auto" w:fill="DDEBF7"/>
          </w:tcPr>
          <w:p>
            <w:r>
              <w:rPr>
                <w:rFonts w:ascii="Meiryo UI" w:hAnsi="Meiryo UI"/>
                <w:sz w:val="18"/>
              </w:rPr>
              <w:t>強気（Bull）</w:t>
            </w:r>
          </w:p>
        </w:tc>
        <w:tc>
          <w:tcPr>
            <w:tcW w:type="dxa" w:w="2351"/>
            <w:shd w:val="clear" w:color="auto" w:fill="DDEBF7"/>
          </w:tcPr>
          <w:p>
            <w:r>
              <w:rPr>
                <w:rFonts w:ascii="Meiryo UI" w:hAnsi="Meiryo UI"/>
                <w:sz w:val="18"/>
              </w:rPr>
              <w:t>¥5,000</w:t>
            </w:r>
          </w:p>
        </w:tc>
        <w:tc>
          <w:tcPr>
            <w:tcW w:type="dxa" w:w="2351"/>
            <w:shd w:val="clear" w:color="auto" w:fill="DDEBF7"/>
          </w:tcPr>
          <w:p>
            <w:r>
              <w:rPr>
                <w:rFonts w:ascii="Meiryo UI" w:hAnsi="Meiryo UI"/>
                <w:sz w:val="18"/>
              </w:rPr>
              <w:t>1万件/年達成・OP¥200億・P/E25x</w:t>
            </w:r>
          </w:p>
        </w:tc>
        <w:tc>
          <w:tcPr>
            <w:tcW w:type="dxa" w:w="2351"/>
            <w:shd w:val="clear" w:color="auto" w:fill="DDEBF7"/>
          </w:tcPr>
          <w:p>
            <w:r>
              <w:rPr>
                <w:rFonts w:ascii="Meiryo UI" w:hAnsi="Meiryo UI"/>
                <w:sz w:val="18"/>
              </w:rPr>
              <w:t>25%</w:t>
            </w:r>
          </w:p>
        </w:tc>
      </w:tr>
      <w:tr>
        <w:tc>
          <w:tcPr>
            <w:tcW w:type="dxa" w:w="2351"/>
          </w:tcPr>
          <w:p>
            <w:r>
              <w:rPr>
                <w:rFonts w:ascii="Meiryo UI" w:hAnsi="Meiryo UI"/>
                <w:sz w:val="18"/>
              </w:rPr>
              <w:t>弱気（Bear）</w:t>
            </w:r>
          </w:p>
        </w:tc>
        <w:tc>
          <w:tcPr>
            <w:tcW w:type="dxa" w:w="2351"/>
          </w:tcPr>
          <w:p>
            <w:r>
              <w:rPr>
                <w:rFonts w:ascii="Meiryo UI" w:hAnsi="Meiryo UI"/>
                <w:sz w:val="18"/>
              </w:rPr>
              <w:t>¥2,200</w:t>
            </w:r>
          </w:p>
        </w:tc>
        <w:tc>
          <w:tcPr>
            <w:tcW w:type="dxa" w:w="2351"/>
          </w:tcPr>
          <w:p>
            <w:r>
              <w:rPr>
                <w:rFonts w:ascii="Meiryo UI" w:hAnsi="Meiryo UI"/>
                <w:sz w:val="18"/>
              </w:rPr>
              <w:t>住宅市場停滞・EPS▲30%・P/E18x</w:t>
            </w:r>
          </w:p>
        </w:tc>
        <w:tc>
          <w:tcPr>
            <w:tcW w:type="dxa" w:w="2351"/>
          </w:tcPr>
          <w:p>
            <w:r>
              <w:rPr>
                <w:rFonts w:ascii="Meiryo UI" w:hAnsi="Meiryo UI"/>
                <w:sz w:val="18"/>
              </w:rPr>
              <w:t>20%</w:t>
            </w:r>
          </w:p>
        </w:tc>
      </w:tr>
    </w:tbl>
    <w:p/>
    <w:p>
      <w:r>
        <w:rPr>
          <w:rFonts w:ascii="Meiryo UI" w:hAnsi="Meiryo UI"/>
          <w:sz w:val="20"/>
        </w:rPr>
        <w:t>期待値: ¥4,000×0.55 + ¥5,000×0.25 + ¥2,200×0.20 = ¥3,890（現値比+24.1%）</w:t>
      </w:r>
    </w:p>
    <w:p/>
    <w:p>
      <w:r>
        <w:t>──────────────────────────────────────────────────</w:t>
      </w:r>
    </w:p>
    <w:p/>
    <w:p>
      <w:pPr>
        <w:pStyle w:val="Heading2"/>
      </w:pPr>
      <w:r>
        <w:rPr>
          <w:rFonts w:ascii="Meiryo UI" w:hAnsi="Meiryo UI"/>
          <w:color w:val="2E74B5"/>
        </w:rPr>
        <w:t>■ 6. 中期経営計画（第4次・FY2026-28）分析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KGI/KPI</w:t>
            </w:r>
          </w:p>
        </w:tc>
        <w:tc>
          <w:tcPr>
            <w:tcW w:type="dxa" w:w="2351"/>
            <w:shd w:val="clear" w:color="auto" w:fill="2E74B5"/>
          </w:tcPr>
          <w:p>
            <w:r>
              <w:rPr>
                <w:rFonts w:ascii="Meiryo UI" w:hAnsi="Meiryo UI"/>
                <w:b/>
                <w:color w:val="FFFFFF"/>
                <w:sz w:val="18"/>
              </w:rPr>
              <w:t>目標（FY2028）</w:t>
            </w:r>
          </w:p>
        </w:tc>
        <w:tc>
          <w:tcPr>
            <w:tcW w:type="dxa" w:w="2351"/>
            <w:shd w:val="clear" w:color="auto" w:fill="2E74B5"/>
          </w:tcPr>
          <w:p>
            <w:r>
              <w:rPr>
                <w:rFonts w:ascii="Meiryo UI" w:hAnsi="Meiryo UI"/>
                <w:b/>
                <w:color w:val="FFFFFF"/>
                <w:sz w:val="18"/>
              </w:rPr>
              <w:t>FY2025実績</w:t>
            </w:r>
          </w:p>
        </w:tc>
        <w:tc>
          <w:tcPr>
            <w:tcW w:type="dxa" w:w="2351"/>
            <w:shd w:val="clear" w:color="auto" w:fill="2E74B5"/>
          </w:tcPr>
          <w:p>
            <w:r>
              <w:rPr>
                <w:rFonts w:ascii="Meiryo UI" w:hAnsi="Meiryo UI"/>
                <w:b/>
                <w:color w:val="FFFFFF"/>
                <w:sz w:val="18"/>
              </w:rPr>
              <w:t>達成へのGAP</w:t>
            </w:r>
          </w:p>
        </w:tc>
      </w:tr>
      <w:tr>
        <w:tc>
          <w:tcPr>
            <w:tcW w:type="dxa" w:w="2351"/>
          </w:tcPr>
          <w:p>
            <w:r>
              <w:rPr>
                <w:rFonts w:ascii="Meiryo UI" w:hAnsi="Meiryo UI"/>
                <w:sz w:val="18"/>
              </w:rPr>
              <w:t>年間販売件数</w:t>
            </w:r>
          </w:p>
        </w:tc>
        <w:tc>
          <w:tcPr>
            <w:tcW w:type="dxa" w:w="2351"/>
          </w:tcPr>
          <w:p>
            <w:r>
              <w:rPr>
                <w:rFonts w:ascii="Meiryo UI" w:hAnsi="Meiryo UI"/>
                <w:sz w:val="18"/>
              </w:rPr>
              <w:t>1万件</w:t>
            </w:r>
          </w:p>
        </w:tc>
        <w:tc>
          <w:tcPr>
            <w:tcW w:type="dxa" w:w="2351"/>
          </w:tcPr>
          <w:p>
            <w:r>
              <w:rPr>
                <w:rFonts w:ascii="Meiryo UI" w:hAnsi="Meiryo UI"/>
                <w:sz w:val="18"/>
              </w:rPr>
              <w:t>5,597件</w:t>
            </w:r>
          </w:p>
        </w:tc>
        <w:tc>
          <w:tcPr>
            <w:tcW w:type="dxa" w:w="2351"/>
          </w:tcPr>
          <w:p>
            <w:r>
              <w:rPr>
                <w:rFonts w:ascii="Meiryo UI" w:hAnsi="Meiryo UI"/>
                <w:sz w:val="18"/>
              </w:rPr>
              <w:t>+4,403件（+78%）3年で</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¥200億</w:t>
            </w:r>
          </w:p>
        </w:tc>
        <w:tc>
          <w:tcPr>
            <w:tcW w:type="dxa" w:w="2351"/>
            <w:shd w:val="clear" w:color="auto" w:fill="DDEBF7"/>
          </w:tcPr>
          <w:p>
            <w:r>
              <w:rPr>
                <w:rFonts w:ascii="Meiryo UI" w:hAnsi="Meiryo UI"/>
                <w:sz w:val="18"/>
              </w:rPr>
              <w:t>≈¥150億（推計）</w:t>
            </w:r>
          </w:p>
        </w:tc>
        <w:tc>
          <w:tcPr>
            <w:tcW w:type="dxa" w:w="2351"/>
            <w:shd w:val="clear" w:color="auto" w:fill="DDEBF7"/>
          </w:tcPr>
          <w:p>
            <w:r>
              <w:rPr>
                <w:rFonts w:ascii="Meiryo UI" w:hAnsi="Meiryo UI"/>
                <w:sz w:val="18"/>
              </w:rPr>
              <w:t>+¥50億（+33%）3年で</w:t>
            </w:r>
          </w:p>
        </w:tc>
      </w:tr>
      <w:tr>
        <w:tc>
          <w:tcPr>
            <w:tcW w:type="dxa" w:w="2351"/>
          </w:tcPr>
          <w:p>
            <w:r>
              <w:rPr>
                <w:rFonts w:ascii="Meiryo UI" w:hAnsi="Meiryo UI"/>
                <w:sz w:val="18"/>
              </w:rPr>
              <w:t>粗利率</w:t>
            </w:r>
          </w:p>
        </w:tc>
        <w:tc>
          <w:tcPr>
            <w:tcW w:type="dxa" w:w="2351"/>
          </w:tcPr>
          <w:p>
            <w:r>
              <w:rPr>
                <w:rFonts w:ascii="Meiryo UI" w:hAnsi="Meiryo UI"/>
                <w:sz w:val="18"/>
              </w:rPr>
              <w:t>維持・改善</w:t>
            </w:r>
          </w:p>
        </w:tc>
        <w:tc>
          <w:tcPr>
            <w:tcW w:type="dxa" w:w="2351"/>
          </w:tcPr>
          <w:p>
            <w:r>
              <w:rPr>
                <w:rFonts w:ascii="Meiryo UI" w:hAnsi="Meiryo UI"/>
                <w:sz w:val="18"/>
              </w:rPr>
              <w:t>26.1%</w:t>
            </w:r>
          </w:p>
        </w:tc>
        <w:tc>
          <w:tcPr>
            <w:tcW w:type="dxa" w:w="2351"/>
          </w:tcPr>
          <w:p>
            <w:r>
              <w:rPr>
                <w:rFonts w:ascii="Meiryo UI" w:hAnsi="Meiryo UI"/>
                <w:sz w:val="18"/>
              </w:rPr>
              <w:t>低価格商品拡大で維持可能</w:t>
            </w:r>
          </w:p>
        </w:tc>
      </w:tr>
    </w:tbl>
    <w:p/>
    <w:p>
      <w:r>
        <w:rPr>
          <w:rFonts w:ascii="Meiryo UI" w:hAnsi="Meiryo UI"/>
          <w:sz w:val="20"/>
        </w:rPr>
        <w:t>達成可能性の評価:</w:t>
      </w:r>
    </w:p>
    <w:p>
      <w:pPr>
        <w:pStyle w:val="ListBullet"/>
      </w:pPr>
      <w:r>
        <w:rPr>
          <w:rFonts w:ascii="Meiryo UI" w:hAnsi="Meiryo UI"/>
          <w:sz w:val="20"/>
        </w:rPr>
        <w:t>1万件/年 → 年率20%成長が必要。FY2026 Q1は+39%成長で「超過ペース」</w:t>
      </w:r>
    </w:p>
    <w:p>
      <w:pPr>
        <w:pStyle w:val="ListBullet"/>
      </w:pPr>
      <w:r>
        <w:rPr>
          <w:rFonts w:ascii="Meiryo UI" w:hAnsi="Meiryo UI"/>
          <w:sz w:val="20"/>
        </w:rPr>
        <w:t>OP¥200億 → FY2026E≈¥175億から+14%のみ。2027年中に到達の可能性</w:t>
      </w:r>
    </w:p>
    <w:p>
      <w:pPr>
        <w:pStyle w:val="ListBullet"/>
      </w:pPr>
      <w:r>
        <w:rPr>
          <w:rFonts w:ascii="Meiryo UI" w:hAnsi="Meiryo UI"/>
          <w:sz w:val="20"/>
        </w:rPr>
        <w:t>Rationale: 日本の空き家ストックは800万戸以上。TAMに対し現在5,600件は0.07%。需要制約ではなく供給（人材・チャネル）制約が唯一のボトルネック。</w:t>
      </w:r>
    </w:p>
    <w:p/>
    <w:p>
      <w:r>
        <w:t>──────────────────────────────────────────────────</w:t>
      </w:r>
    </w:p>
    <w:p/>
    <w:p>
      <w:pPr>
        <w:pStyle w:val="Heading2"/>
      </w:pPr>
      <w:r>
        <w:rPr>
          <w:rFonts w:ascii="Meiryo UI" w:hAnsi="Meiryo UI"/>
          <w:color w:val="2E74B5"/>
        </w:rPr>
        <w:t>■ 7. カタリスト分析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カタリスト</w:t>
            </w:r>
          </w:p>
        </w:tc>
        <w:tc>
          <w:tcPr>
            <w:tcW w:type="dxa" w:w="2351"/>
            <w:shd w:val="clear" w:color="auto" w:fill="2E74B5"/>
          </w:tcPr>
          <w:p>
            <w:r>
              <w:rPr>
                <w:rFonts w:ascii="Meiryo UI" w:hAnsi="Meiryo UI"/>
                <w:b/>
                <w:color w:val="FFFFFF"/>
                <w:sz w:val="18"/>
              </w:rPr>
              <w:t>タイムライン</w:t>
            </w:r>
          </w:p>
        </w:tc>
        <w:tc>
          <w:tcPr>
            <w:tcW w:type="dxa" w:w="2351"/>
            <w:shd w:val="clear" w:color="auto" w:fill="2E74B5"/>
          </w:tcPr>
          <w:p>
            <w:r>
              <w:rPr>
                <w:rFonts w:ascii="Meiryo UI" w:hAnsi="Meiryo UI"/>
                <w:b/>
                <w:color w:val="FFFFFF"/>
                <w:sz w:val="18"/>
              </w:rPr>
              <w:t>インパクト</w:t>
            </w:r>
          </w:p>
        </w:tc>
        <w:tc>
          <w:tcPr>
            <w:tcW w:type="dxa" w:w="2351"/>
            <w:shd w:val="clear" w:color="auto" w:fill="2E74B5"/>
          </w:tcPr>
          <w:p>
            <w:r>
              <w:rPr>
                <w:rFonts w:ascii="Meiryo UI" w:hAnsi="Meiryo UI"/>
                <w:b/>
                <w:color w:val="FFFFFF"/>
                <w:sz w:val="18"/>
              </w:rPr>
              <w:t>確度</w:t>
            </w:r>
          </w:p>
        </w:tc>
      </w:tr>
      <w:tr>
        <w:tc>
          <w:tcPr>
            <w:tcW w:type="dxa" w:w="2351"/>
          </w:tcPr>
          <w:p>
            <w:r>
              <w:rPr>
                <w:rFonts w:ascii="Meiryo UI" w:hAnsi="Meiryo UI"/>
                <w:sz w:val="18"/>
              </w:rPr>
              <w:t>FY2026通期決算発表（上振れ確実視）</w:t>
            </w:r>
          </w:p>
        </w:tc>
        <w:tc>
          <w:tcPr>
            <w:tcW w:type="dxa" w:w="2351"/>
          </w:tcPr>
          <w:p>
            <w:r>
              <w:rPr>
                <w:rFonts w:ascii="Meiryo UI" w:hAnsi="Meiryo UI"/>
                <w:sz w:val="18"/>
              </w:rPr>
              <w:t>2026年5月</w:t>
            </w:r>
          </w:p>
        </w:tc>
        <w:tc>
          <w:tcPr>
            <w:tcW w:type="dxa" w:w="2351"/>
          </w:tcPr>
          <w:p>
            <w:r>
              <w:rPr>
                <w:rFonts w:ascii="Meiryo UI" w:hAnsi="Meiryo UI"/>
                <w:sz w:val="18"/>
              </w:rPr>
              <w:t>EPS上方修正発表→ +10-15%</w:t>
            </w:r>
          </w:p>
        </w:tc>
        <w:tc>
          <w:tcPr>
            <w:tcW w:type="dxa" w:w="2351"/>
          </w:tcPr>
          <w:p>
            <w:r>
              <w:rPr>
                <w:rFonts w:ascii="Meiryo UI" w:hAnsi="Meiryo UI"/>
                <w:sz w:val="18"/>
              </w:rPr>
              <w:t>◎高</w:t>
            </w:r>
          </w:p>
        </w:tc>
      </w:tr>
      <w:tr>
        <w:tc>
          <w:tcPr>
            <w:tcW w:type="dxa" w:w="2351"/>
            <w:shd w:val="clear" w:color="auto" w:fill="DDEBF7"/>
          </w:tcPr>
          <w:p>
            <w:r>
              <w:rPr>
                <w:rFonts w:ascii="Meiryo UI" w:hAnsi="Meiryo UI"/>
                <w:sz w:val="18"/>
              </w:rPr>
              <w:t>FY2027初回ガイダンス発表</w:t>
            </w:r>
          </w:p>
        </w:tc>
        <w:tc>
          <w:tcPr>
            <w:tcW w:type="dxa" w:w="2351"/>
            <w:shd w:val="clear" w:color="auto" w:fill="DDEBF7"/>
          </w:tcPr>
          <w:p>
            <w:r>
              <w:rPr>
                <w:rFonts w:ascii="Meiryo UI" w:hAnsi="Meiryo UI"/>
                <w:sz w:val="18"/>
              </w:rPr>
              <w:t>2026年5月（同上）</w:t>
            </w:r>
          </w:p>
        </w:tc>
        <w:tc>
          <w:tcPr>
            <w:tcW w:type="dxa" w:w="2351"/>
            <w:shd w:val="clear" w:color="auto" w:fill="DDEBF7"/>
          </w:tcPr>
          <w:p>
            <w:r>
              <w:rPr>
                <w:rFonts w:ascii="Meiryo UI" w:hAnsi="Meiryo UI"/>
                <w:sz w:val="18"/>
              </w:rPr>
              <w:t>成長継続確認→需給改善</w:t>
            </w:r>
          </w:p>
        </w:tc>
        <w:tc>
          <w:tcPr>
            <w:tcW w:type="dxa" w:w="2351"/>
            <w:shd w:val="clear" w:color="auto" w:fill="DDEBF7"/>
          </w:tcPr>
          <w:p>
            <w:r>
              <w:rPr>
                <w:rFonts w:ascii="Meiryo UI" w:hAnsi="Meiryo UI"/>
                <w:sz w:val="18"/>
              </w:rPr>
              <w:t>◎高</w:t>
            </w:r>
          </w:p>
        </w:tc>
      </w:tr>
      <w:tr>
        <w:tc>
          <w:tcPr>
            <w:tcW w:type="dxa" w:w="2351"/>
          </w:tcPr>
          <w:p>
            <w:r>
              <w:rPr>
                <w:rFonts w:ascii="Meiryo UI" w:hAnsi="Meiryo UI"/>
                <w:sz w:val="18"/>
              </w:rPr>
              <w:t>中古住宅減税拡充</w:t>
            </w:r>
          </w:p>
        </w:tc>
        <w:tc>
          <w:tcPr>
            <w:tcW w:type="dxa" w:w="2351"/>
          </w:tcPr>
          <w:p>
            <w:r>
              <w:rPr>
                <w:rFonts w:ascii="Meiryo UI" w:hAnsi="Meiryo UI"/>
                <w:sz w:val="18"/>
              </w:rPr>
              <w:t>2026年政策議論中</w:t>
            </w:r>
          </w:p>
        </w:tc>
        <w:tc>
          <w:tcPr>
            <w:tcW w:type="dxa" w:w="2351"/>
          </w:tcPr>
          <w:p>
            <w:r>
              <w:rPr>
                <w:rFonts w:ascii="Meiryo UI" w:hAnsi="Meiryo UI"/>
                <w:sz w:val="18"/>
              </w:rPr>
              <w:t>購入者インセンティブ増加→販売加速</w:t>
            </w:r>
          </w:p>
        </w:tc>
        <w:tc>
          <w:tcPr>
            <w:tcW w:type="dxa" w:w="2351"/>
          </w:tcPr>
          <w:p>
            <w:r>
              <w:rPr>
                <w:rFonts w:ascii="Meiryo UI" w:hAnsi="Meiryo UI"/>
                <w:sz w:val="18"/>
              </w:rPr>
              <w:t>○中</w:t>
            </w:r>
          </w:p>
        </w:tc>
      </w:tr>
      <w:tr>
        <w:tc>
          <w:tcPr>
            <w:tcW w:type="dxa" w:w="2351"/>
            <w:shd w:val="clear" w:color="auto" w:fill="DDEBF7"/>
          </w:tcPr>
          <w:p>
            <w:r>
              <w:rPr>
                <w:rFonts w:ascii="Meiryo UI" w:hAnsi="Meiryo UI"/>
                <w:sz w:val="18"/>
              </w:rPr>
              <w:t>ホルムズ継続→新築供給制約長期化</w:t>
            </w:r>
          </w:p>
        </w:tc>
        <w:tc>
          <w:tcPr>
            <w:tcW w:type="dxa" w:w="2351"/>
            <w:shd w:val="clear" w:color="auto" w:fill="DDEBF7"/>
          </w:tcPr>
          <w:p>
            <w:r>
              <w:rPr>
                <w:rFonts w:ascii="Meiryo UI" w:hAnsi="Meiryo UI"/>
                <w:sz w:val="18"/>
              </w:rPr>
              <w:t>現在進行中</w:t>
            </w:r>
          </w:p>
        </w:tc>
        <w:tc>
          <w:tcPr>
            <w:tcW w:type="dxa" w:w="2351"/>
            <w:shd w:val="clear" w:color="auto" w:fill="DDEBF7"/>
          </w:tcPr>
          <w:p>
            <w:r>
              <w:rPr>
                <w:rFonts w:ascii="Meiryo UI" w:hAnsi="Meiryo UI"/>
                <w:sz w:val="18"/>
              </w:rPr>
              <w:t>中古シフト加速</w:t>
            </w:r>
          </w:p>
        </w:tc>
        <w:tc>
          <w:tcPr>
            <w:tcW w:type="dxa" w:w="2351"/>
            <w:shd w:val="clear" w:color="auto" w:fill="DDEBF7"/>
          </w:tcPr>
          <w:p>
            <w:r>
              <w:rPr>
                <w:rFonts w:ascii="Meiryo UI" w:hAnsi="Meiryo UI"/>
                <w:sz w:val="18"/>
              </w:rPr>
              <w:t>◎高</w:t>
            </w:r>
          </w:p>
        </w:tc>
      </w:tr>
      <w:tr>
        <w:tc>
          <w:tcPr>
            <w:tcW w:type="dxa" w:w="2351"/>
          </w:tcPr>
          <w:p>
            <w:r>
              <w:rPr>
                <w:rFonts w:ascii="Meiryo UI" w:hAnsi="Meiryo UI"/>
                <w:sz w:val="18"/>
              </w:rPr>
              <w:t>AI査定システム導入（IT化進展）</w:t>
            </w:r>
          </w:p>
        </w:tc>
        <w:tc>
          <w:tcPr>
            <w:tcW w:type="dxa" w:w="2351"/>
          </w:tcPr>
          <w:p>
            <w:r>
              <w:rPr>
                <w:rFonts w:ascii="Meiryo UI" w:hAnsi="Meiryo UI"/>
                <w:sz w:val="18"/>
              </w:rPr>
              <w:t>FY2026-27</w:t>
            </w:r>
          </w:p>
        </w:tc>
        <w:tc>
          <w:tcPr>
            <w:tcW w:type="dxa" w:w="2351"/>
          </w:tcPr>
          <w:p>
            <w:r>
              <w:rPr>
                <w:rFonts w:ascii="Meiryo UI" w:hAnsi="Meiryo UI"/>
                <w:sz w:val="18"/>
              </w:rPr>
              <w:t>1人当たり査定件数↑→固定費レバレッジ</w:t>
            </w:r>
          </w:p>
        </w:tc>
        <w:tc>
          <w:tcPr>
            <w:tcW w:type="dxa" w:w="2351"/>
          </w:tcPr>
          <w:p>
            <w:r>
              <w:rPr>
                <w:rFonts w:ascii="Meiryo UI" w:hAnsi="Meiryo UI"/>
                <w:sz w:val="18"/>
              </w:rPr>
              <w:t>△不確実</w:t>
            </w:r>
          </w:p>
        </w:tc>
      </w:tr>
      <w:tr>
        <w:tc>
          <w:tcPr>
            <w:tcW w:type="dxa" w:w="2351"/>
            <w:shd w:val="clear" w:color="auto" w:fill="DDEBF7"/>
          </w:tcPr>
          <w:p>
            <w:r>
              <w:rPr>
                <w:rFonts w:ascii="Meiryo UI" w:hAnsi="Meiryo UI"/>
                <w:sz w:val="18"/>
              </w:rPr>
              <w:t>北米投資家の注目確認（橋本AN）</w:t>
            </w:r>
          </w:p>
        </w:tc>
        <w:tc>
          <w:tcPr>
            <w:tcW w:type="dxa" w:w="2351"/>
            <w:shd w:val="clear" w:color="auto" w:fill="DDEBF7"/>
          </w:tcPr>
          <w:p>
            <w:r>
              <w:rPr>
                <w:rFonts w:ascii="Meiryo UI" w:hAnsi="Meiryo UI"/>
                <w:sz w:val="18"/>
              </w:rPr>
              <w:t>即座</w:t>
            </w:r>
          </w:p>
        </w:tc>
        <w:tc>
          <w:tcPr>
            <w:tcW w:type="dxa" w:w="2351"/>
            <w:shd w:val="clear" w:color="auto" w:fill="DDEBF7"/>
          </w:tcPr>
          <w:p>
            <w:r>
              <w:rPr>
                <w:rFonts w:ascii="Meiryo UI" w:hAnsi="Meiryo UI"/>
                <w:sz w:val="18"/>
              </w:rPr>
              <w:t>海外フロー流入</w:t>
            </w:r>
          </w:p>
        </w:tc>
        <w:tc>
          <w:tcPr>
            <w:tcW w:type="dxa" w:w="2351"/>
            <w:shd w:val="clear" w:color="auto" w:fill="DDEBF7"/>
          </w:tcPr>
          <w:p>
            <w:r>
              <w:rPr>
                <w:rFonts w:ascii="Meiryo UI" w:hAnsi="Meiryo UI"/>
                <w:sz w:val="18"/>
              </w:rPr>
              <w:t>○中</w:t>
            </w:r>
          </w:p>
        </w:tc>
      </w:tr>
    </w:tbl>
    <w:p/>
    <w:p>
      <w:r>
        <w:t>──────────────────────────────────────────────────</w:t>
      </w:r>
    </w:p>
    <w:p/>
    <w:p>
      <w:pPr>
        <w:pStyle w:val="Heading2"/>
      </w:pPr>
      <w:r>
        <w:rPr>
          <w:rFonts w:ascii="Meiryo UI" w:hAnsi="Meiryo UI"/>
          <w:color w:val="2E74B5"/>
        </w:rPr>
        <w:t>■ 8. リスク分析（定量化）</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EPS影響</w:t>
            </w:r>
          </w:p>
        </w:tc>
        <w:tc>
          <w:tcPr>
            <w:tcW w:type="dxa" w:w="2351"/>
            <w:shd w:val="clear" w:color="auto" w:fill="2E74B5"/>
          </w:tcPr>
          <w:p>
            <w:r>
              <w:rPr>
                <w:rFonts w:ascii="Meiryo UI" w:hAnsi="Meiryo UI"/>
                <w:b/>
                <w:color w:val="FFFFFF"/>
                <w:sz w:val="18"/>
              </w:rPr>
              <w:t>株価影響</w:t>
            </w:r>
          </w:p>
        </w:tc>
      </w:tr>
      <w:tr>
        <w:tc>
          <w:tcPr>
            <w:tcW w:type="dxa" w:w="2351"/>
          </w:tcPr>
          <w:p>
            <w:r>
              <w:rPr>
                <w:rFonts w:ascii="Meiryo UI" w:hAnsi="Meiryo UI"/>
                <w:sz w:val="18"/>
              </w:rPr>
              <w:t>住宅ローン金利高止まり（主要リスク）</w:t>
            </w:r>
          </w:p>
        </w:tc>
        <w:tc>
          <w:tcPr>
            <w:tcW w:type="dxa" w:w="2351"/>
          </w:tcPr>
          <w:p>
            <w:r>
              <w:rPr>
                <w:rFonts w:ascii="Meiryo UI" w:hAnsi="Meiryo UI"/>
                <w:sz w:val="18"/>
              </w:rPr>
              <w:t>購入者の借入コスト増加→需要減退</w:t>
            </w:r>
          </w:p>
        </w:tc>
        <w:tc>
          <w:tcPr>
            <w:tcW w:type="dxa" w:w="2351"/>
          </w:tcPr>
          <w:p>
            <w:r>
              <w:rPr>
                <w:rFonts w:ascii="Meiryo UI" w:hAnsi="Meiryo UI"/>
                <w:sz w:val="18"/>
              </w:rPr>
              <w:t>▲¥20-30</w:t>
            </w:r>
          </w:p>
        </w:tc>
        <w:tc>
          <w:tcPr>
            <w:tcW w:type="dxa" w:w="2351"/>
          </w:tcPr>
          <w:p>
            <w:r>
              <w:rPr>
                <w:rFonts w:ascii="Meiryo UI" w:hAnsi="Meiryo UI"/>
                <w:sz w:val="18"/>
              </w:rPr>
              <w:t>▲¥400-600</w:t>
            </w:r>
          </w:p>
        </w:tc>
      </w:tr>
      <w:tr>
        <w:tc>
          <w:tcPr>
            <w:tcW w:type="dxa" w:w="2351"/>
            <w:shd w:val="clear" w:color="auto" w:fill="DDEBF7"/>
          </w:tcPr>
          <w:p>
            <w:r>
              <w:rPr>
                <w:rFonts w:ascii="Meiryo UI" w:hAnsi="Meiryo UI"/>
                <w:sz w:val="18"/>
              </w:rPr>
              <w:t>在庫回転期間の長期化</w:t>
            </w:r>
          </w:p>
        </w:tc>
        <w:tc>
          <w:tcPr>
            <w:tcW w:type="dxa" w:w="2351"/>
            <w:shd w:val="clear" w:color="auto" w:fill="DDEBF7"/>
          </w:tcPr>
          <w:p>
            <w:r>
              <w:rPr>
                <w:rFonts w:ascii="Meiryo UI" w:hAnsi="Meiryo UI"/>
                <w:sz w:val="18"/>
              </w:rPr>
              <w:t>仕入れ過多→資金繰り悪化</w:t>
            </w:r>
          </w:p>
        </w:tc>
        <w:tc>
          <w:tcPr>
            <w:tcW w:type="dxa" w:w="2351"/>
            <w:shd w:val="clear" w:color="auto" w:fill="DDEBF7"/>
          </w:tcPr>
          <w:p>
            <w:r>
              <w:rPr>
                <w:rFonts w:ascii="Meiryo UI" w:hAnsi="Meiryo UI"/>
                <w:sz w:val="18"/>
              </w:rPr>
              <w:t>▲¥10-20</w:t>
            </w:r>
          </w:p>
        </w:tc>
        <w:tc>
          <w:tcPr>
            <w:tcW w:type="dxa" w:w="2351"/>
            <w:shd w:val="clear" w:color="auto" w:fill="DDEBF7"/>
          </w:tcPr>
          <w:p>
            <w:r>
              <w:rPr>
                <w:rFonts w:ascii="Meiryo UI" w:hAnsi="Meiryo UI"/>
                <w:sz w:val="18"/>
              </w:rPr>
              <w:t>▲¥200-300</w:t>
            </w:r>
          </w:p>
        </w:tc>
      </w:tr>
      <w:tr>
        <w:tc>
          <w:tcPr>
            <w:tcW w:type="dxa" w:w="2351"/>
          </w:tcPr>
          <w:p>
            <w:r>
              <w:rPr>
                <w:rFonts w:ascii="Meiryo UI" w:hAnsi="Meiryo UI"/>
                <w:sz w:val="18"/>
              </w:rPr>
              <w:t>競合参入（大手不動産）</w:t>
            </w:r>
          </w:p>
        </w:tc>
        <w:tc>
          <w:tcPr>
            <w:tcW w:type="dxa" w:w="2351"/>
          </w:tcPr>
          <w:p>
            <w:r>
              <w:rPr>
                <w:rFonts w:ascii="Meiryo UI" w:hAnsi="Meiryo UI"/>
                <w:sz w:val="18"/>
              </w:rPr>
              <w:t>三井不・野村不が本格参入</w:t>
            </w:r>
          </w:p>
        </w:tc>
        <w:tc>
          <w:tcPr>
            <w:tcW w:type="dxa" w:w="2351"/>
          </w:tcPr>
          <w:p>
            <w:r>
              <w:rPr>
                <w:rFonts w:ascii="Meiryo UI" w:hAnsi="Meiryo UI"/>
                <w:sz w:val="18"/>
              </w:rPr>
              <w:t>▲¥5-15（長期）</w:t>
            </w:r>
          </w:p>
        </w:tc>
        <w:tc>
          <w:tcPr>
            <w:tcW w:type="dxa" w:w="2351"/>
          </w:tcPr>
          <w:p>
            <w:r>
              <w:rPr>
                <w:rFonts w:ascii="Meiryo UI" w:hAnsi="Meiryo UI"/>
                <w:sz w:val="18"/>
              </w:rPr>
              <w:t>▲¥100-200</w:t>
            </w:r>
          </w:p>
        </w:tc>
      </w:tr>
      <w:tr>
        <w:tc>
          <w:tcPr>
            <w:tcW w:type="dxa" w:w="2351"/>
            <w:shd w:val="clear" w:color="auto" w:fill="DDEBF7"/>
          </w:tcPr>
          <w:p>
            <w:r>
              <w:rPr>
                <w:rFonts w:ascii="Meiryo UI" w:hAnsi="Meiryo UI"/>
                <w:sz w:val="18"/>
              </w:rPr>
              <w:t>人材不足・仕入れ担当者の採用難</w:t>
            </w:r>
          </w:p>
        </w:tc>
        <w:tc>
          <w:tcPr>
            <w:tcW w:type="dxa" w:w="2351"/>
            <w:shd w:val="clear" w:color="auto" w:fill="DDEBF7"/>
          </w:tcPr>
          <w:p>
            <w:r>
              <w:rPr>
                <w:rFonts w:ascii="Meiryo UI" w:hAnsi="Meiryo UI"/>
                <w:sz w:val="18"/>
              </w:rPr>
              <w:t>1万件目標が人員制約で未達</w:t>
            </w:r>
          </w:p>
        </w:tc>
        <w:tc>
          <w:tcPr>
            <w:tcW w:type="dxa" w:w="2351"/>
            <w:shd w:val="clear" w:color="auto" w:fill="DDEBF7"/>
          </w:tcPr>
          <w:p>
            <w:r>
              <w:rPr>
                <w:rFonts w:ascii="Meiryo UI" w:hAnsi="Meiryo UI"/>
                <w:sz w:val="18"/>
              </w:rPr>
              <w:t>▲¥10-15</w:t>
            </w:r>
          </w:p>
        </w:tc>
        <w:tc>
          <w:tcPr>
            <w:tcW w:type="dxa" w:w="2351"/>
            <w:shd w:val="clear" w:color="auto" w:fill="DDEBF7"/>
          </w:tcPr>
          <w:p>
            <w:r>
              <w:rPr>
                <w:rFonts w:ascii="Meiryo UI" w:hAnsi="Meiryo UI"/>
                <w:sz w:val="18"/>
              </w:rPr>
              <w:t>▲¥200-300</w:t>
            </w:r>
          </w:p>
        </w:tc>
      </w:tr>
      <w:tr>
        <w:tc>
          <w:tcPr>
            <w:tcW w:type="dxa" w:w="2351"/>
          </w:tcPr>
          <w:p>
            <w:r>
              <w:rPr>
                <w:rFonts w:ascii="Meiryo UI" w:hAnsi="Meiryo UI"/>
                <w:sz w:val="18"/>
              </w:rPr>
              <w:t>リフォーム資材コスト上昇</w:t>
            </w:r>
          </w:p>
        </w:tc>
        <w:tc>
          <w:tcPr>
            <w:tcW w:type="dxa" w:w="2351"/>
          </w:tcPr>
          <w:p>
            <w:r>
              <w:rPr>
                <w:rFonts w:ascii="Meiryo UI" w:hAnsi="Meiryo UI"/>
                <w:sz w:val="18"/>
              </w:rPr>
              <w:t>ホルムズ後も建材費高止まり</w:t>
            </w:r>
          </w:p>
        </w:tc>
        <w:tc>
          <w:tcPr>
            <w:tcW w:type="dxa" w:w="2351"/>
          </w:tcPr>
          <w:p>
            <w:r>
              <w:rPr>
                <w:rFonts w:ascii="Meiryo UI" w:hAnsi="Meiryo UI"/>
                <w:sz w:val="18"/>
              </w:rPr>
              <w:t>▲¥5-10（粗利▲1-2%）</w:t>
            </w:r>
          </w:p>
        </w:tc>
        <w:tc>
          <w:tcPr>
            <w:tcW w:type="dxa" w:w="2351"/>
          </w:tcPr>
          <w:p>
            <w:r>
              <w:rPr>
                <w:rFonts w:ascii="Meiryo UI" w:hAnsi="Meiryo UI"/>
                <w:sz w:val="18"/>
              </w:rPr>
              <w:t>▲¥100-150</w:t>
            </w:r>
          </w:p>
        </w:tc>
      </w:tr>
    </w:tbl>
    <w:p/>
    <w:p>
      <w:r>
        <w:t>──────────────────────────────────────────────────</w:t>
      </w:r>
    </w:p>
    <w:p/>
    <w:p>
      <w:pPr>
        <w:pStyle w:val="Heading2"/>
      </w:pPr>
      <w:r>
        <w:rPr>
          <w:rFonts w:ascii="Meiryo UI" w:hAnsi="Meiryo UI"/>
          <w:color w:val="2E74B5"/>
        </w:rPr>
        <w:t>■ 9. Q-1からの定性変化チェック</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Q-1（FY2025）</w:t>
            </w:r>
          </w:p>
        </w:tc>
        <w:tc>
          <w:tcPr>
            <w:tcW w:type="dxa" w:w="2351"/>
            <w:shd w:val="clear" w:color="auto" w:fill="2E74B5"/>
          </w:tcPr>
          <w:p>
            <w:r>
              <w:rPr>
                <w:rFonts w:ascii="Meiryo UI" w:hAnsi="Meiryo UI"/>
                <w:b/>
                <w:color w:val="FFFFFF"/>
                <w:sz w:val="18"/>
              </w:rPr>
              <w:t>FY2026現状</w:t>
            </w:r>
          </w:p>
        </w:tc>
        <w:tc>
          <w:tcPr>
            <w:tcW w:type="dxa" w:w="2351"/>
            <w:shd w:val="clear" w:color="auto" w:fill="2E74B5"/>
          </w:tcPr>
          <w:p>
            <w:r>
              <w:rPr>
                <w:rFonts w:ascii="Meiryo UI" w:hAnsi="Meiryo UI"/>
                <w:b/>
                <w:color w:val="FFFFFF"/>
                <w:sz w:val="18"/>
              </w:rPr>
              <w:t>変化</w:t>
            </w:r>
          </w:p>
        </w:tc>
      </w:tr>
      <w:tr>
        <w:tc>
          <w:tcPr>
            <w:tcW w:type="dxa" w:w="2351"/>
          </w:tcPr>
          <w:p>
            <w:r>
              <w:rPr>
                <w:rFonts w:ascii="Meiryo UI" w:hAnsi="Meiryo UI"/>
                <w:sz w:val="18"/>
              </w:rPr>
              <w:t>経常利益成長率</w:t>
            </w:r>
          </w:p>
        </w:tc>
        <w:tc>
          <w:tcPr>
            <w:tcW w:type="dxa" w:w="2351"/>
          </w:tcPr>
          <w:p>
            <w:r>
              <w:rPr>
                <w:rFonts w:ascii="Meiryo UI" w:hAnsi="Meiryo UI"/>
                <w:sz w:val="18"/>
              </w:rPr>
              <w:t>+12.6%</w:t>
            </w:r>
          </w:p>
        </w:tc>
        <w:tc>
          <w:tcPr>
            <w:tcW w:type="dxa" w:w="2351"/>
          </w:tcPr>
          <w:p>
            <w:r>
              <w:rPr>
                <w:rFonts w:ascii="Meiryo UI" w:hAnsi="Meiryo UI"/>
                <w:sz w:val="18"/>
              </w:rPr>
              <w:t>+31%（Q3累計）</w:t>
            </w:r>
          </w:p>
        </w:tc>
        <w:tc>
          <w:tcPr>
            <w:tcW w:type="dxa" w:w="2351"/>
          </w:tcPr>
          <w:p>
            <w:r>
              <w:rPr>
                <w:rFonts w:ascii="Meiryo UI" w:hAnsi="Meiryo UI"/>
                <w:sz w:val="18"/>
              </w:rPr>
              <w:t>✅ 大幅加速</w:t>
            </w:r>
          </w:p>
        </w:tc>
      </w:tr>
      <w:tr>
        <w:tc>
          <w:tcPr>
            <w:tcW w:type="dxa" w:w="2351"/>
            <w:shd w:val="clear" w:color="auto" w:fill="DDEBF7"/>
          </w:tcPr>
          <w:p>
            <w:r>
              <w:rPr>
                <w:rFonts w:ascii="Meiryo UI" w:hAnsi="Meiryo UI"/>
                <w:sz w:val="18"/>
              </w:rPr>
              <w:t>新築との競合条件</w:t>
            </w:r>
          </w:p>
        </w:tc>
        <w:tc>
          <w:tcPr>
            <w:tcW w:type="dxa" w:w="2351"/>
            <w:shd w:val="clear" w:color="auto" w:fill="DDEBF7"/>
          </w:tcPr>
          <w:p>
            <w:r>
              <w:rPr>
                <w:rFonts w:ascii="Meiryo UI" w:hAnsi="Meiryo UI"/>
                <w:sz w:val="18"/>
              </w:rPr>
              <w:t>通常競争</w:t>
            </w:r>
          </w:p>
        </w:tc>
        <w:tc>
          <w:tcPr>
            <w:tcW w:type="dxa" w:w="2351"/>
            <w:shd w:val="clear" w:color="auto" w:fill="DDEBF7"/>
          </w:tcPr>
          <w:p>
            <w:r>
              <w:rPr>
                <w:rFonts w:ascii="Meiryo UI" w:hAnsi="Meiryo UI"/>
                <w:sz w:val="18"/>
              </w:rPr>
              <w:t>TOTOショック→新築供給制約</w:t>
            </w:r>
          </w:p>
        </w:tc>
        <w:tc>
          <w:tcPr>
            <w:tcW w:type="dxa" w:w="2351"/>
            <w:shd w:val="clear" w:color="auto" w:fill="DDEBF7"/>
          </w:tcPr>
          <w:p>
            <w:r>
              <w:rPr>
                <w:rFonts w:ascii="Meiryo UI" w:hAnsi="Meiryo UI"/>
                <w:sz w:val="18"/>
              </w:rPr>
              <w:t>✅ 競合劣位が極大化</w:t>
            </w:r>
          </w:p>
        </w:tc>
      </w:tr>
      <w:tr>
        <w:tc>
          <w:tcPr>
            <w:tcW w:type="dxa" w:w="2351"/>
          </w:tcPr>
          <w:p>
            <w:r>
              <w:rPr>
                <w:rFonts w:ascii="Meiryo UI" w:hAnsi="Meiryo UI"/>
                <w:sz w:val="18"/>
              </w:rPr>
              <w:t>政府方針</w:t>
            </w:r>
          </w:p>
        </w:tc>
        <w:tc>
          <w:tcPr>
            <w:tcW w:type="dxa" w:w="2351"/>
          </w:tcPr>
          <w:p>
            <w:r>
              <w:rPr>
                <w:rFonts w:ascii="Meiryo UI" w:hAnsi="Meiryo UI"/>
                <w:sz w:val="18"/>
              </w:rPr>
              <w:t>中古住宅促進</w:t>
            </w:r>
          </w:p>
        </w:tc>
        <w:tc>
          <w:tcPr>
            <w:tcW w:type="dxa" w:w="2351"/>
          </w:tcPr>
          <w:p>
            <w:r>
              <w:rPr>
                <w:rFonts w:ascii="Meiryo UI" w:hAnsi="Meiryo UI"/>
                <w:sz w:val="18"/>
              </w:rPr>
              <w:t>中古住宅減税議論加速</w:t>
            </w:r>
          </w:p>
        </w:tc>
        <w:tc>
          <w:tcPr>
            <w:tcW w:type="dxa" w:w="2351"/>
          </w:tcPr>
          <w:p>
            <w:r>
              <w:rPr>
                <w:rFonts w:ascii="Meiryo UI" w:hAnsi="Meiryo UI"/>
                <w:sz w:val="18"/>
              </w:rPr>
              <w:t>✅ 追い風継続</w:t>
            </w:r>
          </w:p>
        </w:tc>
      </w:tr>
      <w:tr>
        <w:tc>
          <w:tcPr>
            <w:tcW w:type="dxa" w:w="2351"/>
            <w:shd w:val="clear" w:color="auto" w:fill="DDEBF7"/>
          </w:tcPr>
          <w:p>
            <w:r>
              <w:rPr>
                <w:rFonts w:ascii="Meiryo UI" w:hAnsi="Meiryo UI"/>
                <w:sz w:val="18"/>
              </w:rPr>
              <w:t>海外機関の注目</w:t>
            </w:r>
          </w:p>
        </w:tc>
        <w:tc>
          <w:tcPr>
            <w:tcW w:type="dxa" w:w="2351"/>
            <w:shd w:val="clear" w:color="auto" w:fill="DDEBF7"/>
          </w:tcPr>
          <w:p>
            <w:r>
              <w:rPr>
                <w:rFonts w:ascii="Meiryo UI" w:hAnsi="Meiryo UI"/>
                <w:sz w:val="18"/>
              </w:rPr>
              <w:t>限定的</w:t>
            </w:r>
          </w:p>
        </w:tc>
        <w:tc>
          <w:tcPr>
            <w:tcW w:type="dxa" w:w="2351"/>
            <w:shd w:val="clear" w:color="auto" w:fill="DDEBF7"/>
          </w:tcPr>
          <w:p>
            <w:r>
              <w:rPr>
                <w:rFonts w:ascii="Meiryo UI" w:hAnsi="Meiryo UI"/>
                <w:sz w:val="18"/>
              </w:rPr>
              <w:t>北米投資家が名指しで言及</w:t>
            </w:r>
          </w:p>
        </w:tc>
        <w:tc>
          <w:tcPr>
            <w:tcW w:type="dxa" w:w="2351"/>
            <w:shd w:val="clear" w:color="auto" w:fill="DDEBF7"/>
          </w:tcPr>
          <w:p>
            <w:r>
              <w:rPr>
                <w:rFonts w:ascii="Meiryo UI" w:hAnsi="Meiryo UI"/>
                <w:sz w:val="18"/>
              </w:rPr>
              <w:t>✅ 新規認知</w:t>
            </w:r>
          </w:p>
        </w:tc>
      </w:tr>
      <w:tr>
        <w:tc>
          <w:tcPr>
            <w:tcW w:type="dxa" w:w="2351"/>
          </w:tcPr>
          <w:p>
            <w:r>
              <w:rPr>
                <w:rFonts w:ascii="Meiryo UI" w:hAnsi="Meiryo UI"/>
                <w:sz w:val="18"/>
              </w:rPr>
              <w:t>在庫リスク</w:t>
            </w:r>
          </w:p>
        </w:tc>
        <w:tc>
          <w:tcPr>
            <w:tcW w:type="dxa" w:w="2351"/>
          </w:tcPr>
          <w:p>
            <w:r>
              <w:rPr>
                <w:rFonts w:ascii="Meiryo UI" w:hAnsi="Meiryo UI"/>
                <w:sz w:val="18"/>
              </w:rPr>
              <w:t>通常</w:t>
            </w:r>
          </w:p>
        </w:tc>
        <w:tc>
          <w:tcPr>
            <w:tcW w:type="dxa" w:w="2351"/>
          </w:tcPr>
          <w:p>
            <w:r>
              <w:rPr>
                <w:rFonts w:ascii="Meiryo UI" w:hAnsi="Meiryo UI"/>
                <w:sz w:val="18"/>
              </w:rPr>
              <w:t>金利高継続</w:t>
            </w:r>
          </w:p>
        </w:tc>
        <w:tc>
          <w:tcPr>
            <w:tcW w:type="dxa" w:w="2351"/>
          </w:tcPr>
          <w:p>
            <w:r>
              <w:rPr>
                <w:rFonts w:ascii="Meiryo UI" w:hAnsi="Meiryo UI"/>
                <w:sz w:val="18"/>
              </w:rPr>
              <w:t>⚠️ 要注意</w:t>
            </w:r>
          </w:p>
        </w:tc>
      </w:tr>
      <w:tr>
        <w:tc>
          <w:tcPr>
            <w:tcW w:type="dxa" w:w="2351"/>
            <w:shd w:val="clear" w:color="auto" w:fill="DDEBF7"/>
          </w:tcPr>
          <w:p>
            <w:r>
              <w:rPr>
                <w:rFonts w:ascii="Meiryo UI" w:hAnsi="Meiryo UI"/>
                <w:sz w:val="18"/>
              </w:rPr>
              <w:t>M&amp;Aリスク</w:t>
            </w:r>
          </w:p>
        </w:tc>
        <w:tc>
          <w:tcPr>
            <w:tcW w:type="dxa" w:w="2351"/>
            <w:shd w:val="clear" w:color="auto" w:fill="DDEBF7"/>
          </w:tcPr>
          <w:p>
            <w:r>
              <w:rPr>
                <w:rFonts w:ascii="Meiryo UI" w:hAnsi="Meiryo UI"/>
                <w:sz w:val="18"/>
              </w:rPr>
              <w:t>限定的</w:t>
            </w:r>
          </w:p>
        </w:tc>
        <w:tc>
          <w:tcPr>
            <w:tcW w:type="dxa" w:w="2351"/>
            <w:shd w:val="clear" w:color="auto" w:fill="DDEBF7"/>
          </w:tcPr>
          <w:p>
            <w:r>
              <w:rPr>
                <w:rFonts w:ascii="Meiryo UI" w:hAnsi="Meiryo UI"/>
                <w:sz w:val="18"/>
              </w:rPr>
              <w:t>変化なし</w:t>
            </w:r>
          </w:p>
        </w:tc>
        <w:tc>
          <w:tcPr>
            <w:tcW w:type="dxa" w:w="2351"/>
            <w:shd w:val="clear" w:color="auto" w:fill="DDEBF7"/>
          </w:tcPr>
          <w:p>
            <w:r>
              <w:rPr>
                <w:rFonts w:ascii="Meiryo UI" w:hAnsi="Meiryo UI"/>
                <w:sz w:val="18"/>
              </w:rPr>
              <w:t>→</w:t>
            </w:r>
          </w:p>
        </w:tc>
      </w:tr>
    </w:tbl>
    <w:p/>
    <w:p>
      <w:r>
        <w:t>──────────────────────────────────────────────────</w:t>
      </w:r>
    </w:p>
    <w:p/>
    <w:p>
      <w:pPr>
        <w:pStyle w:val="Heading2"/>
      </w:pPr>
      <w:r>
        <w:rPr>
          <w:rFonts w:ascii="Meiryo UI" w:hAnsi="Meiryo UI"/>
          <w:color w:val="2E74B5"/>
        </w:rPr>
        <w:t>■ 10. NAV・含み益分析（不動産含み益ルール適用）</w:t>
      </w:r>
    </w:p>
    <w:p/>
    <w:p>
      <w:r>
        <w:rPr>
          <w:rFonts w:ascii="Meiryo UI" w:hAnsi="Meiryo UI"/>
          <w:sz w:val="20"/>
        </w:rPr>
        <w:t>カチタスはフロービジネス（buy-remodel-sell）のため、伝統的な不動産含み益は限定的。</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土地・建物含み益</w:t>
            </w:r>
          </w:p>
        </w:tc>
        <w:tc>
          <w:tcPr>
            <w:tcW w:type="dxa" w:w="4703"/>
          </w:tcPr>
          <w:p>
            <w:r>
              <w:rPr>
                <w:rFonts w:ascii="Meiryo UI" w:hAnsi="Meiryo UI"/>
                <w:sz w:val="18"/>
              </w:rPr>
              <w:t>微小（本社・事業用資産のみ。投資不動産保有なし）</w:t>
            </w:r>
          </w:p>
        </w:tc>
      </w:tr>
      <w:tr>
        <w:tc>
          <w:tcPr>
            <w:tcW w:type="dxa" w:w="4703"/>
            <w:shd w:val="clear" w:color="auto" w:fill="DDEBF7"/>
          </w:tcPr>
          <w:p>
            <w:r>
              <w:rPr>
                <w:rFonts w:ascii="Meiryo UI" w:hAnsi="Meiryo UI"/>
                <w:sz w:val="18"/>
              </w:rPr>
              <w:t>棚卸資産（未販売物件）</w:t>
            </w:r>
          </w:p>
        </w:tc>
        <w:tc>
          <w:tcPr>
            <w:tcW w:type="dxa" w:w="4703"/>
            <w:shd w:val="clear" w:color="auto" w:fill="DDEBF7"/>
          </w:tcPr>
          <w:p>
            <w:r>
              <w:rPr>
                <w:rFonts w:ascii="Meiryo UI" w:hAnsi="Meiryo UI"/>
                <w:sz w:val="18"/>
              </w:rPr>
              <w:t>時価 ≈ 帳簿価格（短期回転のため乖離小さい）</w:t>
            </w:r>
          </w:p>
        </w:tc>
      </w:tr>
      <w:tr>
        <w:tc>
          <w:tcPr>
            <w:tcW w:type="dxa" w:w="4703"/>
          </w:tcPr>
          <w:p>
            <w:r>
              <w:rPr>
                <w:rFonts w:ascii="Meiryo UI" w:hAnsi="Meiryo UI"/>
                <w:sz w:val="18"/>
              </w:rPr>
              <w:t>真の含み益 = フランチャイズバリュー</w:t>
            </w:r>
          </w:p>
        </w:tc>
        <w:tc>
          <w:tcPr>
            <w:tcW w:type="dxa" w:w="4703"/>
          </w:tcPr>
          <w:p>
            <w:r>
              <w:rPr>
                <w:rFonts w:ascii="Meiryo UI" w:hAnsi="Meiryo UI"/>
                <w:sz w:val="18"/>
              </w:rPr>
              <w:t>業界独占的地位の無形資産（競合は17分の1以下）→ PBR4.9xに反映済み</w:t>
            </w:r>
          </w:p>
        </w:tc>
      </w:tr>
    </w:tbl>
    <w:p/>
    <w:p>
      <w:r>
        <w:rPr>
          <w:rFonts w:ascii="Meiryo UI" w:hAnsi="Meiryo UI"/>
          <w:sz w:val="20"/>
        </w:rPr>
        <w:t>結論: カチタスの「含み益」は不動産ではなく、競争的優位性（無形資産）と成長オプション。PBR 4.90xは過剰ではなく、ROE25% × 成長20%を反映した合理的プレミアム。</w:t>
      </w:r>
    </w:p>
    <w:p/>
    <w:p>
      <w:r>
        <w:t>──────────────────────────────────────────────────</w:t>
      </w:r>
    </w:p>
    <w:p/>
    <w:p>
      <w:pPr>
        <w:pStyle w:val="Heading2"/>
      </w:pPr>
      <w:r>
        <w:rPr>
          <w:rFonts w:ascii="Meiryo UI" w:hAnsi="Meiryo UI"/>
          <w:color w:val="2E74B5"/>
        </w:rPr>
        <w:t>■ 11. ポジション管理プロトコル</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段階</w:t>
            </w:r>
          </w:p>
        </w:tc>
        <w:tc>
          <w:tcPr>
            <w:tcW w:type="dxa" w:w="3135"/>
            <w:shd w:val="clear" w:color="auto" w:fill="2E74B5"/>
          </w:tcPr>
          <w:p>
            <w:r>
              <w:rPr>
                <w:rFonts w:ascii="Meiryo UI" w:hAnsi="Meiryo UI"/>
                <w:b/>
                <w:color w:val="FFFFFF"/>
                <w:sz w:val="18"/>
              </w:rPr>
              <w:t>条件</w:t>
            </w:r>
          </w:p>
        </w:tc>
        <w:tc>
          <w:tcPr>
            <w:tcW w:type="dxa" w:w="3135"/>
            <w:shd w:val="clear" w:color="auto" w:fill="2E74B5"/>
          </w:tcPr>
          <w:p>
            <w:r>
              <w:rPr>
                <w:rFonts w:ascii="Meiryo UI" w:hAnsi="Meiryo UI"/>
                <w:b/>
                <w:color w:val="FFFFFF"/>
                <w:sz w:val="18"/>
              </w:rPr>
              <w:t>アクション</w:t>
            </w:r>
          </w:p>
        </w:tc>
      </w:tr>
      <w:tr>
        <w:tc>
          <w:tcPr>
            <w:tcW w:type="dxa" w:w="3135"/>
          </w:tcPr>
          <w:p>
            <w:r>
              <w:rPr>
                <w:rFonts w:ascii="Meiryo UI" w:hAnsi="Meiryo UI"/>
                <w:sz w:val="18"/>
              </w:rPr>
              <w:t>初回エントリー</w:t>
            </w:r>
          </w:p>
        </w:tc>
        <w:tc>
          <w:tcPr>
            <w:tcW w:type="dxa" w:w="3135"/>
          </w:tcPr>
          <w:p>
            <w:r>
              <w:rPr>
                <w:rFonts w:ascii="Meiryo UI" w:hAnsi="Meiryo UI"/>
                <w:sz w:val="18"/>
              </w:rPr>
              <w:t>現値¥3,135</w:t>
            </w:r>
          </w:p>
        </w:tc>
        <w:tc>
          <w:tcPr>
            <w:tcW w:type="dxa" w:w="3135"/>
          </w:tcPr>
          <w:p>
            <w:r>
              <w:rPr>
                <w:rFonts w:ascii="Meiryo UI" w:hAnsi="Meiryo UI"/>
                <w:sz w:val="18"/>
              </w:rPr>
              <w:t>推奨ウェイト 0.6%</w:t>
            </w:r>
          </w:p>
        </w:tc>
      </w:tr>
      <w:tr>
        <w:tc>
          <w:tcPr>
            <w:tcW w:type="dxa" w:w="3135"/>
            <w:shd w:val="clear" w:color="auto" w:fill="DDEBF7"/>
          </w:tcPr>
          <w:p>
            <w:r>
              <w:rPr>
                <w:rFonts w:ascii="Meiryo UI" w:hAnsi="Meiryo UI"/>
                <w:sz w:val="18"/>
              </w:rPr>
              <w:t>追加</w:t>
            </w:r>
          </w:p>
        </w:tc>
        <w:tc>
          <w:tcPr>
            <w:tcW w:type="dxa" w:w="3135"/>
            <w:shd w:val="clear" w:color="auto" w:fill="DDEBF7"/>
          </w:tcPr>
          <w:p>
            <w:r>
              <w:rPr>
                <w:rFonts w:ascii="Meiryo UI" w:hAnsi="Meiryo UI"/>
                <w:sz w:val="18"/>
              </w:rPr>
              <w:t>FY2026通期決算上振れ発表後（5月）</w:t>
            </w:r>
          </w:p>
        </w:tc>
        <w:tc>
          <w:tcPr>
            <w:tcW w:type="dxa" w:w="3135"/>
            <w:shd w:val="clear" w:color="auto" w:fill="DDEBF7"/>
          </w:tcPr>
          <w:p>
            <w:r>
              <w:rPr>
                <w:rFonts w:ascii="Meiryo UI" w:hAnsi="Meiryo UI"/>
                <w:sz w:val="18"/>
              </w:rPr>
              <w:t>+0.4%（最大1.0%）</w:t>
            </w:r>
          </w:p>
        </w:tc>
      </w:tr>
      <w:tr>
        <w:tc>
          <w:tcPr>
            <w:tcW w:type="dxa" w:w="3135"/>
          </w:tcPr>
          <w:p>
            <w:r>
              <w:rPr>
                <w:rFonts w:ascii="Meiryo UI" w:hAnsi="Meiryo UI"/>
                <w:sz w:val="18"/>
              </w:rPr>
              <w:t>利確①</w:t>
            </w:r>
          </w:p>
        </w:tc>
        <w:tc>
          <w:tcPr>
            <w:tcW w:type="dxa" w:w="3135"/>
          </w:tcPr>
          <w:p>
            <w:r>
              <w:rPr>
                <w:rFonts w:ascii="Meiryo UI" w:hAnsi="Meiryo UI"/>
                <w:sz w:val="18"/>
              </w:rPr>
              <w:t>¥3,640（52w高値）</w:t>
            </w:r>
          </w:p>
        </w:tc>
        <w:tc>
          <w:tcPr>
            <w:tcW w:type="dxa" w:w="3135"/>
          </w:tcPr>
          <w:p>
            <w:r>
              <w:rPr>
                <w:rFonts w:ascii="Meiryo UI" w:hAnsi="Meiryo UI"/>
                <w:sz w:val="18"/>
              </w:rPr>
              <w:t>1/4利確</w:t>
            </w:r>
          </w:p>
        </w:tc>
      </w:tr>
      <w:tr>
        <w:tc>
          <w:tcPr>
            <w:tcW w:type="dxa" w:w="3135"/>
            <w:shd w:val="clear" w:color="auto" w:fill="DDEBF7"/>
          </w:tcPr>
          <w:p>
            <w:r>
              <w:rPr>
                <w:rFonts w:ascii="Meiryo UI" w:hAnsi="Meiryo UI"/>
                <w:sz w:val="18"/>
              </w:rPr>
              <w:t>利確②</w:t>
            </w:r>
          </w:p>
        </w:tc>
        <w:tc>
          <w:tcPr>
            <w:tcW w:type="dxa" w:w="3135"/>
            <w:shd w:val="clear" w:color="auto" w:fill="DDEBF7"/>
          </w:tcPr>
          <w:p>
            <w:r>
              <w:rPr>
                <w:rFonts w:ascii="Meiryo UI" w:hAnsi="Meiryo UI"/>
                <w:sz w:val="18"/>
              </w:rPr>
              <w:t>¥4,000（TP到達）</w:t>
            </w:r>
          </w:p>
        </w:tc>
        <w:tc>
          <w:tcPr>
            <w:tcW w:type="dxa" w:w="3135"/>
            <w:shd w:val="clear" w:color="auto" w:fill="DDEBF7"/>
          </w:tcPr>
          <w:p>
            <w:r>
              <w:rPr>
                <w:rFonts w:ascii="Meiryo UI" w:hAnsi="Meiryo UI"/>
                <w:sz w:val="18"/>
              </w:rPr>
              <w:t>1/2利確</w:t>
            </w:r>
          </w:p>
        </w:tc>
      </w:tr>
      <w:tr>
        <w:tc>
          <w:tcPr>
            <w:tcW w:type="dxa" w:w="3135"/>
          </w:tcPr>
          <w:p>
            <w:r>
              <w:rPr>
                <w:rFonts w:ascii="Meiryo UI" w:hAnsi="Meiryo UI"/>
                <w:sz w:val="18"/>
              </w:rPr>
              <w:t>ストップロス</w:t>
            </w:r>
          </w:p>
        </w:tc>
        <w:tc>
          <w:tcPr>
            <w:tcW w:type="dxa" w:w="3135"/>
          </w:tcPr>
          <w:p>
            <w:r>
              <w:rPr>
                <w:rFonts w:ascii="Meiryo UI" w:hAnsi="Meiryo UI"/>
                <w:sz w:val="18"/>
              </w:rPr>
              <w:t>¥2,600（▲17%）</w:t>
            </w:r>
          </w:p>
        </w:tc>
        <w:tc>
          <w:tcPr>
            <w:tcW w:type="dxa" w:w="3135"/>
          </w:tcPr>
          <w:p>
            <w:r>
              <w:rPr>
                <w:rFonts w:ascii="Meiryo UI" w:hAnsi="Meiryo UI"/>
                <w:sz w:val="18"/>
              </w:rPr>
              <w:t>全撤退</w:t>
            </w:r>
          </w:p>
        </w:tc>
      </w:tr>
      <w:tr>
        <w:tc>
          <w:tcPr>
            <w:tcW w:type="dxa" w:w="3135"/>
            <w:shd w:val="clear" w:color="auto" w:fill="DDEBF7"/>
          </w:tcPr>
          <w:p>
            <w:r>
              <w:rPr>
                <w:rFonts w:ascii="Meiryo UI" w:hAnsi="Meiryo UI"/>
                <w:sz w:val="18"/>
              </w:rPr>
              <w:t>全撤退条件</w:t>
            </w:r>
          </w:p>
        </w:tc>
        <w:tc>
          <w:tcPr>
            <w:tcW w:type="dxa" w:w="3135"/>
            <w:shd w:val="clear" w:color="auto" w:fill="DDEBF7"/>
          </w:tcPr>
          <w:p>
            <w:r>
              <w:rPr>
                <w:rFonts w:ascii="Meiryo UI" w:hAnsi="Meiryo UI"/>
                <w:sz w:val="18"/>
              </w:rPr>
              <w:t>年間販売件数が計画▲15%乖離 or 粗利率が24%以下に悪化</w:t>
            </w:r>
          </w:p>
        </w:tc>
        <w:tc>
          <w:tcPr>
            <w:tcW w:type="dxa" w:w="3135"/>
            <w:shd w:val="clear" w:color="auto" w:fill="DDEBF7"/>
          </w:tcPr>
          <w:p>
            <w:r>
              <w:rPr>
                <w:rFonts w:ascii="Meiryo UI" w:hAnsi="Meiryo UI"/>
                <w:sz w:val="18"/>
              </w:rPr>
              <w:t>撤退検討</w:t>
            </w:r>
          </w:p>
        </w:tc>
      </w:tr>
    </w:tbl>
    <w:p/>
    <w:p>
      <w:r>
        <w:t>──────────────────────────────────────────────────</w:t>
      </w:r>
    </w:p>
    <w:p/>
    <w:p>
      <w:pPr>
        <w:pStyle w:val="Heading2"/>
      </w:pPr>
      <w:r>
        <w:rPr>
          <w:rFonts w:ascii="Meiryo UI" w:hAnsi="Meiryo UI"/>
          <w:color w:val="2E74B5"/>
        </w:rPr>
        <w:t>■ 12. 浅井スコア連携</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浅井スコア</w:t>
            </w:r>
          </w:p>
        </w:tc>
        <w:tc>
          <w:tcPr>
            <w:tcW w:type="dxa" w:w="4703"/>
          </w:tcPr>
          <w:p>
            <w:r>
              <w:rPr>
                <w:rFonts w:ascii="Meiryo UI" w:hAnsi="Meiryo UI"/>
                <w:sz w:val="18"/>
              </w:rPr>
              <w:t>+87</w:t>
            </w:r>
          </w:p>
        </w:tc>
      </w:tr>
      <w:tr>
        <w:tc>
          <w:tcPr>
            <w:tcW w:type="dxa" w:w="4703"/>
            <w:shd w:val="clear" w:color="auto" w:fill="DDEBF7"/>
          </w:tcPr>
          <w:p>
            <w:r>
              <w:rPr>
                <w:rFonts w:ascii="Meiryo UI" w:hAnsi="Meiryo UI"/>
                <w:sz w:val="18"/>
              </w:rPr>
              <w:t>スコア根拠</w:t>
            </w:r>
          </w:p>
        </w:tc>
        <w:tc>
          <w:tcPr>
            <w:tcW w:type="dxa" w:w="4703"/>
            <w:shd w:val="clear" w:color="auto" w:fill="DDEBF7"/>
          </w:tcPr>
          <w:p>
            <w:r>
              <w:rPr>
                <w:rFonts w:ascii="Meiryo UI" w:hAnsi="Meiryo UI"/>
                <w:sz w:val="18"/>
              </w:rPr>
              <w:t>TOTO影響ゼロ（IR確認済）× 北米投資家注目 × FY2026 Q1-Q3上振れ +31% × 業界17倍独占 × Beta0.65（防御性高）× BOJ見送り</w:t>
            </w:r>
          </w:p>
        </w:tc>
      </w:tr>
      <w:tr>
        <w:tc>
          <w:tcPr>
            <w:tcW w:type="dxa" w:w="4703"/>
          </w:tcPr>
          <w:p>
            <w:r>
              <w:rPr>
                <w:rFonts w:ascii="Meiryo UI" w:hAnsi="Meiryo UI"/>
                <w:sz w:val="18"/>
              </w:rPr>
              <w:t>前回参照スコア</w:t>
            </w:r>
          </w:p>
        </w:tc>
        <w:tc>
          <w:tcPr>
            <w:tcW w:type="dxa" w:w="4703"/>
          </w:tcPr>
          <w:p>
            <w:r>
              <w:rPr>
                <w:rFonts w:ascii="Meiryo UI" w:hAnsi="Meiryo UI"/>
                <w:sz w:val="18"/>
              </w:rPr>
              <w:t>+85（本日更新+2pt）</w:t>
            </w:r>
          </w:p>
        </w:tc>
      </w:tr>
    </w:tbl>
    <w:p/>
    <w:p>
      <w:r>
        <w:t>──────────────────────────────────────────────────</w:t>
      </w:r>
    </w:p>
    <w:p/>
    <w:p>
      <w:pPr>
        <w:pStyle w:val="Heading2"/>
      </w:pPr>
      <w:r>
        <w:rPr>
          <w:rFonts w:ascii="Meiryo UI" w:hAnsi="Meiryo UI"/>
          <w:color w:val="2E74B5"/>
        </w:rPr>
        <w:t>■ 13. IR質問状（竹村トレードカンパニー名義）</w:t>
      </w:r>
    </w:p>
    <w:p/>
    <w:p>
      <w:r>
        <w:rPr>
          <w:rFonts w:ascii="Meiryo UI" w:hAnsi="Meiryo UI"/>
          <w:sz w:val="20"/>
        </w:rPr>
        <w:t xml:space="preserve">送付先: katitas.co.jp/contact-c/  </w:t>
      </w:r>
    </w:p>
    <w:p>
      <w:r>
        <w:rPr>
          <w:rFonts w:ascii="Meiryo UI" w:hAnsi="Meiryo UI"/>
          <w:sz w:val="20"/>
        </w:rPr>
        <w:t>件名: 投資判断に関するIR取材依頼（竹村トレードカンパニー）</w:t>
      </w:r>
    </w:p>
    <w:p/>
    <w:p>
      <w:r>
        <w:t>──────────────────────────────────────────────────</w:t>
      </w:r>
    </w:p>
    <w:p/>
    <w:p>
      <w:r>
        <w:rPr>
          <w:rFonts w:ascii="Meiryo UI" w:hAnsi="Meiryo UI"/>
          <w:sz w:val="20"/>
        </w:rPr>
        <w:t>拝啓</w:t>
      </w:r>
    </w:p>
    <w:p/>
    <w:p>
      <w:r>
        <w:rPr>
          <w:rFonts w:ascii="Meiryo UI" w:hAnsi="Meiryo UI"/>
          <w:sz w:val="20"/>
        </w:rPr>
        <w:t>竹村トレードカンパニーの深井と申します。カチタス様の事業に大きな関心を持ち、以下5点についてご見解をお聞かせいただければ幸いです。</w:t>
      </w:r>
    </w:p>
    <w:p/>
    <w:p>
      <w:pPr>
        <w:pStyle w:val="ListNumber"/>
      </w:pPr>
      <w:r>
        <w:rPr>
          <w:rFonts w:ascii="Meiryo UI" w:hAnsi="Meiryo UI"/>
          <w:sz w:val="20"/>
        </w:rPr>
        <w:t>FY2026通期業績: Q1-Q3累計経常利益¥139億がFY2025通期¥138億を既に超過しています。Q4（1-3月）の繁忙期実績を踏まえた通期着地見込みについて教えてください。</w:t>
      </w:r>
    </w:p>
    <w:p/>
    <w:p>
      <w:pPr>
        <w:pStyle w:val="ListNumber"/>
      </w:pPr>
      <w:r>
        <w:rPr>
          <w:rFonts w:ascii="Meiryo UI" w:hAnsi="Meiryo UI"/>
          <w:sz w:val="20"/>
        </w:rPr>
        <w:t>第4次中期計画（1万件目標）の進捗: 年間1万件達成に向け、最大のボトルネックは「仕入れ担当者の採用・教育」と理解していますが、FY2026時点での担当者数の増加ペースと現場の仕入れ余力についてお聞かせください。</w:t>
      </w:r>
    </w:p>
    <w:p/>
    <w:p>
      <w:pPr>
        <w:pStyle w:val="ListNumber"/>
      </w:pPr>
      <w:r>
        <w:rPr>
          <w:rFonts w:ascii="Meiryo UI" w:hAnsi="Meiryo UI"/>
          <w:sz w:val="20"/>
        </w:rPr>
        <w:t>ホルムズ封鎖による中古市場シフト: 新築住宅の供給制約（TOTO問題等）が中古市場需要に与えている影響を、現場の問い合わせ・来場件数増減の定性情報も含めてお聞かせください。</w:t>
      </w:r>
    </w:p>
    <w:p/>
    <w:p>
      <w:pPr>
        <w:pStyle w:val="ListNumber"/>
      </w:pPr>
      <w:r>
        <w:rPr>
          <w:rFonts w:ascii="Meiryo UI" w:hAnsi="Meiryo UI"/>
          <w:sz w:val="20"/>
        </w:rPr>
        <w:t>AI・DXによる査定効率化の進捗: 1人当たりの仕入れ査定件数改善の目標と現状の粗利率への貢献効果をお聞かせください。</w:t>
      </w:r>
    </w:p>
    <w:p/>
    <w:p>
      <w:pPr>
        <w:pStyle w:val="ListNumber"/>
      </w:pPr>
      <w:r>
        <w:rPr>
          <w:rFonts w:ascii="Meiryo UI" w:hAnsi="Meiryo UI"/>
          <w:sz w:val="20"/>
        </w:rPr>
        <w:t>地方物件における空き家仕入れ価格のトレンド: 人口減少加速地域での仕入れコスト変動と、それに対応する粗利率防衛の方針について教えてください。</w:t>
      </w:r>
    </w:p>
    <w:p/>
    <w:p>
      <w:r>
        <w:rPr>
          <w:rFonts w:ascii="Meiryo UI" w:hAnsi="Meiryo UI"/>
          <w:sz w:val="20"/>
        </w:rPr>
        <w:t>以上、ご多忙の中恐れ入りますがよろしくお願いいたします。</w:t>
      </w:r>
    </w:p>
    <w:p/>
    <w:p>
      <w:r>
        <w:rPr>
          <w:rFonts w:ascii="Meiryo UI" w:hAnsi="Meiryo UI"/>
          <w:sz w:val="20"/>
        </w:rPr>
        <w:t>竹村トレードカンパニー　深井</w:t>
      </w:r>
    </w:p>
    <w:p>
      <w:r>
        <w:rPr>
          <w:rFonts w:ascii="Meiryo UI" w:hAnsi="Meiryo UI"/>
          <w:sz w:val="20"/>
        </w:rPr>
        <w:t>Email: [竹村トレードカンパニー公式メール]</w:t>
      </w:r>
    </w:p>
    <w:p/>
    <w:p>
      <w:r>
        <w:t>──────────────────────────────────────────────────</w:t>
      </w:r>
    </w:p>
    <w:p/>
    <w:p>
      <w:r>
        <w:rPr>
          <w:rFonts w:ascii="Meiryo UI" w:hAnsi="Meiryo UI"/>
          <w:sz w:val="20"/>
        </w:rPr>
        <w:t>本レポートは2026-04-20付。株価・財務データはyfinance・StockAnalysis取得（¥3,135）。BPS整合性確認済み。</w:t>
      </w:r>
    </w:p>
    <w:p>
      <w:r>
        <w:rPr>
          <w:rFonts w:ascii="Meiryo UI" w:hAnsi="Meiryo UI"/>
          <w:sz w:val="20"/>
        </w:rPr>
        <w:t>Rf=2.380%（財務省CSV）、β=0.65（yfinance実測）、ERP=5.50%</w:t>
      </w:r>
    </w:p>
    <w:p/>
    <w:p>
      <w:r>
        <w:rPr>
          <w:rFonts w:ascii="Meiryo UI" w:hAnsi="Meiryo UI"/>
          <w:sz w:val="20"/>
        </w:rPr>
        <w:t>Sources:</w:t>
      </w:r>
    </w:p>
    <w:p>
      <w:pPr>
        <w:pStyle w:val="ListBullet"/>
      </w:pPr>
      <w:r>
        <w:rPr>
          <w:rFonts w:ascii="Meiryo UI" w:hAnsi="Meiryo UI"/>
          <w:sz w:val="20"/>
        </w:rPr>
        <w:t>[カチタス IR情報](https://katitas.co.jp/ir/)</w:t>
      </w:r>
    </w:p>
    <w:p>
      <w:pPr>
        <w:pStyle w:val="ListBullet"/>
      </w:pPr>
      <w:r>
        <w:rPr>
          <w:rFonts w:ascii="Meiryo UI" w:hAnsi="Meiryo UI"/>
          <w:sz w:val="20"/>
        </w:rPr>
        <w:t>[8919 カチタス 決算発表資料一覧](https://irbank.net/E33622/reports)</w:t>
      </w:r>
    </w:p>
    <w:p>
      <w:pPr>
        <w:pStyle w:val="ListBullet"/>
      </w:pPr>
      <w:r>
        <w:rPr>
          <w:rFonts w:ascii="Meiryo UI" w:hAnsi="Meiryo UI"/>
          <w:sz w:val="20"/>
        </w:rPr>
        <w:t>[カチタス 2026年3月期第2四半期決算](https://irbank.net/8919/140120251107591467)</w:t>
      </w:r>
    </w:p>
    <w:p>
      <w:pPr>
        <w:pStyle w:val="ListBullet"/>
      </w:pPr>
      <w:r>
        <w:rPr>
          <w:rFonts w:ascii="Meiryo UI" w:hAnsi="Meiryo UI"/>
          <w:sz w:val="20"/>
        </w:rPr>
        <w:t>[カチタス 事業内容](https://katitas.co.jp/value.html)</w:t>
      </w:r>
    </w:p>
    <w:p>
      <w:pPr>
        <w:pStyle w:val="ListBullet"/>
      </w:pPr>
      <w:r>
        <w:rPr>
          <w:rFonts w:ascii="Meiryo UI" w:hAnsi="Meiryo UI"/>
          <w:sz w:val="20"/>
        </w:rPr>
        <w:t>[KATITAS Stock Analysis](https://stockanalysis.com/quote/tyo/8919/)</w:t>
      </w:r>
    </w:p>
    <w:p>
      <w:pPr>
        <w:pStyle w:val="ListBullet"/>
      </w:pPr>
      <w:r>
        <w:rPr>
          <w:rFonts w:ascii="Meiryo UI" w:hAnsi="Meiryo UI"/>
          <w:sz w:val="20"/>
        </w:rPr>
        <w:t>[買取再販売上高ランキング](https://www.reform-online.jp/news/renovation/25227.php)</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