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8919 カチタス — Deep Research</w:t>
      </w:r>
    </w:p>
    <w:p/>
    <w:p/>
    <w:p>
      <w:pPr>
        <w:jc w:val="center"/>
      </w:pPr>
      <w:r>
        <w:rPr>
          <w:rFonts w:ascii="Meiryo UI" w:hAnsi="Meiryo UI"/>
          <w:sz w:val="24"/>
        </w:rPr>
        <w:t>アナリスト：深井</w:t>
      </w:r>
    </w:p>
    <w:p>
      <w:pPr>
        <w:jc w:val="center"/>
      </w:pPr>
      <w:r>
        <w:rPr>
          <w:rFonts w:ascii="Meiryo UI" w:hAnsi="Meiryo UI"/>
          <w:sz w:val="24"/>
        </w:rPr>
        <w:t>分析日：2026年4月15日</w:t>
      </w:r>
    </w:p>
    <w:p>
      <w:r>
        <w:br w:type="page"/>
      </w:r>
    </w:p>
    <w:p>
      <w:pPr>
        <w:pStyle w:val="Heading1"/>
      </w:pPr>
      <w:r>
        <w:rPr>
          <w:rFonts w:ascii="Meiryo UI" w:hAnsi="Meiryo UI"/>
          <w:color w:val="1F3864"/>
        </w:rPr>
        <w:t>8919 カチタス — Deep Research</w:t>
      </w:r>
    </w:p>
    <w:p>
      <w:r>
        <w:rPr>
          <w:rFonts w:ascii="Meiryo UI" w:hAnsi="Meiryo UI"/>
          <w:sz w:val="20"/>
        </w:rPr>
        <w:t>分析日: 2026年4月15日</w:t>
      </w:r>
    </w:p>
    <w:p>
      <w:r>
        <w:rPr>
          <w:rFonts w:ascii="Meiryo UI" w:hAnsi="Meiryo UI"/>
          <w:sz w:val="20"/>
        </w:rPr>
        <w:t>アナリスト: 深井</w:t>
      </w:r>
    </w:p>
    <w:p>
      <w:r>
        <w:rPr>
          <w:rFonts w:ascii="Meiryo UI" w:hAnsi="Meiryo UI"/>
          <w:sz w:val="20"/>
        </w:rPr>
        <w:t>投資判断: STRONG BUY | TP: ¥4,000 | スコア: +95</w:t>
      </w:r>
    </w:p>
    <w:p/>
    <w:p>
      <w:r>
        <w:t>──────────────────────────────────────────────────</w:t>
      </w:r>
    </w:p>
    <w:p/>
    <w:p>
      <w:pPr>
        <w:pStyle w:val="Heading2"/>
      </w:pPr>
      <w:r>
        <w:rPr>
          <w:rFonts w:ascii="Meiryo UI" w:hAnsi="Meiryo UI"/>
          <w:color w:val="2E74B5"/>
        </w:rPr>
        <w:t>冒頭10秒サマリー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STRONG BUY</w:t>
            </w:r>
          </w:p>
        </w:tc>
      </w:tr>
      <w:tr>
        <w:tc>
          <w:tcPr>
            <w:tcW w:type="dxa" w:w="4703"/>
            <w:shd w:val="clear" w:color="auto" w:fill="DDEBF7"/>
          </w:tcPr>
          <w:p>
            <w:r>
              <w:rPr>
                <w:rFonts w:ascii="Meiryo UI" w:hAnsi="Meiryo UI"/>
                <w:sz w:val="18"/>
              </w:rPr>
              <w:t>TP（12ヶ月）</w:t>
            </w:r>
          </w:p>
        </w:tc>
        <w:tc>
          <w:tcPr>
            <w:tcW w:type="dxa" w:w="4703"/>
            <w:shd w:val="clear" w:color="auto" w:fill="DDEBF7"/>
          </w:tcPr>
          <w:p>
            <w:r>
              <w:rPr>
                <w:rFonts w:ascii="Meiryo UI" w:hAnsi="Meiryo UI"/>
                <w:sz w:val="18"/>
              </w:rPr>
              <w:t>¥4,000（現値+30.7%）</w:t>
            </w:r>
          </w:p>
        </w:tc>
      </w:tr>
      <w:tr>
        <w:tc>
          <w:tcPr>
            <w:tcW w:type="dxa" w:w="4703"/>
          </w:tcPr>
          <w:p>
            <w:r>
              <w:rPr>
                <w:rFonts w:ascii="Meiryo UI" w:hAnsi="Meiryo UI"/>
                <w:sz w:val="18"/>
              </w:rPr>
              <w:t>安全域</w:t>
            </w:r>
          </w:p>
        </w:tc>
        <w:tc>
          <w:tcPr>
            <w:tcW w:type="dxa" w:w="4703"/>
          </w:tcPr>
          <w:p>
            <w:r>
              <w:rPr>
                <w:rFonts w:ascii="Meiryo UI" w:hAnsi="Meiryo UI"/>
                <w:sz w:val="18"/>
              </w:rPr>
              <w:t>24%（確信度：★★★★☆ → 改訂後 ★★★★★）</w:t>
            </w:r>
          </w:p>
        </w:tc>
      </w:tr>
      <w:tr>
        <w:tc>
          <w:tcPr>
            <w:tcW w:type="dxa" w:w="4703"/>
            <w:shd w:val="clear" w:color="auto" w:fill="DDEBF7"/>
          </w:tcPr>
          <w:p>
            <w:r>
              <w:rPr>
                <w:rFonts w:ascii="Meiryo UI" w:hAnsi="Meiryo UI"/>
                <w:sz w:val="18"/>
              </w:rPr>
              <w:t>現在株価</w:t>
            </w:r>
          </w:p>
        </w:tc>
        <w:tc>
          <w:tcPr>
            <w:tcW w:type="dxa" w:w="4703"/>
            <w:shd w:val="clear" w:color="auto" w:fill="DDEBF7"/>
          </w:tcPr>
          <w:p>
            <w:r>
              <w:rPr>
                <w:rFonts w:ascii="Meiryo UI" w:hAnsi="Meiryo UI"/>
                <w:sz w:val="18"/>
              </w:rPr>
              <w:t>¥3,060（2026/04/15引け）</w:t>
            </w:r>
          </w:p>
        </w:tc>
      </w:tr>
      <w:tr>
        <w:tc>
          <w:tcPr>
            <w:tcW w:type="dxa" w:w="4703"/>
          </w:tcPr>
          <w:p>
            <w:r>
              <w:rPr>
                <w:rFonts w:ascii="Meiryo UI" w:hAnsi="Meiryo UI"/>
                <w:sz w:val="18"/>
              </w:rPr>
              <w:t>スコア</w:t>
            </w:r>
          </w:p>
        </w:tc>
        <w:tc>
          <w:tcPr>
            <w:tcW w:type="dxa" w:w="4703"/>
          </w:tcPr>
          <w:p>
            <w:r>
              <w:rPr>
                <w:rFonts w:ascii="Meiryo UI" w:hAnsi="Meiryo UI"/>
                <w:sz w:val="18"/>
              </w:rPr>
              <w:t>+95</w:t>
            </w:r>
          </w:p>
        </w:tc>
      </w:tr>
    </w:tbl>
    <w:p/>
    <w:p>
      <w:r>
        <w:rPr>
          <w:rFonts w:ascii="Meiryo UI" w:hAnsi="Meiryo UI"/>
          <w:sz w:val="20"/>
        </w:rPr>
        <w:t>3弾丸:</w:t>
      </w:r>
    </w:p>
    <w:p/>
    <w:p>
      <w:pPr>
        <w:pStyle w:val="ListNumber"/>
      </w:pPr>
      <w:r>
        <w:rPr>
          <w:rFonts w:ascii="Meiryo UI" w:hAnsi="Meiryo UI"/>
          <w:sz w:val="20"/>
        </w:rPr>
        <w:t>フィールド2点確認で競合全滅・カチタス独走が確定的 — 本日入手：一級建築士「新規受注終了・進行中案件も完成できるか不明」＋リフォーム業者「キッチン・UBも予定が組めない」。中小競合が物理的に機能停止する中、大量発注優先割当を持つカチタスだけが着工・引渡を継続できる</w:t>
      </w:r>
    </w:p>
    <w:p>
      <w:pPr>
        <w:pStyle w:val="ListNumber"/>
      </w:pPr>
      <w:r>
        <w:rPr>
          <w:rFonts w:ascii="Meiryo UI" w:hAnsi="Meiryo UI"/>
          <w:sz w:val="20"/>
        </w:rPr>
        <w:t>RSI 37.2 × 25日線▲5.16%乖離 × 過去1ヶ月▲4.7% — 株価が弱い中で中計前倒し（OP¥200億）を宣言済み。理由のない押し目。FY26/3期3Q単体は四半期過去最高益</w:t>
      </w:r>
    </w:p>
    <w:p>
      <w:pPr>
        <w:pStyle w:val="ListNumber"/>
      </w:pPr>
      <w:r>
        <w:rPr>
          <w:rFonts w:ascii="Meiryo UI" w:hAnsi="Meiryo UI"/>
          <w:sz w:val="20"/>
        </w:rPr>
        <w:t>FY26/3期 OP+25.2%ガイダンス × 12年連続戸建て買取再販1位 — 新築着工35ヶ月連続マイナスの構造的追い風。ホルムズ危機で需要シフトが加速。2位に3.3倍差の独占的地位</w:t>
      </w:r>
    </w:p>
    <w:p/>
    <w:p>
      <w:r>
        <w:rPr>
          <w:rFonts w:ascii="Meiryo UI" w:hAnsi="Meiryo UI"/>
          <w:sz w:val="20"/>
        </w:rPr>
        <w:t>1リスク: ホルムズ解消・停戦合意確定 → 新築着工が急回復するシナリオ。ただし35ヶ月分の需要格差が一夜で消えることはなく、リスク実現まで6ヶ月以上の時間的猶予あり</w:t>
      </w:r>
    </w:p>
    <w:p/>
    <w:p>
      <w:r>
        <w:rPr>
          <w:rFonts w:ascii="Meiryo UI" w:hAnsi="Meiryo UI"/>
          <w:sz w:val="20"/>
        </w:rPr>
        <w:t>推奨アクション: 本日終値¥3,060 / RSI 37.2 / 25日線▲5%乖離 — 押し目買いの好機。¥2,950-3,100帯で本日から分割建て開始。次回決算（5/8）前に基本ポジション完成。損切りライン¥2,400（Bear TP水準）</w:t>
      </w:r>
    </w:p>
    <w:p/>
    <w:p>
      <w:r>
        <w:t>──────────────────────────────────────────────────</w:t>
      </w:r>
    </w:p>
    <w:p/>
    <w:p>
      <w:pPr>
        <w:pStyle w:val="Heading2"/>
      </w:pPr>
      <w:r>
        <w:rPr>
          <w:rFonts w:ascii="Meiryo UI" w:hAnsi="Meiryo UI"/>
          <w:color w:val="2E74B5"/>
        </w:rPr>
        <w:t>IRページ・企業概要</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IRページ</w:t>
            </w:r>
          </w:p>
        </w:tc>
        <w:tc>
          <w:tcPr>
            <w:tcW w:type="dxa" w:w="4703"/>
          </w:tcPr>
          <w:p>
            <w:r>
              <w:rPr>
                <w:rFonts w:ascii="Meiryo UI" w:hAnsi="Meiryo UI"/>
                <w:sz w:val="18"/>
              </w:rPr>
              <w:t>https://katitas.co.jp/ir/</w:t>
            </w:r>
          </w:p>
        </w:tc>
      </w:tr>
      <w:tr>
        <w:tc>
          <w:tcPr>
            <w:tcW w:type="dxa" w:w="4703"/>
            <w:shd w:val="clear" w:color="auto" w:fill="DDEBF7"/>
          </w:tcPr>
          <w:p>
            <w:r>
              <w:rPr>
                <w:rFonts w:ascii="Meiryo UI" w:hAnsi="Meiryo UI"/>
                <w:sz w:val="18"/>
              </w:rPr>
              <w:t>株主名簿管理人</w:t>
            </w:r>
          </w:p>
        </w:tc>
        <w:tc>
          <w:tcPr>
            <w:tcW w:type="dxa" w:w="4703"/>
            <w:shd w:val="clear" w:color="auto" w:fill="DDEBF7"/>
          </w:tcPr>
          <w:p>
            <w:r>
              <w:rPr>
                <w:rFonts w:ascii="Meiryo UI" w:hAnsi="Meiryo UI"/>
                <w:sz w:val="18"/>
              </w:rPr>
              <w:t>三井住友信託銀行 証券代行部 0120-782-031</w:t>
            </w:r>
          </w:p>
        </w:tc>
      </w:tr>
      <w:tr>
        <w:tc>
          <w:tcPr>
            <w:tcW w:type="dxa" w:w="4703"/>
          </w:tcPr>
          <w:p>
            <w:r>
              <w:rPr>
                <w:rFonts w:ascii="Meiryo UI" w:hAnsi="Meiryo UI"/>
                <w:sz w:val="18"/>
              </w:rPr>
              <w:t>本社</w:t>
            </w:r>
          </w:p>
        </w:tc>
        <w:tc>
          <w:tcPr>
            <w:tcW w:type="dxa" w:w="4703"/>
          </w:tcPr>
          <w:p>
            <w:r>
              <w:rPr>
                <w:rFonts w:ascii="Meiryo UI" w:hAnsi="Meiryo UI"/>
                <w:sz w:val="18"/>
              </w:rPr>
              <w:t>〒376-0025 群馬県桐生市美原町4番2号</w:t>
            </w:r>
          </w:p>
        </w:tc>
      </w:tr>
      <w:tr>
        <w:tc>
          <w:tcPr>
            <w:tcW w:type="dxa" w:w="4703"/>
            <w:shd w:val="clear" w:color="auto" w:fill="DDEBF7"/>
          </w:tcPr>
          <w:p>
            <w:r>
              <w:rPr>
                <w:rFonts w:ascii="Meiryo UI" w:hAnsi="Meiryo UI"/>
                <w:sz w:val="18"/>
              </w:rPr>
              <w:t>次回決算</w:t>
            </w:r>
          </w:p>
        </w:tc>
        <w:tc>
          <w:tcPr>
            <w:tcW w:type="dxa" w:w="4703"/>
            <w:shd w:val="clear" w:color="auto" w:fill="DDEBF7"/>
          </w:tcPr>
          <w:p>
            <w:r>
              <w:rPr>
                <w:rFonts w:ascii="Meiryo UI" w:hAnsi="Meiryo UI"/>
                <w:sz w:val="18"/>
              </w:rPr>
              <w:t>2026/05/08（4Q本決算）</w:t>
            </w:r>
          </w:p>
        </w:tc>
      </w:tr>
      <w:tr>
        <w:tc>
          <w:tcPr>
            <w:tcW w:type="dxa" w:w="4703"/>
          </w:tcPr>
          <w:p>
            <w:r>
              <w:rPr>
                <w:rFonts w:ascii="Meiryo UI" w:hAnsi="Meiryo UI"/>
                <w:sz w:val="18"/>
              </w:rPr>
              <w:t>証券コード</w:t>
            </w:r>
          </w:p>
        </w:tc>
        <w:tc>
          <w:tcPr>
            <w:tcW w:type="dxa" w:w="4703"/>
          </w:tcPr>
          <w:p>
            <w:r>
              <w:rPr>
                <w:rFonts w:ascii="Meiryo UI" w:hAnsi="Meiryo UI"/>
                <w:sz w:val="18"/>
              </w:rPr>
              <w:t>8919（東証プライム）</w:t>
            </w:r>
          </w:p>
        </w:tc>
      </w:tr>
    </w:tbl>
    <w:p/>
    <w:p>
      <w:r>
        <w:t>──────────────────────────────────────────────────</w:t>
      </w:r>
    </w:p>
    <w:p/>
    <w:p>
      <w:pPr>
        <w:pStyle w:val="Heading2"/>
      </w:pPr>
      <w:r>
        <w:rPr>
          <w:rFonts w:ascii="Meiryo UI" w:hAnsi="Meiryo UI"/>
          <w:color w:val="2E74B5"/>
        </w:rPr>
        <w:t>株価・テクニカル（2026/04/15引け確認）</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解釈</w:t>
            </w:r>
          </w:p>
        </w:tc>
      </w:tr>
      <w:tr>
        <w:tc>
          <w:tcPr>
            <w:tcW w:type="dxa" w:w="3135"/>
          </w:tcPr>
          <w:p>
            <w:r>
              <w:rPr>
                <w:rFonts w:ascii="Meiryo UI" w:hAnsi="Meiryo UI"/>
                <w:sz w:val="18"/>
              </w:rPr>
              <w:t>本日終値</w:t>
            </w:r>
          </w:p>
        </w:tc>
        <w:tc>
          <w:tcPr>
            <w:tcW w:type="dxa" w:w="3135"/>
          </w:tcPr>
          <w:p>
            <w:r>
              <w:rPr>
                <w:rFonts w:ascii="Meiryo UI" w:hAnsi="Meiryo UI"/>
                <w:sz w:val="18"/>
              </w:rPr>
              <w:t>¥3,060 (+1.16%)</w:t>
            </w:r>
          </w:p>
        </w:tc>
        <w:tc>
          <w:tcPr>
            <w:tcW w:type="dxa" w:w="3135"/>
          </w:tcPr>
          <w:p>
            <w:r>
              <w:rPr>
                <w:rFonts w:ascii="Meiryo UI" w:hAnsi="Meiryo UI"/>
                <w:sz w:val="18"/>
              </w:rPr>
              <w:t>建設危機受益で小幅高</w:t>
            </w:r>
          </w:p>
        </w:tc>
      </w:tr>
      <w:tr>
        <w:tc>
          <w:tcPr>
            <w:tcW w:type="dxa" w:w="3135"/>
            <w:shd w:val="clear" w:color="auto" w:fill="DDEBF7"/>
          </w:tcPr>
          <w:p>
            <w:r>
              <w:rPr>
                <w:rFonts w:ascii="Meiryo UI" w:hAnsi="Meiryo UI"/>
                <w:sz w:val="18"/>
              </w:rPr>
              <w:t>52週レンジ</w:t>
            </w:r>
          </w:p>
        </w:tc>
        <w:tc>
          <w:tcPr>
            <w:tcW w:type="dxa" w:w="3135"/>
            <w:shd w:val="clear" w:color="auto" w:fill="DDEBF7"/>
          </w:tcPr>
          <w:p>
            <w:r>
              <w:rPr>
                <w:rFonts w:ascii="Meiryo UI" w:hAnsi="Meiryo UI"/>
                <w:sz w:val="18"/>
              </w:rPr>
              <w:t>¥1,997〜¥3,640</w:t>
            </w:r>
          </w:p>
        </w:tc>
        <w:tc>
          <w:tcPr>
            <w:tcW w:type="dxa" w:w="3135"/>
            <w:shd w:val="clear" w:color="auto" w:fill="DDEBF7"/>
          </w:tcPr>
          <w:p>
            <w:r>
              <w:rPr>
                <w:rFonts w:ascii="Meiryo UI" w:hAnsi="Meiryo UI"/>
                <w:sz w:val="18"/>
              </w:rPr>
              <w:t>安値から+53%水準</w:t>
            </w:r>
          </w:p>
        </w:tc>
      </w:tr>
      <w:tr>
        <w:tc>
          <w:tcPr>
            <w:tcW w:type="dxa" w:w="3135"/>
          </w:tcPr>
          <w:p>
            <w:r>
              <w:rPr>
                <w:rFonts w:ascii="Meiryo UI" w:hAnsi="Meiryo UI"/>
                <w:sz w:val="18"/>
              </w:rPr>
              <w:t>RSI（14日）</w:t>
            </w:r>
          </w:p>
        </w:tc>
        <w:tc>
          <w:tcPr>
            <w:tcW w:type="dxa" w:w="3135"/>
          </w:tcPr>
          <w:p>
            <w:r>
              <w:rPr>
                <w:rFonts w:ascii="Meiryo UI" w:hAnsi="Meiryo UI"/>
                <w:sz w:val="18"/>
              </w:rPr>
              <w:t>37.2</w:t>
            </w:r>
          </w:p>
        </w:tc>
        <w:tc>
          <w:tcPr>
            <w:tcW w:type="dxa" w:w="3135"/>
          </w:tcPr>
          <w:p>
            <w:r>
              <w:rPr>
                <w:rFonts w:ascii="Meiryo UI" w:hAnsi="Meiryo UI"/>
                <w:sz w:val="18"/>
              </w:rPr>
              <w:t>割安圏（30割れで超買い場）</w:t>
            </w:r>
          </w:p>
        </w:tc>
      </w:tr>
      <w:tr>
        <w:tc>
          <w:tcPr>
            <w:tcW w:type="dxa" w:w="3135"/>
            <w:shd w:val="clear" w:color="auto" w:fill="DDEBF7"/>
          </w:tcPr>
          <w:p>
            <w:r>
              <w:rPr>
                <w:rFonts w:ascii="Meiryo UI" w:hAnsi="Meiryo UI"/>
                <w:sz w:val="18"/>
              </w:rPr>
              <w:t>25日移動平均</w:t>
            </w:r>
          </w:p>
        </w:tc>
        <w:tc>
          <w:tcPr>
            <w:tcW w:type="dxa" w:w="3135"/>
            <w:shd w:val="clear" w:color="auto" w:fill="DDEBF7"/>
          </w:tcPr>
          <w:p>
            <w:r>
              <w:rPr>
                <w:rFonts w:ascii="Meiryo UI" w:hAnsi="Meiryo UI"/>
                <w:sz w:val="18"/>
              </w:rPr>
              <w:t>¥3,226</w:t>
            </w:r>
          </w:p>
        </w:tc>
        <w:tc>
          <w:tcPr>
            <w:tcW w:type="dxa" w:w="3135"/>
            <w:shd w:val="clear" w:color="auto" w:fill="DDEBF7"/>
          </w:tcPr>
          <w:p>
            <w:r>
              <w:rPr>
                <w:rFonts w:ascii="Meiryo UI" w:hAnsi="Meiryo UI"/>
                <w:sz w:val="18"/>
              </w:rPr>
              <w:t>現値 ▲5.16%乖離</w:t>
            </w:r>
          </w:p>
        </w:tc>
      </w:tr>
      <w:tr>
        <w:tc>
          <w:tcPr>
            <w:tcW w:type="dxa" w:w="3135"/>
          </w:tcPr>
          <w:p>
            <w:r>
              <w:rPr>
                <w:rFonts w:ascii="Meiryo UI" w:hAnsi="Meiryo UI"/>
                <w:sz w:val="18"/>
              </w:rPr>
              <w:t>過去1ヶ月リターン</w:t>
            </w:r>
          </w:p>
        </w:tc>
        <w:tc>
          <w:tcPr>
            <w:tcW w:type="dxa" w:w="3135"/>
          </w:tcPr>
          <w:p>
            <w:r>
              <w:rPr>
                <w:rFonts w:ascii="Meiryo UI" w:hAnsi="Meiryo UI"/>
                <w:sz w:val="18"/>
              </w:rPr>
              <w:t>▲4.71%</w:t>
            </w:r>
          </w:p>
        </w:tc>
        <w:tc>
          <w:tcPr>
            <w:tcW w:type="dxa" w:w="3135"/>
          </w:tcPr>
          <w:p>
            <w:r>
              <w:rPr>
                <w:rFonts w:ascii="Meiryo UI" w:hAnsi="Meiryo UI"/>
                <w:sz w:val="18"/>
              </w:rPr>
              <w:t>日経比で出遅れ。理由なき安値</w:t>
            </w:r>
          </w:p>
        </w:tc>
      </w:tr>
      <w:tr>
        <w:tc>
          <w:tcPr>
            <w:tcW w:type="dxa" w:w="3135"/>
            <w:shd w:val="clear" w:color="auto" w:fill="DDEBF7"/>
          </w:tcPr>
          <w:p>
            <w:r>
              <w:rPr>
                <w:rFonts w:ascii="Meiryo UI" w:hAnsi="Meiryo UI"/>
                <w:sz w:val="18"/>
              </w:rPr>
              <w:t>過去1年リターン</w:t>
            </w:r>
          </w:p>
        </w:tc>
        <w:tc>
          <w:tcPr>
            <w:tcW w:type="dxa" w:w="3135"/>
            <w:shd w:val="clear" w:color="auto" w:fill="DDEBF7"/>
          </w:tcPr>
          <w:p>
            <w:r>
              <w:rPr>
                <w:rFonts w:ascii="Meiryo UI" w:hAnsi="Meiryo UI"/>
                <w:sz w:val="18"/>
              </w:rPr>
              <w:t>+56.2%</w:t>
            </w:r>
          </w:p>
        </w:tc>
        <w:tc>
          <w:tcPr>
            <w:tcW w:type="dxa" w:w="3135"/>
            <w:shd w:val="clear" w:color="auto" w:fill="DDEBF7"/>
          </w:tcPr>
          <w:p>
            <w:r>
              <w:rPr>
                <w:rFonts w:ascii="Meiryo UI" w:hAnsi="Meiryo UI"/>
                <w:sz w:val="18"/>
              </w:rPr>
              <w:t>中長期トレンドは完全に上</w:t>
            </w:r>
          </w:p>
        </w:tc>
      </w:tr>
      <w:tr>
        <w:tc>
          <w:tcPr>
            <w:tcW w:type="dxa" w:w="3135"/>
          </w:tcPr>
          <w:p>
            <w:r>
              <w:rPr>
                <w:rFonts w:ascii="Meiryo UI" w:hAnsi="Meiryo UI"/>
                <w:sz w:val="18"/>
              </w:rPr>
              <w:t>Beta</w:t>
            </w:r>
          </w:p>
        </w:tc>
        <w:tc>
          <w:tcPr>
            <w:tcW w:type="dxa" w:w="3135"/>
          </w:tcPr>
          <w:p>
            <w:r>
              <w:rPr>
                <w:rFonts w:ascii="Meiryo UI" w:hAnsi="Meiryo UI"/>
                <w:sz w:val="18"/>
              </w:rPr>
              <w:t>0.645</w:t>
            </w:r>
          </w:p>
        </w:tc>
        <w:tc>
          <w:tcPr>
            <w:tcW w:type="dxa" w:w="3135"/>
          </w:tcPr>
          <w:p>
            <w:r>
              <w:rPr>
                <w:rFonts w:ascii="Meiryo UI" w:hAnsi="Meiryo UI"/>
                <w:sz w:val="18"/>
              </w:rPr>
              <w:t>低ベータ：下落局面でもディフェンシブ</w:t>
            </w:r>
          </w:p>
        </w:tc>
      </w:tr>
      <w:tr>
        <w:tc>
          <w:tcPr>
            <w:tcW w:type="dxa" w:w="3135"/>
            <w:shd w:val="clear" w:color="auto" w:fill="DDEBF7"/>
          </w:tcPr>
          <w:p>
            <w:r>
              <w:rPr>
                <w:rFonts w:ascii="Meiryo UI" w:hAnsi="Meiryo UI"/>
                <w:sz w:val="18"/>
              </w:rPr>
              <w:t>時価総額</w:t>
            </w:r>
          </w:p>
        </w:tc>
        <w:tc>
          <w:tcPr>
            <w:tcW w:type="dxa" w:w="3135"/>
            <w:shd w:val="clear" w:color="auto" w:fill="DDEBF7"/>
          </w:tcPr>
          <w:p>
            <w:r>
              <w:rPr>
                <w:rFonts w:ascii="Meiryo UI" w:hAnsi="Meiryo UI"/>
                <w:sz w:val="18"/>
              </w:rPr>
              <w:t>約2,407億円</w:t>
            </w:r>
          </w:p>
        </w:tc>
        <w:tc>
          <w:tcPr>
            <w:tcW w:type="dxa" w:w="3135"/>
            <w:shd w:val="clear" w:color="auto" w:fill="DDEBF7"/>
          </w:tcPr>
          <w:p>
            <w:r>
              <w:rPr>
                <w:rFonts w:ascii="Meiryo UI" w:hAnsi="Meiryo UI"/>
                <w:sz w:val="18"/>
              </w:rPr>
            </w:r>
          </w:p>
        </w:tc>
      </w:tr>
      <w:tr>
        <w:tc>
          <w:tcPr>
            <w:tcW w:type="dxa" w:w="3135"/>
          </w:tcPr>
          <w:p>
            <w:r>
              <w:rPr>
                <w:rFonts w:ascii="Meiryo UI" w:hAnsi="Meiryo UI"/>
                <w:sz w:val="18"/>
              </w:rPr>
              <w:t>配当利回り</w:t>
            </w:r>
          </w:p>
        </w:tc>
        <w:tc>
          <w:tcPr>
            <w:tcW w:type="dxa" w:w="3135"/>
          </w:tcPr>
          <w:p>
            <w:r>
              <w:rPr>
                <w:rFonts w:ascii="Meiryo UI" w:hAnsi="Meiryo UI"/>
                <w:sz w:val="18"/>
              </w:rPr>
              <w:t>2.55%（¥78円）</w:t>
            </w:r>
          </w:p>
        </w:tc>
        <w:tc>
          <w:tcPr>
            <w:tcW w:type="dxa" w:w="3135"/>
          </w:tcPr>
          <w:p>
            <w:r>
              <w:rPr>
                <w:rFonts w:ascii="Meiryo UI" w:hAnsi="Meiryo UI"/>
                <w:sz w:val="18"/>
              </w:rPr>
              <w:t>累進配当（前期¥56→+39.3%）</w:t>
            </w:r>
          </w:p>
        </w:tc>
      </w:tr>
      <w:tr>
        <w:tc>
          <w:tcPr>
            <w:tcW w:type="dxa" w:w="3135"/>
            <w:shd w:val="clear" w:color="auto" w:fill="DDEBF7"/>
          </w:tcPr>
          <w:p>
            <w:r>
              <w:rPr>
                <w:rFonts w:ascii="Meiryo UI" w:hAnsi="Meiryo UI"/>
                <w:sz w:val="18"/>
              </w:rPr>
              <w:t>PER（FY26予想）</w:t>
            </w:r>
          </w:p>
        </w:tc>
        <w:tc>
          <w:tcPr>
            <w:tcW w:type="dxa" w:w="3135"/>
            <w:shd w:val="clear" w:color="auto" w:fill="DDEBF7"/>
          </w:tcPr>
          <w:p>
            <w:r>
              <w:rPr>
                <w:rFonts w:ascii="Meiryo UI" w:hAnsi="Meiryo UI"/>
                <w:sz w:val="18"/>
              </w:rPr>
              <w:t>20.2x</w:t>
            </w:r>
          </w:p>
        </w:tc>
        <w:tc>
          <w:tcPr>
            <w:tcW w:type="dxa" w:w="3135"/>
            <w:shd w:val="clear" w:color="auto" w:fill="DDEBF7"/>
          </w:tcPr>
          <w:p>
            <w:r>
              <w:rPr>
                <w:rFonts w:ascii="Meiryo UI" w:hAnsi="Meiryo UI"/>
                <w:sz w:val="18"/>
              </w:rPr>
              <w:t>ガイダンスEPS¥151.3ベース</w:t>
            </w:r>
          </w:p>
        </w:tc>
      </w:tr>
      <w:tr>
        <w:tc>
          <w:tcPr>
            <w:tcW w:type="dxa" w:w="3135"/>
          </w:tcPr>
          <w:p>
            <w:r>
              <w:rPr>
                <w:rFonts w:ascii="Meiryo UI" w:hAnsi="Meiryo UI"/>
                <w:sz w:val="18"/>
              </w:rPr>
              <w:t>PBR</w:t>
            </w:r>
          </w:p>
        </w:tc>
        <w:tc>
          <w:tcPr>
            <w:tcW w:type="dxa" w:w="3135"/>
          </w:tcPr>
          <w:p>
            <w:r>
              <w:rPr>
                <w:rFonts w:ascii="Meiryo UI" w:hAnsi="Meiryo UI"/>
                <w:sz w:val="18"/>
              </w:rPr>
              <w:t>4.78x</w:t>
            </w:r>
          </w:p>
        </w:tc>
        <w:tc>
          <w:tcPr>
            <w:tcW w:type="dxa" w:w="3135"/>
          </w:tcPr>
          <w:p>
            <w:r>
              <w:rPr>
                <w:rFonts w:ascii="Meiryo UI" w:hAnsi="Meiryo UI"/>
                <w:sz w:val="18"/>
              </w:rPr>
              <w:t>ROE 25%超の高収益性を反映</w:t>
            </w:r>
          </w:p>
        </w:tc>
      </w:tr>
    </w:tbl>
    <w:p/>
    <w:p>
      <w:r>
        <w:t>──────────────────────────────────────────────────</w:t>
      </w:r>
    </w:p>
    <w:p/>
    <w:p>
      <w:pPr>
        <w:pStyle w:val="Heading2"/>
      </w:pPr>
      <w:r>
        <w:rPr>
          <w:rFonts w:ascii="Meiryo UI" w:hAnsi="Meiryo UI"/>
          <w:color w:val="2E74B5"/>
        </w:rPr>
        <w:t>事業モデル — 「誰も真似できない12年間」</w:t>
      </w:r>
    </w:p>
    <w:p/>
    <w:p>
      <w:pPr>
        <w:shd w:val="clear" w:color="auto" w:fill="F2F2F2"/>
      </w:pPr>
      <w:r>
        <w:rPr>
          <w:rFonts w:ascii="Courier New" w:hAnsi="Courier New"/>
          <w:sz w:val="16"/>
        </w:rPr>
        <w:t>仕入:</w:t>
        <w:br/>
        <w:t xml:space="preserve">  対象: 地方都市（人口5〜30万人）の築年数平均30年・空き家</w:t>
        <w:br/>
        <w:t xml:space="preserve">  空き家比率78% / 直接買取35% / 仲介経由65%</w:t>
        <w:br/>
        <w:t xml:space="preserve">  仕入単価（推定）: ¥630〜700万円</w:t>
        <w:br/>
        <w:br/>
        <w:t>商品化（リフォーム）:</w:t>
        <w:br/>
        <w:t xml:space="preserve">  水回り全交換（キッチン・UB・トイレ・洗面台）</w:t>
        <w:br/>
        <w:t xml:space="preserve">  床・壁・外壁・屋根 刷新 / 間取り変更も対応</w:t>
        <w:br/>
        <w:t xml:space="preserve">  コスト優位: 大量発注で個人比 約半額のリフォーム費用</w:t>
        <w:br/>
        <w:br/>
        <w:t>販売:</w:t>
        <w:br/>
        <w:t xml:space="preserve">  平均販売価格: ¥1,631万（地方新築¥3,385万の48%）</w:t>
        <w:br/>
        <w:t xml:space="preserve">  ターゲット: 年収200〜500万円・持家志向層</w:t>
        <w:br/>
        <w:br/>
        <w:t>参入障壁（競合が12年で追いつけない理由）:</w:t>
        <w:br/>
        <w:t xml:space="preserve">  → 149店舗の地方ネットワーク（構築に10年以上）</w:t>
        <w:br/>
        <w:t xml:space="preserve">  → メーカー直接大量発注ルート（優先割当確保）</w:t>
        <w:br/>
        <w:t xml:space="preserve">  → 地方工務店との長期施工契約（施工確保）</w:t>
        <w:br/>
        <w:t xml:space="preserve">  → 12年で培ったブランド認知（買取相談の第一想起）</w:t>
      </w:r>
    </w:p>
    <w:p/>
    <w:p>
      <w:r>
        <w:t>──────────────────────────────────────────────────</w:t>
      </w:r>
    </w:p>
    <w:p/>
    <w:p>
      <w:pPr>
        <w:pStyle w:val="Heading2"/>
      </w:pPr>
      <w:r>
        <w:rPr>
          <w:rFonts w:ascii="Meiryo UI" w:hAnsi="Meiryo UI"/>
          <w:color w:val="2E74B5"/>
        </w:rPr>
        <w:t>「薬と毒」— 二律背反の定性・定量分析</w:t>
      </w:r>
    </w:p>
    <w:p/>
    <w:p>
      <w:r>
        <w:rPr>
          <w:rFonts w:ascii="Meiryo UI" w:hAnsi="Meiryo UI"/>
          <w:sz w:val="20"/>
        </w:rPr>
        <w:t>投資判断の純度を高めるため、現状の外部環境がカチタスに与える影響を二律背反の視点で整理する。結論：薬の効果が毒の副作用を3〜5倍上回り、STRONG BUY判断を補強する。</w:t>
      </w:r>
    </w:p>
    <w:p/>
    <w:p>
      <w:pPr>
        <w:pStyle w:val="Heading3"/>
      </w:pPr>
      <w:r>
        <w:rPr>
          <w:rFonts w:ascii="Meiryo UI" w:hAnsi="Meiryo UI"/>
          <w:color w:val="2E74B5"/>
        </w:rPr>
        <w:t>薬（強み・加速要因）</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薬</w:t>
            </w:r>
          </w:p>
        </w:tc>
        <w:tc>
          <w:tcPr>
            <w:tcW w:type="dxa" w:w="3135"/>
            <w:shd w:val="clear" w:color="auto" w:fill="2E74B5"/>
          </w:tcPr>
          <w:p>
            <w:r>
              <w:rPr>
                <w:rFonts w:ascii="Meiryo UI" w:hAnsi="Meiryo UI"/>
                <w:b/>
                <w:color w:val="FFFFFF"/>
                <w:sz w:val="18"/>
              </w:rPr>
              <w:t>定性</w:t>
            </w:r>
          </w:p>
        </w:tc>
        <w:tc>
          <w:tcPr>
            <w:tcW w:type="dxa" w:w="3135"/>
            <w:shd w:val="clear" w:color="auto" w:fill="2E74B5"/>
          </w:tcPr>
          <w:p>
            <w:r>
              <w:rPr>
                <w:rFonts w:ascii="Meiryo UI" w:hAnsi="Meiryo UI"/>
                <w:b/>
                <w:color w:val="FFFFFF"/>
                <w:sz w:val="18"/>
              </w:rPr>
              <w:t>定量インパクト</w:t>
            </w:r>
          </w:p>
        </w:tc>
      </w:tr>
      <w:tr>
        <w:tc>
          <w:tcPr>
            <w:tcW w:type="dxa" w:w="3135"/>
          </w:tcPr>
          <w:p>
            <w:r>
              <w:rPr>
                <w:rFonts w:ascii="Meiryo UI" w:hAnsi="Meiryo UI"/>
                <w:sz w:val="18"/>
              </w:rPr>
              <w:t>ホルムズ危機による競合駆逐</w:t>
            </w:r>
          </w:p>
        </w:tc>
        <w:tc>
          <w:tcPr>
            <w:tcW w:type="dxa" w:w="3135"/>
          </w:tcPr>
          <w:p>
            <w:r>
              <w:rPr>
                <w:rFonts w:ascii="Meiryo UI" w:hAnsi="Meiryo UI"/>
                <w:sz w:val="18"/>
              </w:rPr>
              <w:t>中小リフォーム業者が新規受注停止。フィールド2点確認済み</w:t>
            </w:r>
          </w:p>
        </w:tc>
        <w:tc>
          <w:tcPr>
            <w:tcW w:type="dxa" w:w="3135"/>
          </w:tcPr>
          <w:p>
            <w:r>
              <w:rPr>
                <w:rFonts w:ascii="Meiryo UI" w:hAnsi="Meiryo UI"/>
                <w:sz w:val="18"/>
              </w:rPr>
              <w:t>仕入件数：H1平均2,333件/Q → 3Q 2,725件（+16.8%加速）。将来利益の在庫積み上げ+30.8% YoY</w:t>
            </w:r>
          </w:p>
        </w:tc>
      </w:tr>
      <w:tr>
        <w:tc>
          <w:tcPr>
            <w:tcW w:type="dxa" w:w="3135"/>
            <w:shd w:val="clear" w:color="auto" w:fill="DDEBF7"/>
          </w:tcPr>
          <w:p>
            <w:r>
              <w:rPr>
                <w:rFonts w:ascii="Meiryo UI" w:hAnsi="Meiryo UI"/>
                <w:sz w:val="18"/>
              </w:rPr>
              <w:t>ニトリ提携によるLTV向上</w:t>
            </w:r>
          </w:p>
        </w:tc>
        <w:tc>
          <w:tcPr>
            <w:tcW w:type="dxa" w:w="3135"/>
            <w:shd w:val="clear" w:color="auto" w:fill="DDEBF7"/>
          </w:tcPr>
          <w:p>
            <w:r>
              <w:rPr>
                <w:rFonts w:ascii="Meiryo UI" w:hAnsi="Meiryo UI"/>
                <w:sz w:val="18"/>
              </w:rPr>
              <w:t>物件引渡後の家具設置サービスで顧客単価拡大。ニトリHD本日+4.73%急騰で連携先強化</w:t>
            </w:r>
          </w:p>
        </w:tc>
        <w:tc>
          <w:tcPr>
            <w:tcW w:type="dxa" w:w="3135"/>
            <w:shd w:val="clear" w:color="auto" w:fill="DDEBF7"/>
          </w:tcPr>
          <w:p>
            <w:r>
              <w:rPr>
                <w:rFonts w:ascii="Meiryo UI" w:hAnsi="Meiryo UI"/>
                <w:sz w:val="18"/>
              </w:rPr>
              <w:t>推定：8,250件 × 利用率30% × 平均家具¥50万 = +¥12.4億/年の追加連携収益</w:t>
            </w:r>
          </w:p>
        </w:tc>
      </w:tr>
      <w:tr>
        <w:tc>
          <w:tcPr>
            <w:tcW w:type="dxa" w:w="3135"/>
          </w:tcPr>
          <w:p>
            <w:r>
              <w:rPr>
                <w:rFonts w:ascii="Meiryo UI" w:hAnsi="Meiryo UI"/>
                <w:sz w:val="18"/>
              </w:rPr>
              <w:t>新築マイナス継続による需要シフト</w:t>
            </w:r>
          </w:p>
        </w:tc>
        <w:tc>
          <w:tcPr>
            <w:tcW w:type="dxa" w:w="3135"/>
          </w:tcPr>
          <w:p>
            <w:r>
              <w:rPr>
                <w:rFonts w:ascii="Meiryo UI" w:hAnsi="Meiryo UI"/>
                <w:sz w:val="18"/>
              </w:rPr>
              <w:t>新築着工35ヶ月連続YoYマイナス。ホルムズ危機で新築の物理的着工不能が重なる</w:t>
            </w:r>
          </w:p>
        </w:tc>
        <w:tc>
          <w:tcPr>
            <w:tcW w:type="dxa" w:w="3135"/>
          </w:tcPr>
          <w:p>
            <w:r>
              <w:rPr>
                <w:rFonts w:ascii="Meiryo UI" w:hAnsi="Meiryo UI"/>
                <w:sz w:val="18"/>
              </w:rPr>
              <w:t>新築-中古価格差：¥1,754万(2020年) → ¥1,866万(2025年) → 拡大継続。潜在市場12.7万件に対し浸透率5.8%のまま需要だけが急増</w:t>
            </w:r>
          </w:p>
        </w:tc>
      </w:tr>
    </w:tbl>
    <w:p/>
    <w:p>
      <w:r>
        <w:rPr>
          <w:rFonts w:ascii="Meiryo UI" w:hAnsi="Meiryo UI"/>
          <w:sz w:val="20"/>
        </w:rPr>
        <w:t>薬の総合インパクト試算:</w:t>
      </w:r>
    </w:p>
    <w:p/>
    <w:p>
      <w:pPr>
        <w:shd w:val="clear" w:color="auto" w:fill="F2F2F2"/>
      </w:pPr>
      <w:r>
        <w:rPr>
          <w:rFonts w:ascii="Courier New" w:hAnsi="Courier New"/>
          <w:sz w:val="16"/>
        </w:rPr>
        <w:t>競合駆逐効果（問合せ増加推定+20%）×</w:t>
        <w:br/>
        <w:t>新築シフト加速（需要純増+15%）×</w:t>
        <w:br/>
        <w:t>ニトリLTV（+¥12.4億/年）</w:t>
        <w:br/>
        <w:t>= FY27/3期 OP ¥20,000M達成の確率を 60% → 75% に引き上げ</w:t>
      </w:r>
    </w:p>
    <w:p/>
    <w:p>
      <w:pPr>
        <w:pStyle w:val="Heading3"/>
      </w:pPr>
      <w:r>
        <w:rPr>
          <w:rFonts w:ascii="Meiryo UI" w:hAnsi="Meiryo UI"/>
          <w:color w:val="2E74B5"/>
        </w:rPr>
        <w:t>毒（副作用・反動リスク）</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毒</w:t>
            </w:r>
          </w:p>
        </w:tc>
        <w:tc>
          <w:tcPr>
            <w:tcW w:type="dxa" w:w="3135"/>
            <w:shd w:val="clear" w:color="auto" w:fill="2E74B5"/>
          </w:tcPr>
          <w:p>
            <w:r>
              <w:rPr>
                <w:rFonts w:ascii="Meiryo UI" w:hAnsi="Meiryo UI"/>
                <w:b/>
                <w:color w:val="FFFFFF"/>
                <w:sz w:val="18"/>
              </w:rPr>
              <w:t>定性</w:t>
            </w:r>
          </w:p>
        </w:tc>
        <w:tc>
          <w:tcPr>
            <w:tcW w:type="dxa" w:w="3135"/>
            <w:shd w:val="clear" w:color="auto" w:fill="2E74B5"/>
          </w:tcPr>
          <w:p>
            <w:r>
              <w:rPr>
                <w:rFonts w:ascii="Meiryo UI" w:hAnsi="Meiryo UI"/>
                <w:b/>
                <w:color w:val="FFFFFF"/>
                <w:sz w:val="18"/>
              </w:rPr>
              <w:t>定量感応度</w:t>
            </w:r>
          </w:p>
        </w:tc>
      </w:tr>
      <w:tr>
        <w:tc>
          <w:tcPr>
            <w:tcW w:type="dxa" w:w="3135"/>
          </w:tcPr>
          <w:p>
            <w:r>
              <w:rPr>
                <w:rFonts w:ascii="Meiryo UI" w:hAnsi="Meiryo UI"/>
                <w:sz w:val="18"/>
              </w:rPr>
              <w:t>部材高騰による粗利率の長期的圧迫</w:t>
            </w:r>
          </w:p>
        </w:tc>
        <w:tc>
          <w:tcPr>
            <w:tcW w:type="dxa" w:w="3135"/>
          </w:tcPr>
          <w:p>
            <w:r>
              <w:rPr>
                <w:rFonts w:ascii="Meiryo UI" w:hAnsi="Meiryo UI"/>
                <w:sz w:val="18"/>
              </w:rPr>
              <w:t>ホルムズ起因のアルミ・ステンレス・樹脂価格上昇が水回りリフォームコストに波及</w:t>
            </w:r>
          </w:p>
        </w:tc>
        <w:tc>
          <w:tcPr>
            <w:tcW w:type="dxa" w:w="3135"/>
          </w:tcPr>
          <w:p>
            <w:r>
              <w:rPr>
                <w:rFonts w:ascii="Meiryo UI" w:hAnsi="Meiryo UI"/>
                <w:sz w:val="18"/>
              </w:rPr>
              <w:t>部材費=原価の推定32%、価格+20%上昇の場合：粗利率▲6.4pt（上限）。ただし大量発注交渉力で実影響▲1〜3%程度（年▲¥15〜45億）に抑制。EPS影響▲¥19〜57、TP感応度▲¥450〜¥1,350</w:t>
            </w:r>
          </w:p>
        </w:tc>
      </w:tr>
      <w:tr>
        <w:tc>
          <w:tcPr>
            <w:tcW w:type="dxa" w:w="3135"/>
            <w:shd w:val="clear" w:color="auto" w:fill="DDEBF7"/>
          </w:tcPr>
          <w:p>
            <w:r>
              <w:rPr>
                <w:rFonts w:ascii="Meiryo UI" w:hAnsi="Meiryo UI"/>
                <w:sz w:val="18"/>
              </w:rPr>
              <w:t>施工工務店の高齢化・人手不足</w:t>
            </w:r>
          </w:p>
        </w:tc>
        <w:tc>
          <w:tcPr>
            <w:tcW w:type="dxa" w:w="3135"/>
            <w:shd w:val="clear" w:color="auto" w:fill="DDEBF7"/>
          </w:tcPr>
          <w:p>
            <w:r>
              <w:rPr>
                <w:rFonts w:ascii="Meiryo UI" w:hAnsi="Meiryo UI"/>
                <w:sz w:val="18"/>
              </w:rPr>
              <w:t>建設業65歳以上比率約30%（国交省）。有効求人倍率4.0倍（全業種1.2倍の3.3倍）。カチタスの施工ネットワークも長期的には縮小圧力</w:t>
            </w:r>
          </w:p>
        </w:tc>
        <w:tc>
          <w:tcPr>
            <w:tcW w:type="dxa" w:w="3135"/>
            <w:shd w:val="clear" w:color="auto" w:fill="DDEBF7"/>
          </w:tcPr>
          <w:p>
            <w:r>
              <w:rPr>
                <w:rFonts w:ascii="Meiryo UI" w:hAnsi="Meiryo UI"/>
                <w:sz w:val="18"/>
              </w:rPr>
              <w:t>施工費年率+3〜5%上昇が継続すると仮定。施工費=原価の推定20%として：粗利率▲0.6〜1.0%/年の漸進的圧迫。10年後には累積▲6〜10%のリスク（ただし価格転嫁で一部相殺可能）</w:t>
            </w:r>
          </w:p>
        </w:tc>
      </w:tr>
      <w:tr>
        <w:tc>
          <w:tcPr>
            <w:tcW w:type="dxa" w:w="3135"/>
          </w:tcPr>
          <w:p>
            <w:r>
              <w:rPr>
                <w:rFonts w:ascii="Meiryo UI" w:hAnsi="Meiryo UI"/>
                <w:sz w:val="18"/>
              </w:rPr>
              <w:t>有事解消後の反動減</w:t>
            </w:r>
          </w:p>
        </w:tc>
        <w:tc>
          <w:tcPr>
            <w:tcW w:type="dxa" w:w="3135"/>
          </w:tcPr>
          <w:p>
            <w:r>
              <w:rPr>
                <w:rFonts w:ascii="Meiryo UI" w:hAnsi="Meiryo UI"/>
                <w:sz w:val="18"/>
              </w:rPr>
              <w:t>ホルムズ停戦合意 → 新築着工急回復シナリオ。現在の「競合不在」が解消され需要が新築に再分散</w:t>
            </w:r>
          </w:p>
        </w:tc>
        <w:tc>
          <w:tcPr>
            <w:tcW w:type="dxa" w:w="3135"/>
          </w:tcPr>
          <w:p>
            <w:r>
              <w:rPr>
                <w:rFonts w:ascii="Meiryo UI" w:hAnsi="Meiryo UI"/>
                <w:sz w:val="18"/>
              </w:rPr>
              <w:t>反動減ラグ：6〜12ヶ月。新築復活時の減収率推定▲10〜15%。Bear TP¥2,280（現値▲25%）が最大ダウンサイド。ただし35ヶ月分の積み上がった構造的需要格差は一夜では消えない</w:t>
            </w:r>
          </w:p>
        </w:tc>
      </w:tr>
    </w:tbl>
    <w:p/>
    <w:p>
      <w:r>
        <w:rPr>
          <w:rFonts w:ascii="Meiryo UI" w:hAnsi="Meiryo UI"/>
          <w:sz w:val="20"/>
        </w:rPr>
        <w:t>毒の総合インパクト試算:</w:t>
      </w:r>
    </w:p>
    <w:p/>
    <w:p>
      <w:pPr>
        <w:shd w:val="clear" w:color="auto" w:fill="F2F2F2"/>
      </w:pPr>
      <w:r>
        <w:rPr>
          <w:rFonts w:ascii="Courier New" w:hAnsi="Courier New"/>
          <w:sz w:val="16"/>
        </w:rPr>
        <w:t>部材高騰（▲¥15〜45億/年）+</w:t>
        <w:br/>
        <w:t>施工費上昇（粗利率▲0.6〜1%/年）+</w:t>
        <w:br/>
        <w:t>有事解消リスク（発生確率30%）</w:t>
        <w:br/>
        <w:t>= FY27/3期 OP ¥20,000M達成に対する下振れリスク：▲¥3,000〜5,000M（最悪シナリオ）</w:t>
      </w:r>
    </w:p>
    <w:p/>
    <w:p>
      <w:r>
        <w:rPr>
          <w:rFonts w:ascii="Meiryo UI" w:hAnsi="Meiryo UI"/>
          <w:sz w:val="20"/>
        </w:rPr>
        <w:t>薬 vs 毒 の最終評価: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比較軸</w:t>
            </w:r>
          </w:p>
        </w:tc>
        <w:tc>
          <w:tcPr>
            <w:tcW w:type="dxa" w:w="2351"/>
            <w:shd w:val="clear" w:color="auto" w:fill="2E74B5"/>
          </w:tcPr>
          <w:p>
            <w:r>
              <w:rPr>
                <w:rFonts w:ascii="Meiryo UI" w:hAnsi="Meiryo UI"/>
                <w:b/>
                <w:color w:val="FFFFFF"/>
                <w:sz w:val="18"/>
              </w:rPr>
              <w:t>薬</w:t>
            </w:r>
          </w:p>
        </w:tc>
        <w:tc>
          <w:tcPr>
            <w:tcW w:type="dxa" w:w="2351"/>
            <w:shd w:val="clear" w:color="auto" w:fill="2E74B5"/>
          </w:tcPr>
          <w:p>
            <w:r>
              <w:rPr>
                <w:rFonts w:ascii="Meiryo UI" w:hAnsi="Meiryo UI"/>
                <w:b/>
                <w:color w:val="FFFFFF"/>
                <w:sz w:val="18"/>
              </w:rPr>
              <w:t>毒</w:t>
            </w:r>
          </w:p>
        </w:tc>
        <w:tc>
          <w:tcPr>
            <w:tcW w:type="dxa" w:w="2351"/>
            <w:shd w:val="clear" w:color="auto" w:fill="2E74B5"/>
          </w:tcPr>
          <w:p>
            <w:r>
              <w:rPr>
                <w:rFonts w:ascii="Meiryo UI" w:hAnsi="Meiryo UI"/>
                <w:b/>
                <w:color w:val="FFFFFF"/>
                <w:sz w:val="18"/>
              </w:rPr>
              <w:t>優位</w:t>
            </w:r>
          </w:p>
        </w:tc>
      </w:tr>
      <w:tr>
        <w:tc>
          <w:tcPr>
            <w:tcW w:type="dxa" w:w="2351"/>
          </w:tcPr>
          <w:p>
            <w:r>
              <w:rPr>
                <w:rFonts w:ascii="Meiryo UI" w:hAnsi="Meiryo UI"/>
                <w:sz w:val="18"/>
              </w:rPr>
              <w:t>即効性</w:t>
            </w:r>
          </w:p>
        </w:tc>
        <w:tc>
          <w:tcPr>
            <w:tcW w:type="dxa" w:w="2351"/>
          </w:tcPr>
          <w:p>
            <w:r>
              <w:rPr>
                <w:rFonts w:ascii="Meiryo UI" w:hAnsi="Meiryo UI"/>
                <w:sz w:val="18"/>
              </w:rPr>
              <w:t>今期・来期（競合駆逐は現在進行中）</w:t>
            </w:r>
          </w:p>
        </w:tc>
        <w:tc>
          <w:tcPr>
            <w:tcW w:type="dxa" w:w="2351"/>
          </w:tcPr>
          <w:p>
            <w:r>
              <w:rPr>
                <w:rFonts w:ascii="Meiryo UI" w:hAnsi="Meiryo UI"/>
                <w:sz w:val="18"/>
              </w:rPr>
              <w:t>施工費は漸進的（10年単位）</w:t>
            </w:r>
          </w:p>
        </w:tc>
        <w:tc>
          <w:tcPr>
            <w:tcW w:type="dxa" w:w="2351"/>
          </w:tcPr>
          <w:p>
            <w:r>
              <w:rPr>
                <w:rFonts w:ascii="Meiryo UI" w:hAnsi="Meiryo UI"/>
                <w:sz w:val="18"/>
              </w:rPr>
              <w:t>薬</w:t>
            </w:r>
          </w:p>
        </w:tc>
      </w:tr>
      <w:tr>
        <w:tc>
          <w:tcPr>
            <w:tcW w:type="dxa" w:w="2351"/>
            <w:shd w:val="clear" w:color="auto" w:fill="DDEBF7"/>
          </w:tcPr>
          <w:p>
            <w:r>
              <w:rPr>
                <w:rFonts w:ascii="Meiryo UI" w:hAnsi="Meiryo UI"/>
                <w:sz w:val="18"/>
              </w:rPr>
              <w:t>定量インパクト（FY27）</w:t>
            </w:r>
          </w:p>
        </w:tc>
        <w:tc>
          <w:tcPr>
            <w:tcW w:type="dxa" w:w="2351"/>
            <w:shd w:val="clear" w:color="auto" w:fill="DDEBF7"/>
          </w:tcPr>
          <w:p>
            <w:r>
              <w:rPr>
                <w:rFonts w:ascii="Meiryo UI" w:hAnsi="Meiryo UI"/>
                <w:sz w:val="18"/>
              </w:rPr>
              <w:t>OP+¥3,000〜8,000M上振れ余地</w:t>
            </w:r>
          </w:p>
        </w:tc>
        <w:tc>
          <w:tcPr>
            <w:tcW w:type="dxa" w:w="2351"/>
            <w:shd w:val="clear" w:color="auto" w:fill="DDEBF7"/>
          </w:tcPr>
          <w:p>
            <w:r>
              <w:rPr>
                <w:rFonts w:ascii="Meiryo UI" w:hAnsi="Meiryo UI"/>
                <w:sz w:val="18"/>
              </w:rPr>
              <w:t>OP▲¥3,000〜5,000M下振れリスク</w:t>
            </w:r>
          </w:p>
        </w:tc>
        <w:tc>
          <w:tcPr>
            <w:tcW w:type="dxa" w:w="2351"/>
            <w:shd w:val="clear" w:color="auto" w:fill="DDEBF7"/>
          </w:tcPr>
          <w:p>
            <w:r>
              <w:rPr>
                <w:rFonts w:ascii="Meiryo UI" w:hAnsi="Meiryo UI"/>
                <w:sz w:val="18"/>
              </w:rPr>
              <w:t>薬（非対称）</w:t>
            </w:r>
          </w:p>
        </w:tc>
      </w:tr>
      <w:tr>
        <w:tc>
          <w:tcPr>
            <w:tcW w:type="dxa" w:w="2351"/>
          </w:tcPr>
          <w:p>
            <w:r>
              <w:rPr>
                <w:rFonts w:ascii="Meiryo UI" w:hAnsi="Meiryo UI"/>
                <w:sz w:val="18"/>
              </w:rPr>
              <w:t>逆転可能性</w:t>
            </w:r>
          </w:p>
        </w:tc>
        <w:tc>
          <w:tcPr>
            <w:tcW w:type="dxa" w:w="2351"/>
          </w:tcPr>
          <w:p>
            <w:r>
              <w:rPr>
                <w:rFonts w:ascii="Meiryo UI" w:hAnsi="Meiryo UI"/>
                <w:sz w:val="18"/>
              </w:rPr>
              <w:t>ホルムズ解消で競合駆逐効果は消失</w:t>
            </w:r>
          </w:p>
        </w:tc>
        <w:tc>
          <w:tcPr>
            <w:tcW w:type="dxa" w:w="2351"/>
          </w:tcPr>
          <w:p>
            <w:r>
              <w:rPr>
                <w:rFonts w:ascii="Meiryo UI" w:hAnsi="Meiryo UI"/>
                <w:sz w:val="18"/>
              </w:rPr>
              <w:t>施工費問題・高齢化は不可逆的</w:t>
            </w:r>
          </w:p>
        </w:tc>
        <w:tc>
          <w:tcPr>
            <w:tcW w:type="dxa" w:w="2351"/>
          </w:tcPr>
          <w:p>
            <w:r>
              <w:rPr>
                <w:rFonts w:ascii="Meiryo UI" w:hAnsi="Meiryo UI"/>
                <w:sz w:val="18"/>
              </w:rPr>
              <w:t>引き分け</w:t>
            </w:r>
          </w:p>
        </w:tc>
      </w:tr>
      <w:tr>
        <w:tc>
          <w:tcPr>
            <w:tcW w:type="dxa" w:w="2351"/>
            <w:shd w:val="clear" w:color="auto" w:fill="DDEBF7"/>
          </w:tcPr>
          <w:p>
            <w:r>
              <w:rPr>
                <w:rFonts w:ascii="Meiryo UI" w:hAnsi="Meiryo UI"/>
                <w:sz w:val="18"/>
              </w:rPr>
              <w:t>株価への織り込み</w:t>
            </w:r>
          </w:p>
        </w:tc>
        <w:tc>
          <w:tcPr>
            <w:tcW w:type="dxa" w:w="2351"/>
            <w:shd w:val="clear" w:color="auto" w:fill="DDEBF7"/>
          </w:tcPr>
          <w:p>
            <w:r>
              <w:rPr>
                <w:rFonts w:ascii="Meiryo UI" w:hAnsi="Meiryo UI"/>
                <w:sz w:val="18"/>
              </w:rPr>
              <w:t>未織り込み（RSI 37.2が証拠）</w:t>
            </w:r>
          </w:p>
        </w:tc>
        <w:tc>
          <w:tcPr>
            <w:tcW w:type="dxa" w:w="2351"/>
            <w:shd w:val="clear" w:color="auto" w:fill="DDEBF7"/>
          </w:tcPr>
          <w:p>
            <w:r>
              <w:rPr>
                <w:rFonts w:ascii="Meiryo UI" w:hAnsi="Meiryo UI"/>
                <w:sz w:val="18"/>
              </w:rPr>
              <w:t>一部織り込み済み（1ヶ月▲4.7%）</w:t>
            </w:r>
          </w:p>
        </w:tc>
        <w:tc>
          <w:tcPr>
            <w:tcW w:type="dxa" w:w="2351"/>
            <w:shd w:val="clear" w:color="auto" w:fill="DDEBF7"/>
          </w:tcPr>
          <w:p>
            <w:r>
              <w:rPr>
                <w:rFonts w:ascii="Meiryo UI" w:hAnsi="Meiryo UI"/>
                <w:sz w:val="18"/>
              </w:rPr>
              <w:t>薬の方が未織り込み余地大</w:t>
            </w:r>
          </w:p>
        </w:tc>
      </w:tr>
    </w:tbl>
    <w:p/>
    <w:p>
      <w:r>
        <w:rPr>
          <w:rFonts w:ascii="Meiryo UI" w:hAnsi="Meiryo UI"/>
          <w:sz w:val="20"/>
        </w:rPr>
        <w:t>→ 安全域の確信度を★★★★☆から★★★★★に引き上げ。薬が毒を定量的に上回ることを確認した。</w:t>
      </w:r>
    </w:p>
    <w:p/>
    <w:p>
      <w:r>
        <w:t>──────────────────────────────────────────────────</w:t>
      </w:r>
    </w:p>
    <w:p/>
    <w:p>
      <w:pPr>
        <w:pStyle w:val="Heading2"/>
      </w:pPr>
      <w:r>
        <w:rPr>
          <w:rFonts w:ascii="Meiryo UI" w:hAnsi="Meiryo UI"/>
          <w:color w:val="2E74B5"/>
        </w:rPr>
        <w:t>Q3 vs Q2 単体比較 — 加速の証明</w:t>
      </w:r>
    </w:p>
    <w:p/>
    <w:p>
      <w:r>
        <w:rPr>
          <w:rFonts w:ascii="Meiryo UI" w:hAnsi="Meiryo UI"/>
          <w:sz w:val="20"/>
        </w:rPr>
        <w:t>累計進捗ではなく「単体の加速度」に焦点を当て、4Qおよび次期への勾配を定量化する。</w:t>
      </w:r>
    </w:p>
    <w:p/>
    <w:p>
      <w:pPr>
        <w:pStyle w:val="Heading3"/>
      </w:pPr>
      <w:r>
        <w:rPr>
          <w:rFonts w:ascii="Meiryo UI" w:hAnsi="Meiryo UI"/>
          <w:color w:val="2E74B5"/>
        </w:rPr>
        <w:t>四半期単体実績比較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2Q単体（推定）</w:t>
            </w:r>
          </w:p>
        </w:tc>
        <w:tc>
          <w:tcPr>
            <w:tcW w:type="dxa" w:w="2351"/>
            <w:shd w:val="clear" w:color="auto" w:fill="2E74B5"/>
          </w:tcPr>
          <w:p>
            <w:r>
              <w:rPr>
                <w:rFonts w:ascii="Meiryo UI" w:hAnsi="Meiryo UI"/>
                <w:b/>
                <w:color w:val="FFFFFF"/>
                <w:sz w:val="18"/>
              </w:rPr>
              <w:t>3Q単体（確定）</w:t>
            </w:r>
          </w:p>
        </w:tc>
        <w:tc>
          <w:tcPr>
            <w:tcW w:type="dxa" w:w="2351"/>
            <w:shd w:val="clear" w:color="auto" w:fill="2E74B5"/>
          </w:tcPr>
          <w:p>
            <w:r>
              <w:rPr>
                <w:rFonts w:ascii="Meiryo UI" w:hAnsi="Meiryo UI"/>
                <w:b/>
                <w:color w:val="FFFFFF"/>
                <w:sz w:val="18"/>
              </w:rPr>
              <w:t>QoQ変化</w:t>
            </w:r>
          </w:p>
        </w:tc>
      </w:tr>
      <w:tr>
        <w:tc>
          <w:tcPr>
            <w:tcW w:type="dxa" w:w="2351"/>
          </w:tcPr>
          <w:p>
            <w:r>
              <w:rPr>
                <w:rFonts w:ascii="Meiryo UI" w:hAnsi="Meiryo UI"/>
                <w:sz w:val="18"/>
              </w:rPr>
              <w:t>売上高</w:t>
            </w:r>
          </w:p>
        </w:tc>
        <w:tc>
          <w:tcPr>
            <w:tcW w:type="dxa" w:w="2351"/>
          </w:tcPr>
          <w:p>
            <w:r>
              <w:rPr>
                <w:rFonts w:ascii="Meiryo UI" w:hAnsi="Meiryo UI"/>
                <w:sz w:val="18"/>
              </w:rPr>
              <w:t>約¥33,100M</w:t>
            </w:r>
          </w:p>
        </w:tc>
        <w:tc>
          <w:tcPr>
            <w:tcW w:type="dxa" w:w="2351"/>
          </w:tcPr>
          <w:p>
            <w:r>
              <w:rPr>
                <w:rFonts w:ascii="Meiryo UI" w:hAnsi="Meiryo UI"/>
                <w:sz w:val="18"/>
              </w:rPr>
              <w:t>約¥36,200M</w:t>
            </w:r>
          </w:p>
        </w:tc>
        <w:tc>
          <w:tcPr>
            <w:tcW w:type="dxa" w:w="2351"/>
          </w:tcPr>
          <w:p>
            <w:r>
              <w:rPr>
                <w:rFonts w:ascii="Meiryo UI" w:hAnsi="Meiryo UI"/>
                <w:sz w:val="18"/>
              </w:rPr>
              <w:t>+9.4%</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約¥4,506M</w:t>
            </w:r>
          </w:p>
        </w:tc>
        <w:tc>
          <w:tcPr>
            <w:tcW w:type="dxa" w:w="2351"/>
            <w:shd w:val="clear" w:color="auto" w:fill="DDEBF7"/>
          </w:tcPr>
          <w:p>
            <w:r>
              <w:rPr>
                <w:rFonts w:ascii="Meiryo UI" w:hAnsi="Meiryo UI"/>
                <w:sz w:val="18"/>
              </w:rPr>
              <w:t>¥5,237M</w:t>
            </w:r>
          </w:p>
        </w:tc>
        <w:tc>
          <w:tcPr>
            <w:tcW w:type="dxa" w:w="2351"/>
            <w:shd w:val="clear" w:color="auto" w:fill="DDEBF7"/>
          </w:tcPr>
          <w:p>
            <w:r>
              <w:rPr>
                <w:rFonts w:ascii="Meiryo UI" w:hAnsi="Meiryo UI"/>
                <w:sz w:val="18"/>
              </w:rPr>
              <w:t>+16.3%</w:t>
            </w:r>
          </w:p>
        </w:tc>
      </w:tr>
      <w:tr>
        <w:tc>
          <w:tcPr>
            <w:tcW w:type="dxa" w:w="2351"/>
          </w:tcPr>
          <w:p>
            <w:r>
              <w:rPr>
                <w:rFonts w:ascii="Meiryo UI" w:hAnsi="Meiryo UI"/>
                <w:sz w:val="18"/>
              </w:rPr>
              <w:t>営業利益率</w:t>
            </w:r>
          </w:p>
        </w:tc>
        <w:tc>
          <w:tcPr>
            <w:tcW w:type="dxa" w:w="2351"/>
          </w:tcPr>
          <w:p>
            <w:r>
              <w:rPr>
                <w:rFonts w:ascii="Meiryo UI" w:hAnsi="Meiryo UI"/>
                <w:sz w:val="18"/>
              </w:rPr>
              <w:t>約13.6%</w:t>
            </w:r>
          </w:p>
        </w:tc>
        <w:tc>
          <w:tcPr>
            <w:tcW w:type="dxa" w:w="2351"/>
          </w:tcPr>
          <w:p>
            <w:r>
              <w:rPr>
                <w:rFonts w:ascii="Meiryo UI" w:hAnsi="Meiryo UI"/>
                <w:sz w:val="18"/>
              </w:rPr>
              <w:t>約14.5%</w:t>
            </w:r>
          </w:p>
        </w:tc>
        <w:tc>
          <w:tcPr>
            <w:tcW w:type="dxa" w:w="2351"/>
          </w:tcPr>
          <w:p>
            <w:r>
              <w:rPr>
                <w:rFonts w:ascii="Meiryo UI" w:hAnsi="Meiryo UI"/>
                <w:sz w:val="18"/>
              </w:rPr>
              <w:t>+0.9pt</w:t>
            </w:r>
          </w:p>
        </w:tc>
      </w:tr>
      <w:tr>
        <w:tc>
          <w:tcPr>
            <w:tcW w:type="dxa" w:w="2351"/>
            <w:shd w:val="clear" w:color="auto" w:fill="DDEBF7"/>
          </w:tcPr>
          <w:p>
            <w:r>
              <w:rPr>
                <w:rFonts w:ascii="Meiryo UI" w:hAnsi="Meiryo UI"/>
                <w:sz w:val="18"/>
              </w:rPr>
              <w:t>販売件数</w:t>
            </w:r>
          </w:p>
        </w:tc>
        <w:tc>
          <w:tcPr>
            <w:tcW w:type="dxa" w:w="2351"/>
            <w:shd w:val="clear" w:color="auto" w:fill="DDEBF7"/>
          </w:tcPr>
          <w:p>
            <w:r>
              <w:rPr>
                <w:rFonts w:ascii="Meiryo UI" w:hAnsi="Meiryo UI"/>
                <w:sz w:val="18"/>
              </w:rPr>
              <w:t>約2,032件</w:t>
            </w:r>
          </w:p>
        </w:tc>
        <w:tc>
          <w:tcPr>
            <w:tcW w:type="dxa" w:w="2351"/>
            <w:shd w:val="clear" w:color="auto" w:fill="DDEBF7"/>
          </w:tcPr>
          <w:p>
            <w:r>
              <w:rPr>
                <w:rFonts w:ascii="Meiryo UI" w:hAnsi="Meiryo UI"/>
                <w:sz w:val="18"/>
              </w:rPr>
              <w:t>2,220件（過去最多）</w:t>
            </w:r>
          </w:p>
        </w:tc>
        <w:tc>
          <w:tcPr>
            <w:tcW w:type="dxa" w:w="2351"/>
            <w:shd w:val="clear" w:color="auto" w:fill="DDEBF7"/>
          </w:tcPr>
          <w:p>
            <w:r>
              <w:rPr>
                <w:rFonts w:ascii="Meiryo UI" w:hAnsi="Meiryo UI"/>
                <w:sz w:val="18"/>
              </w:rPr>
              <w:t>+9.3%</w:t>
            </w:r>
          </w:p>
        </w:tc>
      </w:tr>
      <w:tr>
        <w:tc>
          <w:tcPr>
            <w:tcW w:type="dxa" w:w="2351"/>
          </w:tcPr>
          <w:p>
            <w:r>
              <w:rPr>
                <w:rFonts w:ascii="Meiryo UI" w:hAnsi="Meiryo UI"/>
                <w:sz w:val="18"/>
              </w:rPr>
              <w:t>仕入件数（在庫純増の先行指標）</w:t>
            </w:r>
          </w:p>
        </w:tc>
        <w:tc>
          <w:tcPr>
            <w:tcW w:type="dxa" w:w="2351"/>
          </w:tcPr>
          <w:p>
            <w:r>
              <w:rPr>
                <w:rFonts w:ascii="Meiryo UI" w:hAnsi="Meiryo UI"/>
                <w:sz w:val="18"/>
              </w:rPr>
              <w:t>約2,333件</w:t>
            </w:r>
          </w:p>
        </w:tc>
        <w:tc>
          <w:tcPr>
            <w:tcW w:type="dxa" w:w="2351"/>
          </w:tcPr>
          <w:p>
            <w:r>
              <w:rPr>
                <w:rFonts w:ascii="Meiryo UI" w:hAnsi="Meiryo UI"/>
                <w:sz w:val="18"/>
              </w:rPr>
              <w:t>2,725件</w:t>
            </w:r>
          </w:p>
        </w:tc>
        <w:tc>
          <w:tcPr>
            <w:tcW w:type="dxa" w:w="2351"/>
          </w:tcPr>
          <w:p>
            <w:r>
              <w:rPr>
                <w:rFonts w:ascii="Meiryo UI" w:hAnsi="Meiryo UI"/>
                <w:sz w:val="18"/>
              </w:rPr>
              <w:t>+16.8%</w:t>
            </w:r>
          </w:p>
        </w:tc>
      </w:tr>
      <w:tr>
        <w:tc>
          <w:tcPr>
            <w:tcW w:type="dxa" w:w="2351"/>
            <w:shd w:val="clear" w:color="auto" w:fill="DDEBF7"/>
          </w:tcPr>
          <w:p>
            <w:r>
              <w:rPr>
                <w:rFonts w:ascii="Meiryo UI" w:hAnsi="Meiryo UI"/>
                <w:sz w:val="18"/>
              </w:rPr>
              <w:t>OP/販売件数（1件当たりOP）</w:t>
            </w:r>
          </w:p>
        </w:tc>
        <w:tc>
          <w:tcPr>
            <w:tcW w:type="dxa" w:w="2351"/>
            <w:shd w:val="clear" w:color="auto" w:fill="DDEBF7"/>
          </w:tcPr>
          <w:p>
            <w:r>
              <w:rPr>
                <w:rFonts w:ascii="Meiryo UI" w:hAnsi="Meiryo UI"/>
                <w:sz w:val="18"/>
              </w:rPr>
              <w:t>約¥221万</w:t>
            </w:r>
          </w:p>
        </w:tc>
        <w:tc>
          <w:tcPr>
            <w:tcW w:type="dxa" w:w="2351"/>
            <w:shd w:val="clear" w:color="auto" w:fill="DDEBF7"/>
          </w:tcPr>
          <w:p>
            <w:r>
              <w:rPr>
                <w:rFonts w:ascii="Meiryo UI" w:hAnsi="Meiryo UI"/>
                <w:sz w:val="18"/>
              </w:rPr>
              <w:t>¥236万</w:t>
            </w:r>
          </w:p>
        </w:tc>
        <w:tc>
          <w:tcPr>
            <w:tcW w:type="dxa" w:w="2351"/>
            <w:shd w:val="clear" w:color="auto" w:fill="DDEBF7"/>
          </w:tcPr>
          <w:p>
            <w:r>
              <w:rPr>
                <w:rFonts w:ascii="Meiryo UI" w:hAnsi="Meiryo UI"/>
                <w:sz w:val="18"/>
              </w:rPr>
              <w:t>+6.8%</w:t>
            </w:r>
          </w:p>
        </w:tc>
      </w:tr>
    </w:tbl>
    <w:p/>
    <w:p>
      <w:r>
        <w:rPr>
          <w:rFonts w:ascii="Meiryo UI" w:hAnsi="Meiryo UI"/>
          <w:sz w:val="20"/>
        </w:rPr>
        <w:t>※2Q単体は3Q累計(¥14,248M)から3Q単体(¥5,237M)を引いた上期累計(¥9,011M)の半期平均。販売件数も同様に上期累計4,064件の平均(2,032件)。売上は販売件数×平均単価¥1,631万で推計。</w:t>
      </w:r>
    </w:p>
    <w:p/>
    <w:p>
      <w:pPr>
        <w:pStyle w:val="Heading3"/>
      </w:pPr>
      <w:r>
        <w:rPr>
          <w:rFonts w:ascii="Meiryo UI" w:hAnsi="Meiryo UI"/>
          <w:color w:val="2E74B5"/>
        </w:rPr>
        <w:t>3Q単体での利益率向上 — 要因分解</w:t>
      </w:r>
    </w:p>
    <w:p/>
    <w:p>
      <w:pPr>
        <w:shd w:val="clear" w:color="auto" w:fill="F2F2F2"/>
      </w:pPr>
      <w:r>
        <w:rPr>
          <w:rFonts w:ascii="Courier New" w:hAnsi="Courier New"/>
          <w:sz w:val="16"/>
        </w:rPr>
        <w:t>営業利益率 2Q推定13.6% → 3Q確定14.5%（+0.9pt）の要因：</w:t>
        <w:br/>
        <w:br/>
        <w:t>【主因①】固定費レバレッジ（推定寄与+0.5pt）</w:t>
        <w:br/>
        <w:t xml:space="preserve">  販売件数+9.3%に対し、本部・店舗固定費はほぼ横ばい</w:t>
        <w:br/>
        <w:t xml:space="preserve">  → 1件当たり固定費が圧縮 → 営業利益率が自動的に改善</w:t>
        <w:br/>
        <w:br/>
        <w:t>【主因②】仕入価格の安定（推定寄与+0.3pt）</w:t>
        <w:br/>
        <w:t xml:space="preserve">  地方空き家の仕入価格は市況より構造的に安定</w:t>
        <w:br/>
        <w:t xml:space="preserve">  競合撤退で「売り急ぎ物件」の入手が増加 → 仕入コスト有利化</w:t>
        <w:br/>
        <w:br/>
        <w:t>【主因③】広告宣伝費の効率化（推定寄与+0.1pt）</w:t>
        <w:br/>
        <w:t xml:space="preserve">  デジタル集客の成熟でCPA（顧客獲得単価）が低下傾向</w:t>
        <w:br/>
        <w:t xml:space="preserve">  競合不在で問合せが自然流入 → 広告費をかけなくても仕入れが増える</w:t>
      </w:r>
    </w:p>
    <w:p/>
    <w:p>
      <w:pPr>
        <w:pStyle w:val="Heading3"/>
      </w:pPr>
      <w:r>
        <w:rPr>
          <w:rFonts w:ascii="Meiryo UI" w:hAnsi="Meiryo UI"/>
          <w:color w:val="2E74B5"/>
        </w:rPr>
        <w:t>4Qおよび次期への「勾配」定量化</w:t>
      </w:r>
    </w:p>
    <w:p/>
    <w:p>
      <w:pPr>
        <w:shd w:val="clear" w:color="auto" w:fill="F2F2F2"/>
      </w:pPr>
      <w:r>
        <w:rPr>
          <w:rFonts w:ascii="Courier New" w:hAnsi="Courier New"/>
          <w:sz w:val="16"/>
        </w:rPr>
        <w:t>3Q → 4Q の季節性調整：</w:t>
        <w:br/>
        <w:t xml:space="preserve">  4Q（Jan-Mar）は年度末・引越繁忙期 → 需要が強い期間</w:t>
        <w:br/>
        <w:t xml:space="preserve">  ただし仕入れ（空き家オーナーの意思決定）は春より冬の方が遅い傾向</w:t>
        <w:br/>
        <w:t xml:space="preserve">  </w:t>
        <w:br/>
        <w:t xml:space="preserve">  保守的4Q仮定：</w:t>
        <w:br/>
        <w:t xml:space="preserve">    販売件数: 2,050〜2,150件（3Q比▲3〜8%）</w:t>
        <w:br/>
        <w:t xml:space="preserve">    OP/件:    ¥230〜240万（3Q水準を概ね維持）</w:t>
        <w:br/>
        <w:t xml:space="preserve">    → 4Q単体OP推定: ¥4,715〜5,160M</w:t>
        <w:br/>
        <w:br/>
        <w:t xml:space="preserve">  4Q合算でのFY26通期OP:</w:t>
        <w:br/>
        <w:t xml:space="preserve">    3Q累計¥14,248M + 4Q推定¥4,715〜5,160M</w:t>
        <w:br/>
        <w:t xml:space="preserve">    = **¥18,963〜19,408M（ガイダンス¥17,800Mを+6〜9%上振れ）**</w:t>
        <w:br/>
        <w:br/>
        <w:t>FY27/3期への勾配：</w:t>
        <w:br/>
        <w:t xml:space="preserve">  3Q単体 OP margin 14.5%が次期に維持されると仮定した場合</w:t>
        <w:br/>
        <w:t xml:space="preserve">    FY27 売上予想（中計ペース+12%）: ¥165,000M</w:t>
        <w:br/>
        <w:t xml:space="preserve">    FY27 OP = ¥165,000M × 14.5% = ¥23,925M</w:t>
        <w:br/>
        <w:t xml:space="preserve">    → 中計目標¥20,000Mを**¥3,900M（+20%）上回る可能性**</w:t>
        <w:br/>
        <w:t xml:space="preserve">  </w:t>
        <w:br/>
        <w:t xml:space="preserve">  ホルムズ継続+競合不在が加味されれば、中計最終年度（FY28）目標の</w:t>
        <w:br/>
        <w:t xml:space="preserve">  OP¥20,000M をFY27で前倒し達成するシナリオが現実味を持つ。</w:t>
      </w:r>
    </w:p>
    <w:p/>
    <w:p>
      <w:r>
        <w:rPr>
          <w:rFonts w:ascii="Meiryo UI" w:hAnsi="Meiryo UI"/>
          <w:sz w:val="20"/>
        </w:rPr>
        <w:t>→ 「3Q加速」は一過性ではなく構造的改善の証拠。4Qで確認し、5/8決算発表後に追撃買い判断。</w:t>
      </w:r>
    </w:p>
    <w:p/>
    <w:p>
      <w:r>
        <w:t>──────────────────────────────────────────────────</w:t>
      </w:r>
    </w:p>
    <w:p/>
    <w:p>
      <w:pPr>
        <w:pStyle w:val="Heading2"/>
      </w:pPr>
      <w:r>
        <w:rPr>
          <w:rFonts w:ascii="Meiryo UI" w:hAnsi="Meiryo UI"/>
          <w:color w:val="2E74B5"/>
        </w:rPr>
        <w:t>FY26/3期業績 — 上振れ着地が見えている</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通期ガイダンス</w:t>
            </w:r>
          </w:p>
        </w:tc>
        <w:tc>
          <w:tcPr>
            <w:tcW w:type="dxa" w:w="1881"/>
            <w:shd w:val="clear" w:color="auto" w:fill="2E74B5"/>
          </w:tcPr>
          <w:p>
            <w:r>
              <w:rPr>
                <w:rFonts w:ascii="Meiryo UI" w:hAnsi="Meiryo UI"/>
                <w:b/>
                <w:color w:val="FFFFFF"/>
                <w:sz w:val="18"/>
              </w:rPr>
              <w:t>3Q累計</w:t>
            </w:r>
          </w:p>
        </w:tc>
        <w:tc>
          <w:tcPr>
            <w:tcW w:type="dxa" w:w="1881"/>
            <w:shd w:val="clear" w:color="auto" w:fill="2E74B5"/>
          </w:tcPr>
          <w:p>
            <w:r>
              <w:rPr>
                <w:rFonts w:ascii="Meiryo UI" w:hAnsi="Meiryo UI"/>
                <w:b/>
                <w:color w:val="FFFFFF"/>
                <w:sz w:val="18"/>
              </w:rPr>
              <w:t>進捗率</w:t>
            </w:r>
          </w:p>
        </w:tc>
        <w:tc>
          <w:tcPr>
            <w:tcW w:type="dxa" w:w="1881"/>
            <w:shd w:val="clear" w:color="auto" w:fill="2E74B5"/>
          </w:tcPr>
          <w:p>
            <w:r>
              <w:rPr>
                <w:rFonts w:ascii="Meiryo UI" w:hAnsi="Meiryo UI"/>
                <w:b/>
                <w:color w:val="FFFFFF"/>
                <w:sz w:val="18"/>
              </w:rPr>
              <w:t>残り4Q必要額</w:t>
            </w:r>
          </w:p>
        </w:tc>
      </w:tr>
      <w:tr>
        <w:tc>
          <w:tcPr>
            <w:tcW w:type="dxa" w:w="1881"/>
          </w:tcPr>
          <w:p>
            <w:r>
              <w:rPr>
                <w:rFonts w:ascii="Meiryo UI" w:hAnsi="Meiryo UI"/>
                <w:sz w:val="18"/>
              </w:rPr>
              <w:t>売上高</w:t>
            </w:r>
          </w:p>
        </w:tc>
        <w:tc>
          <w:tcPr>
            <w:tcW w:type="dxa" w:w="1881"/>
          </w:tcPr>
          <w:p>
            <w:r>
              <w:rPr>
                <w:rFonts w:ascii="Meiryo UI" w:hAnsi="Meiryo UI"/>
                <w:sz w:val="18"/>
              </w:rPr>
              <w:t>¥147,500M</w:t>
            </w:r>
          </w:p>
        </w:tc>
        <w:tc>
          <w:tcPr>
            <w:tcW w:type="dxa" w:w="1881"/>
          </w:tcPr>
          <w:p>
            <w:r>
              <w:rPr>
                <w:rFonts w:ascii="Meiryo UI" w:hAnsi="Meiryo UI"/>
                <w:sz w:val="18"/>
              </w:rPr>
              <w:t>¥112,414M</w:t>
            </w:r>
          </w:p>
        </w:tc>
        <w:tc>
          <w:tcPr>
            <w:tcW w:type="dxa" w:w="1881"/>
          </w:tcPr>
          <w:p>
            <w:r>
              <w:rPr>
                <w:rFonts w:ascii="Meiryo UI" w:hAnsi="Meiryo UI"/>
                <w:sz w:val="18"/>
              </w:rPr>
              <w:t>76.2%</w:t>
            </w:r>
          </w:p>
        </w:tc>
        <w:tc>
          <w:tcPr>
            <w:tcW w:type="dxa" w:w="1881"/>
          </w:tcPr>
          <w:p>
            <w:r>
              <w:rPr>
                <w:rFonts w:ascii="Meiryo UI" w:hAnsi="Meiryo UI"/>
                <w:sz w:val="18"/>
              </w:rPr>
              <w:t>¥35,086M</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¥17,800M</w:t>
            </w:r>
          </w:p>
        </w:tc>
        <w:tc>
          <w:tcPr>
            <w:tcW w:type="dxa" w:w="1881"/>
            <w:shd w:val="clear" w:color="auto" w:fill="DDEBF7"/>
          </w:tcPr>
          <w:p>
            <w:r>
              <w:rPr>
                <w:rFonts w:ascii="Meiryo UI" w:hAnsi="Meiryo UI"/>
                <w:sz w:val="18"/>
              </w:rPr>
              <w:t>¥14,248M</w:t>
            </w:r>
          </w:p>
        </w:tc>
        <w:tc>
          <w:tcPr>
            <w:tcW w:type="dxa" w:w="1881"/>
            <w:shd w:val="clear" w:color="auto" w:fill="DDEBF7"/>
          </w:tcPr>
          <w:p>
            <w:r>
              <w:rPr>
                <w:rFonts w:ascii="Meiryo UI" w:hAnsi="Meiryo UI"/>
                <w:sz w:val="18"/>
              </w:rPr>
              <w:t>80.0%</w:t>
            </w:r>
          </w:p>
        </w:tc>
        <w:tc>
          <w:tcPr>
            <w:tcW w:type="dxa" w:w="1881"/>
            <w:shd w:val="clear" w:color="auto" w:fill="DDEBF7"/>
          </w:tcPr>
          <w:p>
            <w:r>
              <w:rPr>
                <w:rFonts w:ascii="Meiryo UI" w:hAnsi="Meiryo UI"/>
                <w:sz w:val="18"/>
              </w:rPr>
              <w:t>¥3,552M</w:t>
            </w:r>
          </w:p>
        </w:tc>
      </w:tr>
      <w:tr>
        <w:tc>
          <w:tcPr>
            <w:tcW w:type="dxa" w:w="1881"/>
          </w:tcPr>
          <w:p>
            <w:r>
              <w:rPr>
                <w:rFonts w:ascii="Meiryo UI" w:hAnsi="Meiryo UI"/>
                <w:sz w:val="18"/>
              </w:rPr>
              <w:t>純利益</w:t>
            </w:r>
          </w:p>
        </w:tc>
        <w:tc>
          <w:tcPr>
            <w:tcW w:type="dxa" w:w="1881"/>
          </w:tcPr>
          <w:p>
            <w:r>
              <w:rPr>
                <w:rFonts w:ascii="Meiryo UI" w:hAnsi="Meiryo UI"/>
                <w:sz w:val="18"/>
              </w:rPr>
              <w:t>¥11,900M</w:t>
            </w:r>
          </w:p>
        </w:tc>
        <w:tc>
          <w:tcPr>
            <w:tcW w:type="dxa" w:w="1881"/>
          </w:tcPr>
          <w:p>
            <w:r>
              <w:rPr>
                <w:rFonts w:ascii="Meiryo UI" w:hAnsi="Meiryo UI"/>
                <w:sz w:val="18"/>
              </w:rPr>
              <w:t>¥9,486M</w:t>
            </w:r>
          </w:p>
        </w:tc>
        <w:tc>
          <w:tcPr>
            <w:tcW w:type="dxa" w:w="1881"/>
          </w:tcPr>
          <w:p>
            <w:r>
              <w:rPr>
                <w:rFonts w:ascii="Meiryo UI" w:hAnsi="Meiryo UI"/>
                <w:sz w:val="18"/>
              </w:rPr>
              <w:t>79.7%</w:t>
            </w:r>
          </w:p>
        </w:tc>
        <w:tc>
          <w:tcPr>
            <w:tcW w:type="dxa" w:w="1881"/>
          </w:tcPr>
          <w:p>
            <w:r>
              <w:rPr>
                <w:rFonts w:ascii="Meiryo UI" w:hAnsi="Meiryo UI"/>
                <w:sz w:val="18"/>
              </w:rPr>
              <w:t>¥2,414M</w:t>
            </w:r>
          </w:p>
        </w:tc>
      </w:tr>
      <w:tr>
        <w:tc>
          <w:tcPr>
            <w:tcW w:type="dxa" w:w="1881"/>
            <w:shd w:val="clear" w:color="auto" w:fill="DDEBF7"/>
          </w:tcPr>
          <w:p>
            <w:r>
              <w:rPr>
                <w:rFonts w:ascii="Meiryo UI" w:hAnsi="Meiryo UI"/>
                <w:sz w:val="18"/>
              </w:rPr>
              <w:t>販売件数</w:t>
            </w:r>
          </w:p>
        </w:tc>
        <w:tc>
          <w:tcPr>
            <w:tcW w:type="dxa" w:w="1881"/>
            <w:shd w:val="clear" w:color="auto" w:fill="DDEBF7"/>
          </w:tcPr>
          <w:p>
            <w:r>
              <w:rPr>
                <w:rFonts w:ascii="Meiryo UI" w:hAnsi="Meiryo UI"/>
                <w:sz w:val="18"/>
              </w:rPr>
              <w:t>8,250件</w:t>
            </w:r>
          </w:p>
        </w:tc>
        <w:tc>
          <w:tcPr>
            <w:tcW w:type="dxa" w:w="1881"/>
            <w:shd w:val="clear" w:color="auto" w:fill="DDEBF7"/>
          </w:tcPr>
          <w:p>
            <w:r>
              <w:rPr>
                <w:rFonts w:ascii="Meiryo UI" w:hAnsi="Meiryo UI"/>
                <w:sz w:val="18"/>
              </w:rPr>
              <w:t>6,284件</w:t>
            </w:r>
          </w:p>
        </w:tc>
        <w:tc>
          <w:tcPr>
            <w:tcW w:type="dxa" w:w="1881"/>
            <w:shd w:val="clear" w:color="auto" w:fill="DDEBF7"/>
          </w:tcPr>
          <w:p>
            <w:r>
              <w:rPr>
                <w:rFonts w:ascii="Meiryo UI" w:hAnsi="Meiryo UI"/>
                <w:sz w:val="18"/>
              </w:rPr>
              <w:t>76.2%</w:t>
            </w:r>
          </w:p>
        </w:tc>
        <w:tc>
          <w:tcPr>
            <w:tcW w:type="dxa" w:w="1881"/>
            <w:shd w:val="clear" w:color="auto" w:fill="DDEBF7"/>
          </w:tcPr>
          <w:p>
            <w:r>
              <w:rPr>
                <w:rFonts w:ascii="Meiryo UI" w:hAnsi="Meiryo UI"/>
                <w:sz w:val="18"/>
              </w:rPr>
              <w:t>1,966件</w:t>
            </w:r>
          </w:p>
        </w:tc>
      </w:tr>
      <w:tr>
        <w:tc>
          <w:tcPr>
            <w:tcW w:type="dxa" w:w="1881"/>
          </w:tcPr>
          <w:p>
            <w:r>
              <w:rPr>
                <w:rFonts w:ascii="Meiryo UI" w:hAnsi="Meiryo UI"/>
                <w:sz w:val="18"/>
              </w:rPr>
              <w:t>配当</w:t>
            </w:r>
          </w:p>
        </w:tc>
        <w:tc>
          <w:tcPr>
            <w:tcW w:type="dxa" w:w="1881"/>
          </w:tcPr>
          <w:p>
            <w:r>
              <w:rPr>
                <w:rFonts w:ascii="Meiryo UI" w:hAnsi="Meiryo UI"/>
                <w:sz w:val="18"/>
              </w:rPr>
              <w:t>¥78円</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累進配当継続</w:t>
            </w:r>
          </w:p>
        </w:tc>
      </w:tr>
    </w:tbl>
    <w:p/>
    <w:p>
      <w:r>
        <w:rPr>
          <w:rFonts w:ascii="Meiryo UI" w:hAnsi="Meiryo UI"/>
          <w:sz w:val="20"/>
        </w:rPr>
        <w:t>4Q達成の蓋然性:</w:t>
      </w:r>
    </w:p>
    <w:p>
      <w:pPr>
        <w:pStyle w:val="ListBullet"/>
      </w:pPr>
      <w:r>
        <w:rPr>
          <w:rFonts w:ascii="Meiryo UI" w:hAnsi="Meiryo UI"/>
          <w:sz w:val="20"/>
        </w:rPr>
        <w:t>3Q単体営業利益: ¥5,237M（四半期過去最高益）</w:t>
      </w:r>
    </w:p>
    <w:p>
      <w:pPr>
        <w:pStyle w:val="ListBullet"/>
      </w:pPr>
      <w:r>
        <w:rPr>
          <w:rFonts w:ascii="Meiryo UI" w:hAnsi="Meiryo UI"/>
          <w:sz w:val="20"/>
        </w:rPr>
        <w:t>4Qに必要なOP ¥3,552M = 3Q単体比 ▲32%で到達</w:t>
      </w:r>
    </w:p>
    <w:p>
      <w:pPr>
        <w:pStyle w:val="ListBullet"/>
      </w:pPr>
      <w:r>
        <w:rPr>
          <w:rFonts w:ascii="Meiryo UI" w:hAnsi="Meiryo UI"/>
          <w:sz w:val="20"/>
        </w:rPr>
        <w:t>→ 保守的計画。上振れ着地（OP ¥18,500〜19,000M）の可能性大</w:t>
      </w:r>
    </w:p>
    <w:p/>
    <w:p>
      <w:r>
        <w:rPr>
          <w:rFonts w:ascii="Meiryo UI" w:hAnsi="Meiryo UI"/>
          <w:sz w:val="20"/>
        </w:rPr>
        <w:t>前期比:</w:t>
      </w:r>
    </w:p>
    <w:p>
      <w:pPr>
        <w:pStyle w:val="ListBullet"/>
      </w:pPr>
      <w:r>
        <w:rPr>
          <w:rFonts w:ascii="Meiryo UI" w:hAnsi="Meiryo UI"/>
          <w:sz w:val="20"/>
        </w:rPr>
        <w:t>売上高: +13.9%、営業利益: +25.2%、純利益: +24.6%</w:t>
      </w:r>
    </w:p>
    <w:p/>
    <w:p>
      <w:r>
        <w:t>──────────────────────────────────────────────────</w:t>
      </w:r>
    </w:p>
    <w:p/>
    <w:p>
      <w:pPr>
        <w:pStyle w:val="Heading2"/>
      </w:pPr>
      <w:r>
        <w:rPr>
          <w:rFonts w:ascii="Meiryo UI" w:hAnsi="Meiryo UI"/>
          <w:color w:val="2E74B5"/>
        </w:rPr>
        <w:t>ホルムズ危機 × カチタス — 完全受益の構造</w:t>
      </w:r>
    </w:p>
    <w:p/>
    <w:p>
      <w:pPr>
        <w:shd w:val="clear" w:color="auto" w:fill="F2F2F2"/>
      </w:pPr>
      <w:r>
        <w:rPr>
          <w:rFonts w:ascii="Courier New" w:hAnsi="Courier New"/>
          <w:sz w:val="16"/>
        </w:rPr>
        <w:t>ホルムズ封鎖</w:t>
        <w:br/>
        <w:t xml:space="preserve">  ↓</w:t>
        <w:br/>
        <w:t>アルミ（EGA停止1年）・ステンレス・樹脂部品 → 供給停止</w:t>
        <w:br/>
        <w:br/>
        <w:t>【競合：中小リフォーム業者】（本日フィールド確認）</w:t>
        <w:br/>
        <w:t xml:space="preserve">  × キッチン・UBの発注ができない</w:t>
        <w:br/>
        <w:t xml:space="preserve">  × 施工スケジュールが立てられない</w:t>
        <w:br/>
        <w:t xml:space="preserve">  × 新規受注を終了</w:t>
        <w:br/>
        <w:br/>
        <w:t>【競合：ゼネコン・住宅メーカー】（本日フィールド確認）</w:t>
        <w:br/>
        <w:t xml:space="preserve">  × 着工しないといけない案件も完成できるか不明</w:t>
        <w:br/>
        <w:t xml:space="preserve">  × 「ニュースで見るよりも深刻」</w:t>
        <w:br/>
        <w:t xml:space="preserve">  × 新築着工 35ヶ月連続マイナス継続</w:t>
        <w:br/>
        <w:br/>
        <w:t>【カチタス】</w:t>
        <w:br/>
        <w:t xml:space="preserve">  ○ メーカー直接大量発注 → 優先割当確保</w:t>
        <w:br/>
        <w:t xml:space="preserve">  ○ 標準仕様パッケージ → 部品種類を最小化</w:t>
        <w:br/>
        <w:t xml:space="preserve">  ○ 149店舗の工務店ネットワーク → 施工確保済み</w:t>
        <w:br/>
        <w:t xml:space="preserve">  ↓</w:t>
        <w:br/>
        <w:t xml:space="preserve">  競合が詰まる中でカチタスだけが着工・引渡継続</w:t>
        <w:br/>
        <w:t xml:space="preserve">  ↓</w:t>
        <w:br/>
        <w:t xml:space="preserve">  寡占化が急加速 → 中計目標（FY28/3 OP¥200億）前倒し</w:t>
      </w:r>
    </w:p>
    <w:p/>
    <w:p>
      <w:r>
        <w:t>──────────────────────────────────────────────────</w:t>
      </w:r>
    </w:p>
    <w:p/>
    <w:p>
      <w:pPr>
        <w:pStyle w:val="Heading2"/>
      </w:pPr>
      <w:r>
        <w:rPr>
          <w:rFonts w:ascii="Meiryo UI" w:hAnsi="Meiryo UI"/>
          <w:color w:val="2E74B5"/>
        </w:rPr>
        <w:t>競合優位 — 2位に3.3倍の差（12年連続1位）</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順位</w:t>
            </w:r>
          </w:p>
        </w:tc>
        <w:tc>
          <w:tcPr>
            <w:tcW w:type="dxa" w:w="3135"/>
            <w:shd w:val="clear" w:color="auto" w:fill="2E74B5"/>
          </w:tcPr>
          <w:p>
            <w:r>
              <w:rPr>
                <w:rFonts w:ascii="Meiryo UI" w:hAnsi="Meiryo UI"/>
                <w:b/>
                <w:color w:val="FFFFFF"/>
                <w:sz w:val="18"/>
              </w:rPr>
              <w:t>社名</w:t>
            </w:r>
          </w:p>
        </w:tc>
        <w:tc>
          <w:tcPr>
            <w:tcW w:type="dxa" w:w="3135"/>
            <w:shd w:val="clear" w:color="auto" w:fill="2E74B5"/>
          </w:tcPr>
          <w:p>
            <w:r>
              <w:rPr>
                <w:rFonts w:ascii="Meiryo UI" w:hAnsi="Meiryo UI"/>
                <w:b/>
                <w:color w:val="FFFFFF"/>
                <w:sz w:val="18"/>
              </w:rPr>
              <w:t>年間販売件数</w:t>
            </w:r>
          </w:p>
        </w:tc>
      </w:tr>
      <w:tr>
        <w:tc>
          <w:tcPr>
            <w:tcW w:type="dxa" w:w="3135"/>
          </w:tcPr>
          <w:p>
            <w:r>
              <w:rPr>
                <w:rFonts w:ascii="Meiryo UI" w:hAnsi="Meiryo UI"/>
                <w:sz w:val="18"/>
              </w:rPr>
              <w:t>1位（12年連続）</w:t>
            </w:r>
          </w:p>
        </w:tc>
        <w:tc>
          <w:tcPr>
            <w:tcW w:type="dxa" w:w="3135"/>
          </w:tcPr>
          <w:p>
            <w:r>
              <w:rPr>
                <w:rFonts w:ascii="Meiryo UI" w:hAnsi="Meiryo UI"/>
                <w:sz w:val="18"/>
              </w:rPr>
              <w:t>カチタスグループ</w:t>
            </w:r>
          </w:p>
        </w:tc>
        <w:tc>
          <w:tcPr>
            <w:tcW w:type="dxa" w:w="3135"/>
          </w:tcPr>
          <w:p>
            <w:r>
              <w:rPr>
                <w:rFonts w:ascii="Meiryo UI" w:hAnsi="Meiryo UI"/>
                <w:sz w:val="18"/>
              </w:rPr>
              <w:t>7,372件</w:t>
            </w:r>
          </w:p>
        </w:tc>
      </w:tr>
      <w:tr>
        <w:tc>
          <w:tcPr>
            <w:tcW w:type="dxa" w:w="3135"/>
            <w:shd w:val="clear" w:color="auto" w:fill="DDEBF7"/>
          </w:tcPr>
          <w:p>
            <w:r>
              <w:rPr>
                <w:rFonts w:ascii="Meiryo UI" w:hAnsi="Meiryo UI"/>
                <w:sz w:val="18"/>
              </w:rPr>
              <w:t>2位</w:t>
            </w:r>
          </w:p>
        </w:tc>
        <w:tc>
          <w:tcPr>
            <w:tcW w:type="dxa" w:w="3135"/>
            <w:shd w:val="clear" w:color="auto" w:fill="DDEBF7"/>
          </w:tcPr>
          <w:p>
            <w:r>
              <w:rPr>
                <w:rFonts w:ascii="Meiryo UI" w:hAnsi="Meiryo UI"/>
                <w:sz w:val="18"/>
              </w:rPr>
              <w:t>レジデンシャル不動産</w:t>
            </w:r>
          </w:p>
        </w:tc>
        <w:tc>
          <w:tcPr>
            <w:tcW w:type="dxa" w:w="3135"/>
            <w:shd w:val="clear" w:color="auto" w:fill="DDEBF7"/>
          </w:tcPr>
          <w:p>
            <w:r>
              <w:rPr>
                <w:rFonts w:ascii="Meiryo UI" w:hAnsi="Meiryo UI"/>
                <w:sz w:val="18"/>
              </w:rPr>
              <w:t>2,106件</w:t>
            </w:r>
          </w:p>
        </w:tc>
      </w:tr>
      <w:tr>
        <w:tc>
          <w:tcPr>
            <w:tcW w:type="dxa" w:w="3135"/>
          </w:tcPr>
          <w:p>
            <w:r>
              <w:rPr>
                <w:rFonts w:ascii="Meiryo UI" w:hAnsi="Meiryo UI"/>
                <w:sz w:val="18"/>
              </w:rPr>
              <w:t>3位（グループ内）</w:t>
            </w:r>
          </w:p>
        </w:tc>
        <w:tc>
          <w:tcPr>
            <w:tcW w:type="dxa" w:w="3135"/>
          </w:tcPr>
          <w:p>
            <w:r>
              <w:rPr>
                <w:rFonts w:ascii="Meiryo UI" w:hAnsi="Meiryo UI"/>
                <w:sz w:val="18"/>
              </w:rPr>
              <w:t>リプライス</w:t>
            </w:r>
          </w:p>
        </w:tc>
        <w:tc>
          <w:tcPr>
            <w:tcW w:type="dxa" w:w="3135"/>
          </w:tcPr>
          <w:p>
            <w:r>
              <w:rPr>
                <w:rFonts w:ascii="Meiryo UI" w:hAnsi="Meiryo UI"/>
                <w:sz w:val="18"/>
              </w:rPr>
              <w:t>1,775件</w:t>
            </w:r>
          </w:p>
        </w:tc>
      </w:tr>
    </w:tbl>
    <w:p/>
    <w:p>
      <w:r>
        <w:rPr>
          <w:rFonts w:ascii="Meiryo UI" w:hAnsi="Meiryo UI"/>
          <w:sz w:val="20"/>
        </w:rPr>
        <w:t>潜在需要: 年間12.7万件 vs 現在カバー7,372件 = 浸透率5.8%</w:t>
      </w:r>
    </w:p>
    <w:p/>
    <w:p>
      <w:r>
        <w:rPr>
          <w:rFonts w:ascii="Meiryo UI" w:hAnsi="Meiryo UI"/>
          <w:sz w:val="20"/>
        </w:rPr>
        <w:t>→ 「まだ6%しか取れていない市場」での独占企業</w:t>
      </w:r>
    </w:p>
    <w:p/>
    <w:p>
      <w:r>
        <w:t>──────────────────────────────────────────────────</w:t>
      </w:r>
    </w:p>
    <w:p/>
    <w:p>
      <w:pPr>
        <w:pStyle w:val="Heading2"/>
      </w:pPr>
      <w:r>
        <w:rPr>
          <w:rFonts w:ascii="Meiryo UI" w:hAnsi="Meiryo UI"/>
          <w:color w:val="2E74B5"/>
        </w:rPr>
        <w:t>バリュエーション</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前提（FY27/3期OP）</w:t>
            </w:r>
          </w:p>
        </w:tc>
        <w:tc>
          <w:tcPr>
            <w:tcW w:type="dxa" w:w="1881"/>
            <w:shd w:val="clear" w:color="auto" w:fill="2E74B5"/>
          </w:tcPr>
          <w:p>
            <w:r>
              <w:rPr>
                <w:rFonts w:ascii="Meiryo UI" w:hAnsi="Meiryo UI"/>
                <w:b/>
                <w:color w:val="FFFFFF"/>
                <w:sz w:val="18"/>
              </w:rPr>
              <w:t>EPS</w:t>
            </w:r>
          </w:p>
        </w:tc>
        <w:tc>
          <w:tcPr>
            <w:tcW w:type="dxa" w:w="1881"/>
            <w:shd w:val="clear" w:color="auto" w:fill="2E74B5"/>
          </w:tcPr>
          <w:p>
            <w:r>
              <w:rPr>
                <w:rFonts w:ascii="Meiryo UI" w:hAnsi="Meiryo UI"/>
                <w:b/>
                <w:color w:val="FFFFFF"/>
                <w:sz w:val="18"/>
              </w:rPr>
              <w:t>PER</w:t>
            </w:r>
          </w:p>
        </w:tc>
        <w:tc>
          <w:tcPr>
            <w:tcW w:type="dxa" w:w="1881"/>
            <w:shd w:val="clear" w:color="auto" w:fill="2E74B5"/>
          </w:tcPr>
          <w:p>
            <w:r>
              <w:rPr>
                <w:rFonts w:ascii="Meiryo UI" w:hAnsi="Meiryo UI"/>
                <w:b/>
                <w:color w:val="FFFFFF"/>
                <w:sz w:val="18"/>
              </w:rPr>
              <w:t>TP</w:t>
            </w:r>
          </w:p>
        </w:tc>
      </w:tr>
      <w:tr>
        <w:tc>
          <w:tcPr>
            <w:tcW w:type="dxa" w:w="1881"/>
          </w:tcPr>
          <w:p>
            <w:r>
              <w:rPr>
                <w:rFonts w:ascii="Meiryo UI" w:hAnsi="Meiryo UI"/>
                <w:sz w:val="18"/>
              </w:rPr>
              <w:t>Bear（ホルムズ解消・新築急回復）</w:t>
            </w:r>
          </w:p>
        </w:tc>
        <w:tc>
          <w:tcPr>
            <w:tcW w:type="dxa" w:w="1881"/>
          </w:tcPr>
          <w:p>
            <w:r>
              <w:rPr>
                <w:rFonts w:ascii="Meiryo UI" w:hAnsi="Meiryo UI"/>
                <w:sz w:val="18"/>
              </w:rPr>
              <w:t>¥15,000M</w:t>
            </w:r>
          </w:p>
        </w:tc>
        <w:tc>
          <w:tcPr>
            <w:tcW w:type="dxa" w:w="1881"/>
          </w:tcPr>
          <w:p>
            <w:r>
              <w:rPr>
                <w:rFonts w:ascii="Meiryo UI" w:hAnsi="Meiryo UI"/>
                <w:sz w:val="18"/>
              </w:rPr>
              <w:t>¥152</w:t>
            </w:r>
          </w:p>
        </w:tc>
        <w:tc>
          <w:tcPr>
            <w:tcW w:type="dxa" w:w="1881"/>
          </w:tcPr>
          <w:p>
            <w:r>
              <w:rPr>
                <w:rFonts w:ascii="Meiryo UI" w:hAnsi="Meiryo UI"/>
                <w:sz w:val="18"/>
              </w:rPr>
              <w:t>15x</w:t>
            </w:r>
          </w:p>
        </w:tc>
        <w:tc>
          <w:tcPr>
            <w:tcW w:type="dxa" w:w="1881"/>
          </w:tcPr>
          <w:p>
            <w:r>
              <w:rPr>
                <w:rFonts w:ascii="Meiryo UI" w:hAnsi="Meiryo UI"/>
                <w:sz w:val="18"/>
              </w:rPr>
              <w:t>¥2,280</w:t>
            </w:r>
          </w:p>
        </w:tc>
      </w:tr>
      <w:tr>
        <w:tc>
          <w:tcPr>
            <w:tcW w:type="dxa" w:w="1881"/>
            <w:shd w:val="clear" w:color="auto" w:fill="DDEBF7"/>
          </w:tcPr>
          <w:p>
            <w:r>
              <w:rPr>
                <w:rFonts w:ascii="Meiryo UI" w:hAnsi="Meiryo UI"/>
                <w:sz w:val="18"/>
              </w:rPr>
              <w:t>Base（中計ペース達成）</w:t>
            </w:r>
          </w:p>
        </w:tc>
        <w:tc>
          <w:tcPr>
            <w:tcW w:type="dxa" w:w="1881"/>
            <w:shd w:val="clear" w:color="auto" w:fill="DDEBF7"/>
          </w:tcPr>
          <w:p>
            <w:r>
              <w:rPr>
                <w:rFonts w:ascii="Meiryo UI" w:hAnsi="Meiryo UI"/>
                <w:sz w:val="18"/>
              </w:rPr>
              <w:t>¥20,000M</w:t>
            </w:r>
          </w:p>
        </w:tc>
        <w:tc>
          <w:tcPr>
            <w:tcW w:type="dxa" w:w="1881"/>
            <w:shd w:val="clear" w:color="auto" w:fill="DDEBF7"/>
          </w:tcPr>
          <w:p>
            <w:r>
              <w:rPr>
                <w:rFonts w:ascii="Meiryo UI" w:hAnsi="Meiryo UI"/>
                <w:sz w:val="18"/>
              </w:rPr>
              <w:t>¥170</w:t>
            </w:r>
          </w:p>
        </w:tc>
        <w:tc>
          <w:tcPr>
            <w:tcW w:type="dxa" w:w="1881"/>
            <w:shd w:val="clear" w:color="auto" w:fill="DDEBF7"/>
          </w:tcPr>
          <w:p>
            <w:r>
              <w:rPr>
                <w:rFonts w:ascii="Meiryo UI" w:hAnsi="Meiryo UI"/>
                <w:sz w:val="18"/>
              </w:rPr>
              <w:t>22x</w:t>
            </w:r>
          </w:p>
        </w:tc>
        <w:tc>
          <w:tcPr>
            <w:tcW w:type="dxa" w:w="1881"/>
            <w:shd w:val="clear" w:color="auto" w:fill="DDEBF7"/>
          </w:tcPr>
          <w:p>
            <w:r>
              <w:rPr>
                <w:rFonts w:ascii="Meiryo UI" w:hAnsi="Meiryo UI"/>
                <w:sz w:val="18"/>
              </w:rPr>
              <w:t>¥3,740</w:t>
            </w:r>
          </w:p>
        </w:tc>
      </w:tr>
      <w:tr>
        <w:tc>
          <w:tcPr>
            <w:tcW w:type="dxa" w:w="1881"/>
          </w:tcPr>
          <w:p>
            <w:r>
              <w:rPr>
                <w:rFonts w:ascii="Meiryo UI" w:hAnsi="Meiryo UI"/>
                <w:sz w:val="18"/>
              </w:rPr>
              <w:t>Bull（ホルムズ長期化・需要加速）</w:t>
            </w:r>
          </w:p>
        </w:tc>
        <w:tc>
          <w:tcPr>
            <w:tcW w:type="dxa" w:w="1881"/>
          </w:tcPr>
          <w:p>
            <w:r>
              <w:rPr>
                <w:rFonts w:ascii="Meiryo UI" w:hAnsi="Meiryo UI"/>
                <w:sz w:val="18"/>
              </w:rPr>
              <w:t>¥24,000M</w:t>
            </w:r>
          </w:p>
        </w:tc>
        <w:tc>
          <w:tcPr>
            <w:tcW w:type="dxa" w:w="1881"/>
          </w:tcPr>
          <w:p>
            <w:r>
              <w:rPr>
                <w:rFonts w:ascii="Meiryo UI" w:hAnsi="Meiryo UI"/>
                <w:sz w:val="18"/>
              </w:rPr>
              <w:t>¥205</w:t>
            </w:r>
          </w:p>
        </w:tc>
        <w:tc>
          <w:tcPr>
            <w:tcW w:type="dxa" w:w="1881"/>
          </w:tcPr>
          <w:p>
            <w:r>
              <w:rPr>
                <w:rFonts w:ascii="Meiryo UI" w:hAnsi="Meiryo UI"/>
                <w:sz w:val="18"/>
              </w:rPr>
              <w:t>22x</w:t>
            </w:r>
          </w:p>
        </w:tc>
        <w:tc>
          <w:tcPr>
            <w:tcW w:type="dxa" w:w="1881"/>
          </w:tcPr>
          <w:p>
            <w:r>
              <w:rPr>
                <w:rFonts w:ascii="Meiryo UI" w:hAnsi="Meiryo UI"/>
                <w:sz w:val="18"/>
              </w:rPr>
              <w:t>¥4,510</w:t>
            </w:r>
          </w:p>
        </w:tc>
      </w:tr>
      <w:tr>
        <w:tc>
          <w:tcPr>
            <w:tcW w:type="dxa" w:w="1881"/>
            <w:shd w:val="clear" w:color="auto" w:fill="DDEBF7"/>
          </w:tcPr>
          <w:p>
            <w:r>
              <w:rPr>
                <w:rFonts w:ascii="Meiryo UI" w:hAnsi="Meiryo UI"/>
                <w:sz w:val="18"/>
              </w:rPr>
              <w:t>TP設定</w:t>
            </w:r>
          </w:p>
        </w:tc>
        <w:tc>
          <w:tcPr>
            <w:tcW w:type="dxa" w:w="1881"/>
            <w:shd w:val="clear" w:color="auto" w:fill="DDEBF7"/>
          </w:tcPr>
          <w:p>
            <w:r>
              <w:rPr>
                <w:rFonts w:ascii="Meiryo UI" w:hAnsi="Meiryo UI"/>
                <w:sz w:val="18"/>
              </w:rPr>
            </w:r>
          </w:p>
        </w:tc>
        <w:tc>
          <w:tcPr>
            <w:tcW w:type="dxa" w:w="1881"/>
            <w:shd w:val="clear" w:color="auto" w:fill="DDEBF7"/>
          </w:tcPr>
          <w:p>
            <w:r>
              <w:rPr>
                <w:rFonts w:ascii="Meiryo UI" w:hAnsi="Meiryo UI"/>
                <w:sz w:val="18"/>
              </w:rPr>
            </w:r>
          </w:p>
        </w:tc>
        <w:tc>
          <w:tcPr>
            <w:tcW w:type="dxa" w:w="1881"/>
            <w:shd w:val="clear" w:color="auto" w:fill="DDEBF7"/>
          </w:tcPr>
          <w:p>
            <w:r>
              <w:rPr>
                <w:rFonts w:ascii="Meiryo UI" w:hAnsi="Meiryo UI"/>
                <w:sz w:val="18"/>
              </w:rPr>
            </w:r>
          </w:p>
        </w:tc>
        <w:tc>
          <w:tcPr>
            <w:tcW w:type="dxa" w:w="1881"/>
            <w:shd w:val="clear" w:color="auto" w:fill="DDEBF7"/>
          </w:tcPr>
          <w:p>
            <w:r>
              <w:rPr>
                <w:rFonts w:ascii="Meiryo UI" w:hAnsi="Meiryo UI"/>
                <w:sz w:val="18"/>
              </w:rPr>
              <w:t>¥4,000</w:t>
            </w:r>
          </w:p>
        </w:tc>
      </w:tr>
    </w:tbl>
    <w:p/>
    <w:p>
      <w:r>
        <w:rPr>
          <w:rFonts w:ascii="Meiryo UI" w:hAnsi="Meiryo UI"/>
          <w:sz w:val="20"/>
        </w:rPr>
        <w:t>TP¥4,000の根拠:</w:t>
      </w:r>
    </w:p>
    <w:p/>
    <w:p>
      <w:r>
        <w:rPr>
          <w:rFonts w:ascii="Meiryo UI" w:hAnsi="Meiryo UI"/>
          <w:sz w:val="20"/>
        </w:rPr>
        <w:t>TP算出: FY27/3期 OP¥20,000M × 純利益率9.5% = 純利益¥13,300M ÷ 7,865万株 = EPS¥169 × PER 23.7x = ¥4,005 ≒ ¥4,000</w:t>
      </w:r>
    </w:p>
    <w:p/>
    <w:p>
      <w:r>
        <w:rPr>
          <w:rFonts w:ascii="Meiryo UI" w:hAnsi="Meiryo UI"/>
          <w:sz w:val="20"/>
        </w:rPr>
        <w:t>BofA証券の目標株価¥4,000（最高値）と完全一致。アナリスト平均¥3,623より+10%上方。</w:t>
      </w:r>
    </w:p>
    <w:p/>
    <w:p>
      <w:r>
        <w:rPr>
          <w:rFonts w:ascii="Meiryo UI" w:hAnsi="Meiryo UI"/>
          <w:sz w:val="20"/>
        </w:rPr>
        <w:t>EV/EBIT検証:</w:t>
      </w:r>
    </w:p>
    <w:p/>
    <w:p>
      <w:r>
        <w:rPr>
          <w:rFonts w:ascii="Meiryo UI" w:hAnsi="Meiryo UI"/>
          <w:sz w:val="20"/>
        </w:rPr>
        <w:t>EV = 時価総額¥2,407億 + 有利子負債¥295億 - 現金¥102億 = ¥2,600億</w:t>
      </w:r>
    </w:p>
    <w:p/>
    <w:p>
      <w:r>
        <w:rPr>
          <w:rFonts w:ascii="Meiryo UI" w:hAnsi="Meiryo UI"/>
          <w:sz w:val="20"/>
        </w:rPr>
        <w:t>EV/EBIT = ¥2,600億 ÷ ¥178億（FY26ガイダンス）= 14.6x</w:t>
      </w:r>
    </w:p>
    <w:p/>
    <w:p>
      <w:r>
        <w:rPr>
          <w:rFonts w:ascii="Meiryo UI" w:hAnsi="Meiryo UI"/>
          <w:sz w:val="20"/>
        </w:rPr>
        <w:t>12年連続1位の独占企業にEV/EBIT 14.6xは適正範囲内。TP¥4,000時の EV/EBIT は19x（成長プレミアム正当化）。</w:t>
      </w:r>
    </w:p>
    <w:p/>
    <w:p>
      <w:r>
        <w:rPr>
          <w:rFonts w:ascii="Meiryo UI" w:hAnsi="Meiryo UI"/>
          <w:sz w:val="20"/>
        </w:rPr>
        <w:t>アナリストカバレッジ:</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機関</w:t>
            </w:r>
          </w:p>
        </w:tc>
        <w:tc>
          <w:tcPr>
            <w:tcW w:type="dxa" w:w="3135"/>
            <w:shd w:val="clear" w:color="auto" w:fill="2E74B5"/>
          </w:tcPr>
          <w:p>
            <w:r>
              <w:rPr>
                <w:rFonts w:ascii="Meiryo UI" w:hAnsi="Meiryo UI"/>
                <w:b/>
                <w:color w:val="FFFFFF"/>
                <w:sz w:val="18"/>
              </w:rPr>
              <w:t>判断</w:t>
            </w:r>
          </w:p>
        </w:tc>
        <w:tc>
          <w:tcPr>
            <w:tcW w:type="dxa" w:w="3135"/>
            <w:shd w:val="clear" w:color="auto" w:fill="2E74B5"/>
          </w:tcPr>
          <w:p>
            <w:r>
              <w:rPr>
                <w:rFonts w:ascii="Meiryo UI" w:hAnsi="Meiryo UI"/>
                <w:b/>
                <w:color w:val="FFFFFF"/>
                <w:sz w:val="18"/>
              </w:rPr>
              <w:t>目標株価</w:t>
            </w:r>
          </w:p>
        </w:tc>
      </w:tr>
      <w:tr>
        <w:tc>
          <w:tcPr>
            <w:tcW w:type="dxa" w:w="3135"/>
          </w:tcPr>
          <w:p>
            <w:r>
              <w:rPr>
                <w:rFonts w:ascii="Meiryo UI" w:hAnsi="Meiryo UI"/>
                <w:sz w:val="18"/>
              </w:rPr>
              <w:t>BofAセキュリティーズ</w:t>
            </w:r>
          </w:p>
        </w:tc>
        <w:tc>
          <w:tcPr>
            <w:tcW w:type="dxa" w:w="3135"/>
          </w:tcPr>
          <w:p>
            <w:r>
              <w:rPr>
                <w:rFonts w:ascii="Meiryo UI" w:hAnsi="Meiryo UI"/>
                <w:sz w:val="18"/>
              </w:rPr>
              <w:t>BUY</w:t>
            </w:r>
          </w:p>
        </w:tc>
        <w:tc>
          <w:tcPr>
            <w:tcW w:type="dxa" w:w="3135"/>
          </w:tcPr>
          <w:p>
            <w:r>
              <w:rPr>
                <w:rFonts w:ascii="Meiryo UI" w:hAnsi="Meiryo UI"/>
                <w:sz w:val="18"/>
              </w:rPr>
              <w:t>¥4,000（最高値）</w:t>
            </w:r>
          </w:p>
        </w:tc>
      </w:tr>
      <w:tr>
        <w:tc>
          <w:tcPr>
            <w:tcW w:type="dxa" w:w="3135"/>
            <w:shd w:val="clear" w:color="auto" w:fill="DDEBF7"/>
          </w:tcPr>
          <w:p>
            <w:r>
              <w:rPr>
                <w:rFonts w:ascii="Meiryo UI" w:hAnsi="Meiryo UI"/>
                <w:sz w:val="18"/>
              </w:rPr>
              <w:t>モルガンスタンレー</w:t>
            </w:r>
          </w:p>
        </w:tc>
        <w:tc>
          <w:tcPr>
            <w:tcW w:type="dxa" w:w="3135"/>
            <w:shd w:val="clear" w:color="auto" w:fill="DDEBF7"/>
          </w:tcPr>
          <w:p>
            <w:r>
              <w:rPr>
                <w:rFonts w:ascii="Meiryo UI" w:hAnsi="Meiryo UI"/>
                <w:sz w:val="18"/>
              </w:rPr>
              <w:t>Equal Weight</w:t>
            </w:r>
          </w:p>
        </w:tc>
        <w:tc>
          <w:tcPr>
            <w:tcW w:type="dxa" w:w="3135"/>
            <w:shd w:val="clear" w:color="auto" w:fill="DDEBF7"/>
          </w:tcPr>
          <w:p>
            <w:r>
              <w:rPr>
                <w:rFonts w:ascii="Meiryo UI" w:hAnsi="Meiryo UI"/>
                <w:sz w:val="18"/>
              </w:rPr>
              <w:t>¥3,500</w:t>
            </w:r>
          </w:p>
        </w:tc>
      </w:tr>
      <w:tr>
        <w:tc>
          <w:tcPr>
            <w:tcW w:type="dxa" w:w="3135"/>
          </w:tcPr>
          <w:p>
            <w:r>
              <w:rPr>
                <w:rFonts w:ascii="Meiryo UI" w:hAnsi="Meiryo UI"/>
                <w:sz w:val="18"/>
              </w:rPr>
              <w:t>野村証券</w:t>
            </w:r>
          </w:p>
        </w:tc>
        <w:tc>
          <w:tcPr>
            <w:tcW w:type="dxa" w:w="3135"/>
          </w:tcPr>
          <w:p>
            <w:r>
              <w:rPr>
                <w:rFonts w:ascii="Meiryo UI" w:hAnsi="Meiryo UI"/>
                <w:sz w:val="18"/>
              </w:rPr>
              <w:t>—</w:t>
            </w:r>
          </w:p>
        </w:tc>
        <w:tc>
          <w:tcPr>
            <w:tcW w:type="dxa" w:w="3135"/>
          </w:tcPr>
          <w:p>
            <w:r>
              <w:rPr>
                <w:rFonts w:ascii="Meiryo UI" w:hAnsi="Meiryo UI"/>
                <w:sz w:val="18"/>
              </w:rPr>
              <w:t>¥3,460（最低値）</w:t>
            </w:r>
          </w:p>
        </w:tc>
      </w:tr>
      <w:tr>
        <w:tc>
          <w:tcPr>
            <w:tcW w:type="dxa" w:w="3135"/>
            <w:shd w:val="clear" w:color="auto" w:fill="DDEBF7"/>
          </w:tcPr>
          <w:p>
            <w:r>
              <w:rPr>
                <w:rFonts w:ascii="Meiryo UI" w:hAnsi="Meiryo UI"/>
                <w:sz w:val="18"/>
              </w:rPr>
              <w:t>平均</w:t>
            </w:r>
          </w:p>
        </w:tc>
        <w:tc>
          <w:tcPr>
            <w:tcW w:type="dxa" w:w="3135"/>
            <w:shd w:val="clear" w:color="auto" w:fill="DDEBF7"/>
          </w:tcPr>
          <w:p>
            <w:r>
              <w:rPr>
                <w:rFonts w:ascii="Meiryo UI" w:hAnsi="Meiryo UI"/>
                <w:sz w:val="18"/>
              </w:rPr>
              <w:t>BUY</w:t>
            </w:r>
          </w:p>
        </w:tc>
        <w:tc>
          <w:tcPr>
            <w:tcW w:type="dxa" w:w="3135"/>
            <w:shd w:val="clear" w:color="auto" w:fill="DDEBF7"/>
          </w:tcPr>
          <w:p>
            <w:r>
              <w:rPr>
                <w:rFonts w:ascii="Meiryo UI" w:hAnsi="Meiryo UI"/>
                <w:sz w:val="18"/>
              </w:rPr>
              <w:t>¥3,622</w:t>
            </w:r>
          </w:p>
        </w:tc>
      </w:tr>
    </w:tbl>
    <w:p/>
    <w:p>
      <w:r>
        <w:t>──────────────────────────────────────────────────</w:t>
      </w:r>
    </w:p>
    <w:p/>
    <w:p>
      <w:pPr>
        <w:pStyle w:val="Heading2"/>
      </w:pPr>
      <w:r>
        <w:rPr>
          <w:rFonts w:ascii="Meiryo UI" w:hAnsi="Meiryo UI"/>
          <w:color w:val="2E74B5"/>
        </w:rPr>
        <w:t>不動産含み益考察</w:t>
      </w:r>
    </w:p>
    <w:p/>
    <w:p>
      <w:r>
        <w:rPr>
          <w:rFonts w:ascii="Meiryo UI" w:hAnsi="Meiryo UI"/>
          <w:sz w:val="20"/>
        </w:rPr>
        <w:t>棚卸資産（販売用不動産）= 実質的な含み益の器:</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金額</w:t>
            </w:r>
          </w:p>
        </w:tc>
      </w:tr>
      <w:tr>
        <w:tc>
          <w:tcPr>
            <w:tcW w:type="dxa" w:w="4703"/>
          </w:tcPr>
          <w:p>
            <w:r>
              <w:rPr>
                <w:rFonts w:ascii="Meiryo UI" w:hAnsi="Meiryo UI"/>
                <w:sz w:val="18"/>
              </w:rPr>
              <w:t>3Q末 棚卸資産（簿価）</w:t>
            </w:r>
          </w:p>
        </w:tc>
        <w:tc>
          <w:tcPr>
            <w:tcW w:type="dxa" w:w="4703"/>
          </w:tcPr>
          <w:p>
            <w:r>
              <w:rPr>
                <w:rFonts w:ascii="Meiryo UI" w:hAnsi="Meiryo UI"/>
                <w:sz w:val="18"/>
              </w:rPr>
              <w:t>¥77,200M（772億円）</w:t>
            </w:r>
          </w:p>
        </w:tc>
      </w:tr>
      <w:tr>
        <w:tc>
          <w:tcPr>
            <w:tcW w:type="dxa" w:w="4703"/>
            <w:shd w:val="clear" w:color="auto" w:fill="DDEBF7"/>
          </w:tcPr>
          <w:p>
            <w:r>
              <w:rPr>
                <w:rFonts w:ascii="Meiryo UI" w:hAnsi="Meiryo UI"/>
                <w:sz w:val="18"/>
              </w:rPr>
              <w:t>粗利率適用後の実質価値</w:t>
            </w:r>
          </w:p>
        </w:tc>
        <w:tc>
          <w:tcPr>
            <w:tcW w:type="dxa" w:w="4703"/>
            <w:shd w:val="clear" w:color="auto" w:fill="DDEBF7"/>
          </w:tcPr>
          <w:p>
            <w:r>
              <w:rPr>
                <w:rFonts w:ascii="Meiryo UI" w:hAnsi="Meiryo UI"/>
                <w:sz w:val="18"/>
              </w:rPr>
              <w:t>¥77,200M × 1.237 = ¥95,500M（955億円）</w:t>
            </w:r>
          </w:p>
        </w:tc>
      </w:tr>
      <w:tr>
        <w:tc>
          <w:tcPr>
            <w:tcW w:type="dxa" w:w="4703"/>
          </w:tcPr>
          <w:p>
            <w:r>
              <w:rPr>
                <w:rFonts w:ascii="Meiryo UI" w:hAnsi="Meiryo UI"/>
                <w:sz w:val="18"/>
              </w:rPr>
              <w:t>含み益相当額</w:t>
            </w:r>
          </w:p>
        </w:tc>
        <w:tc>
          <w:tcPr>
            <w:tcW w:type="dxa" w:w="4703"/>
          </w:tcPr>
          <w:p>
            <w:r>
              <w:rPr>
                <w:rFonts w:ascii="Meiryo UI" w:hAnsi="Meiryo UI"/>
                <w:sz w:val="18"/>
              </w:rPr>
              <w:t>約¥18,300M（183億円）</w:t>
            </w:r>
          </w:p>
        </w:tc>
      </w:tr>
    </w:tbl>
    <w:p/>
    <w:p>
      <w:r>
        <w:rPr>
          <w:rFonts w:ascii="Meiryo UI" w:hAnsi="Meiryo UI"/>
          <w:sz w:val="20"/>
        </w:rPr>
        <w:t>固定資産（本社・店舗）: 賃貸主体のため自社保有不動産含み益は軽微（¥800M程度）</w:t>
      </w:r>
    </w:p>
    <w:p/>
    <w:p>
      <w:r>
        <w:rPr>
          <w:rFonts w:ascii="Meiryo UI" w:hAnsi="Meiryo UI"/>
          <w:sz w:val="20"/>
        </w:rPr>
        <w:t>→ カチタスの実質NAVは「棚卸資産の付加価値」に凝縮。在庫が増えるほど価値が積み上がる構造。3Q末在庫 +30.8% YoY は「将来利益の蓄積」を意味する。</w:t>
      </w:r>
    </w:p>
    <w:p/>
    <w:p>
      <w:r>
        <w:t>──────────────────────────────────────────────────</w:t>
      </w:r>
    </w:p>
    <w:p/>
    <w:p>
      <w:pPr>
        <w:pStyle w:val="Heading2"/>
      </w:pPr>
      <w:r>
        <w:rPr>
          <w:rFonts w:ascii="Meiryo UI" w:hAnsi="Meiryo UI"/>
          <w:color w:val="2E74B5"/>
        </w:rPr>
        <w:t>株主構成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株主</w:t>
            </w:r>
          </w:p>
        </w:tc>
        <w:tc>
          <w:tcPr>
            <w:tcW w:type="dxa" w:w="3135"/>
            <w:shd w:val="clear" w:color="auto" w:fill="2E74B5"/>
          </w:tcPr>
          <w:p>
            <w:r>
              <w:rPr>
                <w:rFonts w:ascii="Meiryo UI" w:hAnsi="Meiryo UI"/>
                <w:b/>
                <w:color w:val="FFFFFF"/>
                <w:sz w:val="18"/>
              </w:rPr>
              <w:t>持株比率</w:t>
            </w:r>
          </w:p>
        </w:tc>
        <w:tc>
          <w:tcPr>
            <w:tcW w:type="dxa" w:w="3135"/>
            <w:shd w:val="clear" w:color="auto" w:fill="2E74B5"/>
          </w:tcPr>
          <w:p>
            <w:r>
              <w:rPr>
                <w:rFonts w:ascii="Meiryo UI" w:hAnsi="Meiryo UI"/>
                <w:b/>
                <w:color w:val="FFFFFF"/>
                <w:sz w:val="18"/>
              </w:rPr>
              <w:t>含意</w:t>
            </w:r>
          </w:p>
        </w:tc>
      </w:tr>
      <w:tr>
        <w:tc>
          <w:tcPr>
            <w:tcW w:type="dxa" w:w="3135"/>
          </w:tcPr>
          <w:p>
            <w:r>
              <w:rPr>
                <w:rFonts w:ascii="Meiryo UI" w:hAnsi="Meiryo UI"/>
                <w:sz w:val="18"/>
              </w:rPr>
              <w:t>ニトリホールディングス</w:t>
            </w:r>
          </w:p>
        </w:tc>
        <w:tc>
          <w:tcPr>
            <w:tcW w:type="dxa" w:w="3135"/>
          </w:tcPr>
          <w:p>
            <w:r>
              <w:rPr>
                <w:rFonts w:ascii="Meiryo UI" w:hAnsi="Meiryo UI"/>
                <w:sz w:val="18"/>
              </w:rPr>
              <w:t>34.14%</w:t>
            </w:r>
          </w:p>
        </w:tc>
        <w:tc>
          <w:tcPr>
            <w:tcW w:type="dxa" w:w="3135"/>
          </w:tcPr>
          <w:p>
            <w:r>
              <w:rPr>
                <w:rFonts w:ascii="Meiryo UI" w:hAnsi="Meiryo UI"/>
                <w:sz w:val="18"/>
              </w:rPr>
              <w:t>業務提携（家具設置）。ニトリが今日+4.73%と強く相乗効果</w:t>
            </w:r>
          </w:p>
        </w:tc>
      </w:tr>
      <w:tr>
        <w:tc>
          <w:tcPr>
            <w:tcW w:type="dxa" w:w="3135"/>
            <w:shd w:val="clear" w:color="auto" w:fill="DDEBF7"/>
          </w:tcPr>
          <w:p>
            <w:r>
              <w:rPr>
                <w:rFonts w:ascii="Meiryo UI" w:hAnsi="Meiryo UI"/>
                <w:sz w:val="18"/>
              </w:rPr>
              <w:t>日本マスタートラスト（信託）</w:t>
            </w:r>
          </w:p>
        </w:tc>
        <w:tc>
          <w:tcPr>
            <w:tcW w:type="dxa" w:w="3135"/>
            <w:shd w:val="clear" w:color="auto" w:fill="DDEBF7"/>
          </w:tcPr>
          <w:p>
            <w:r>
              <w:rPr>
                <w:rFonts w:ascii="Meiryo UI" w:hAnsi="Meiryo UI"/>
                <w:sz w:val="18"/>
              </w:rPr>
              <w:t>11.40%</w:t>
            </w:r>
          </w:p>
        </w:tc>
        <w:tc>
          <w:tcPr>
            <w:tcW w:type="dxa" w:w="3135"/>
            <w:shd w:val="clear" w:color="auto" w:fill="DDEBF7"/>
          </w:tcPr>
          <w:p>
            <w:r>
              <w:rPr>
                <w:rFonts w:ascii="Meiryo UI" w:hAnsi="Meiryo UI"/>
                <w:sz w:val="18"/>
              </w:rPr>
              <w:t>機関インデックス（安定株主）</w:t>
            </w:r>
          </w:p>
        </w:tc>
      </w:tr>
      <w:tr>
        <w:tc>
          <w:tcPr>
            <w:tcW w:type="dxa" w:w="3135"/>
          </w:tcPr>
          <w:p>
            <w:r>
              <w:rPr>
                <w:rFonts w:ascii="Meiryo UI" w:hAnsi="Meiryo UI"/>
                <w:sz w:val="18"/>
              </w:rPr>
              <w:t>日本カストディ（信託）</w:t>
            </w:r>
          </w:p>
        </w:tc>
        <w:tc>
          <w:tcPr>
            <w:tcW w:type="dxa" w:w="3135"/>
          </w:tcPr>
          <w:p>
            <w:r>
              <w:rPr>
                <w:rFonts w:ascii="Meiryo UI" w:hAnsi="Meiryo UI"/>
                <w:sz w:val="18"/>
              </w:rPr>
              <w:t>10.82%</w:t>
            </w:r>
          </w:p>
        </w:tc>
        <w:tc>
          <w:tcPr>
            <w:tcW w:type="dxa" w:w="3135"/>
          </w:tcPr>
          <w:p>
            <w:r>
              <w:rPr>
                <w:rFonts w:ascii="Meiryo UI" w:hAnsi="Meiryo UI"/>
                <w:sz w:val="18"/>
              </w:rPr>
              <w:t>同上</w:t>
            </w:r>
          </w:p>
        </w:tc>
      </w:tr>
      <w:tr>
        <w:tc>
          <w:tcPr>
            <w:tcW w:type="dxa" w:w="3135"/>
            <w:shd w:val="clear" w:color="auto" w:fill="DDEBF7"/>
          </w:tcPr>
          <w:p>
            <w:r>
              <w:rPr>
                <w:rFonts w:ascii="Meiryo UI" w:hAnsi="Meiryo UI"/>
                <w:sz w:val="18"/>
              </w:rPr>
              <w:t>海外機関（Harris・Invesco・Vanguard等）</w:t>
            </w:r>
          </w:p>
        </w:tc>
        <w:tc>
          <w:tcPr>
            <w:tcW w:type="dxa" w:w="3135"/>
            <w:shd w:val="clear" w:color="auto" w:fill="DDEBF7"/>
          </w:tcPr>
          <w:p>
            <w:r>
              <w:rPr>
                <w:rFonts w:ascii="Meiryo UI" w:hAnsi="Meiryo UI"/>
                <w:sz w:val="18"/>
              </w:rPr>
              <w:t>約12%</w:t>
            </w:r>
          </w:p>
        </w:tc>
        <w:tc>
          <w:tcPr>
            <w:tcW w:type="dxa" w:w="3135"/>
            <w:shd w:val="clear" w:color="auto" w:fill="DDEBF7"/>
          </w:tcPr>
          <w:p>
            <w:r>
              <w:rPr>
                <w:rFonts w:ascii="Meiryo UI" w:hAnsi="Meiryo UI"/>
                <w:sz w:val="18"/>
              </w:rPr>
              <w:t>長期保有</w:t>
            </w:r>
          </w:p>
        </w:tc>
      </w:tr>
    </w:tbl>
    <w:p/>
    <w:p>
      <w:r>
        <w:t>──────────────────────────────────────────────────</w:t>
      </w:r>
    </w:p>
    <w:p/>
    <w:p>
      <w:pPr>
        <w:pStyle w:val="Heading2"/>
      </w:pPr>
      <w:r>
        <w:rPr>
          <w:rFonts w:ascii="Meiryo UI" w:hAnsi="Meiryo UI"/>
          <w:color w:val="2E74B5"/>
        </w:rPr>
        <w:t>第4次中期経営計画（FY26〜28）</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FY25/3期実績</w:t>
            </w:r>
          </w:p>
        </w:tc>
        <w:tc>
          <w:tcPr>
            <w:tcW w:type="dxa" w:w="2351"/>
            <w:shd w:val="clear" w:color="auto" w:fill="2E74B5"/>
          </w:tcPr>
          <w:p>
            <w:r>
              <w:rPr>
                <w:rFonts w:ascii="Meiryo UI" w:hAnsi="Meiryo UI"/>
                <w:b/>
                <w:color w:val="FFFFFF"/>
                <w:sz w:val="18"/>
              </w:rPr>
              <w:t>FY28/3期目標</w:t>
            </w:r>
          </w:p>
        </w:tc>
        <w:tc>
          <w:tcPr>
            <w:tcW w:type="dxa" w:w="2351"/>
            <w:shd w:val="clear" w:color="auto" w:fill="2E74B5"/>
          </w:tcPr>
          <w:p>
            <w:r>
              <w:rPr>
                <w:rFonts w:ascii="Meiryo UI" w:hAnsi="Meiryo UI"/>
                <w:b/>
                <w:color w:val="FFFFFF"/>
                <w:sz w:val="18"/>
              </w:rPr>
              <w:t>CAGR</w:t>
            </w:r>
          </w:p>
        </w:tc>
      </w:tr>
      <w:tr>
        <w:tc>
          <w:tcPr>
            <w:tcW w:type="dxa" w:w="2351"/>
          </w:tcPr>
          <w:p>
            <w:r>
              <w:rPr>
                <w:rFonts w:ascii="Meiryo UI" w:hAnsi="Meiryo UI"/>
                <w:sz w:val="18"/>
              </w:rPr>
              <w:t>販売件数</w:t>
            </w:r>
          </w:p>
        </w:tc>
        <w:tc>
          <w:tcPr>
            <w:tcW w:type="dxa" w:w="2351"/>
          </w:tcPr>
          <w:p>
            <w:r>
              <w:rPr>
                <w:rFonts w:ascii="Meiryo UI" w:hAnsi="Meiryo UI"/>
                <w:sz w:val="18"/>
              </w:rPr>
              <w:t>7,372件</w:t>
            </w:r>
          </w:p>
        </w:tc>
        <w:tc>
          <w:tcPr>
            <w:tcW w:type="dxa" w:w="2351"/>
          </w:tcPr>
          <w:p>
            <w:r>
              <w:rPr>
                <w:rFonts w:ascii="Meiryo UI" w:hAnsi="Meiryo UI"/>
                <w:sz w:val="18"/>
              </w:rPr>
              <w:t>10,000件</w:t>
            </w:r>
          </w:p>
        </w:tc>
        <w:tc>
          <w:tcPr>
            <w:tcW w:type="dxa" w:w="2351"/>
          </w:tcPr>
          <w:p>
            <w:r>
              <w:rPr>
                <w:rFonts w:ascii="Meiryo UI" w:hAnsi="Meiryo UI"/>
                <w:sz w:val="18"/>
              </w:rPr>
              <w:t>+10.7%/年</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¥14,222M</w:t>
            </w:r>
          </w:p>
        </w:tc>
        <w:tc>
          <w:tcPr>
            <w:tcW w:type="dxa" w:w="2351"/>
            <w:shd w:val="clear" w:color="auto" w:fill="DDEBF7"/>
          </w:tcPr>
          <w:p>
            <w:r>
              <w:rPr>
                <w:rFonts w:ascii="Meiryo UI" w:hAnsi="Meiryo UI"/>
                <w:sz w:val="18"/>
              </w:rPr>
              <w:t>¥20,000M</w:t>
            </w:r>
          </w:p>
        </w:tc>
        <w:tc>
          <w:tcPr>
            <w:tcW w:type="dxa" w:w="2351"/>
            <w:shd w:val="clear" w:color="auto" w:fill="DDEBF7"/>
          </w:tcPr>
          <w:p>
            <w:r>
              <w:rPr>
                <w:rFonts w:ascii="Meiryo UI" w:hAnsi="Meiryo UI"/>
                <w:sz w:val="18"/>
              </w:rPr>
              <w:t>+12.0%/年</w:t>
            </w:r>
          </w:p>
        </w:tc>
      </w:tr>
      <w:tr>
        <w:tc>
          <w:tcPr>
            <w:tcW w:type="dxa" w:w="2351"/>
          </w:tcPr>
          <w:p>
            <w:r>
              <w:rPr>
                <w:rFonts w:ascii="Meiryo UI" w:hAnsi="Meiryo UI"/>
                <w:sz w:val="18"/>
              </w:rPr>
              <w:t>ROE</w:t>
            </w:r>
          </w:p>
        </w:tc>
        <w:tc>
          <w:tcPr>
            <w:tcW w:type="dxa" w:w="2351"/>
          </w:tcPr>
          <w:p>
            <w:r>
              <w:rPr>
                <w:rFonts w:ascii="Meiryo UI" w:hAnsi="Meiryo UI"/>
                <w:sz w:val="18"/>
              </w:rPr>
              <w:t>22.2%</w:t>
            </w:r>
          </w:p>
        </w:tc>
        <w:tc>
          <w:tcPr>
            <w:tcW w:type="dxa" w:w="2351"/>
          </w:tcPr>
          <w:p>
            <w:r>
              <w:rPr>
                <w:rFonts w:ascii="Meiryo UI" w:hAnsi="Meiryo UI"/>
                <w:sz w:val="18"/>
              </w:rPr>
              <w:t>20%以上</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配当性向</w:t>
            </w:r>
          </w:p>
        </w:tc>
        <w:tc>
          <w:tcPr>
            <w:tcW w:type="dxa" w:w="2351"/>
            <w:shd w:val="clear" w:color="auto" w:fill="DDEBF7"/>
          </w:tcPr>
          <w:p>
            <w:r>
              <w:rPr>
                <w:rFonts w:ascii="Meiryo UI" w:hAnsi="Meiryo UI"/>
                <w:sz w:val="18"/>
              </w:rPr>
              <w:t>46.4%</w:t>
            </w:r>
          </w:p>
        </w:tc>
        <w:tc>
          <w:tcPr>
            <w:tcW w:type="dxa" w:w="2351"/>
            <w:shd w:val="clear" w:color="auto" w:fill="DDEBF7"/>
          </w:tcPr>
          <w:p>
            <w:r>
              <w:rPr>
                <w:rFonts w:ascii="Meiryo UI" w:hAnsi="Meiryo UI"/>
                <w:sz w:val="18"/>
              </w:rPr>
              <w:t>50%以上（累進）</w:t>
            </w:r>
          </w:p>
        </w:tc>
        <w:tc>
          <w:tcPr>
            <w:tcW w:type="dxa" w:w="2351"/>
            <w:shd w:val="clear" w:color="auto" w:fill="DDEBF7"/>
          </w:tcPr>
          <w:p>
            <w:r>
              <w:rPr>
                <w:rFonts w:ascii="Meiryo UI" w:hAnsi="Meiryo UI"/>
                <w:sz w:val="18"/>
              </w:rPr>
              <w:t>—</w:t>
            </w:r>
          </w:p>
        </w:tc>
      </w:tr>
    </w:tbl>
    <w:p/>
    <w:p>
      <w:r>
        <w:rPr>
          <w:rFonts w:ascii="Meiryo UI" w:hAnsi="Meiryo UI"/>
          <w:sz w:val="20"/>
        </w:rPr>
        <w:t>FY27/3期は「¥200億前倒し達成」を3Q決算説明会で明言済み。ホルムズ危機が追い風となり前倒し達成の蓋然性が上昇。</w:t>
      </w:r>
    </w:p>
    <w:p/>
    <w:p>
      <w:r>
        <w:t>──────────────────────────────────────────────────</w:t>
      </w:r>
    </w:p>
    <w:p/>
    <w:p>
      <w:pPr>
        <w:pStyle w:val="Heading2"/>
      </w:pPr>
      <w:r>
        <w:rPr>
          <w:rFonts w:ascii="Meiryo UI" w:hAnsi="Meiryo UI"/>
          <w:color w:val="2E74B5"/>
        </w:rPr>
        <w:t>リスクシナリオ定量</w:t>
      </w:r>
    </w:p>
    <w:p/>
    <w:p>
      <w:r>
        <w:rPr>
          <w:rFonts w:ascii="Meiryo UI" w:hAnsi="Meiryo UI"/>
          <w:sz w:val="20"/>
        </w:rPr>
        <w:t>Bear case（TP¥2,280 / 現値▲25%）:</w:t>
      </w:r>
    </w:p>
    <w:p>
      <w:pPr>
        <w:pStyle w:val="ListBullet"/>
      </w:pPr>
      <w:r>
        <w:rPr>
          <w:rFonts w:ascii="Meiryo UI" w:hAnsi="Meiryo UI"/>
          <w:sz w:val="20"/>
        </w:rPr>
        <w:t>前提: ホルムズ解消・停戦合意確定 → 新築着工急回復</w:t>
      </w:r>
    </w:p>
    <w:p>
      <w:pPr>
        <w:pStyle w:val="ListBullet"/>
      </w:pPr>
      <w:r>
        <w:rPr>
          <w:rFonts w:ascii="Meiryo UI" w:hAnsi="Meiryo UI"/>
          <w:sz w:val="20"/>
        </w:rPr>
        <w:t>発生確率: 30%</w:t>
      </w:r>
    </w:p>
    <w:p>
      <w:pPr>
        <w:pStyle w:val="ListBullet"/>
      </w:pPr>
      <w:r>
        <w:rPr>
          <w:rFonts w:ascii="Meiryo UI" w:hAnsi="Meiryo UI"/>
          <w:sz w:val="20"/>
        </w:rPr>
        <w:t>発生時の対応: ¥2,700以下で段階的損切り。TP¥2,280到達の蓋然性あれば全売り</w:t>
      </w:r>
    </w:p>
    <w:p>
      <w:pPr>
        <w:pStyle w:val="ListBullet"/>
      </w:pPr>
      <w:r>
        <w:rPr>
          <w:rFonts w:ascii="Meiryo UI" w:hAnsi="Meiryo UI"/>
          <w:sz w:val="20"/>
        </w:rPr>
        <w:t>注意: 需要格差の解消には6ヶ月以上かかるため、即時ではなく漸進的な影響</w:t>
      </w:r>
    </w:p>
    <w:p/>
    <w:p>
      <w:r>
        <w:rPr>
          <w:rFonts w:ascii="Meiryo UI" w:hAnsi="Meiryo UI"/>
          <w:sz w:val="20"/>
        </w:rPr>
        <w:t>Base case（TP¥3,740 / 現値+22%）:</w:t>
      </w:r>
    </w:p>
    <w:p>
      <w:pPr>
        <w:pStyle w:val="ListBullet"/>
      </w:pPr>
      <w:r>
        <w:rPr>
          <w:rFonts w:ascii="Meiryo UI" w:hAnsi="Meiryo UI"/>
          <w:sz w:val="20"/>
        </w:rPr>
        <w:t>前提: 中計ペースで成長継続。ホルムズは部分的緩和</w:t>
      </w:r>
    </w:p>
    <w:p>
      <w:pPr>
        <w:pStyle w:val="ListBullet"/>
      </w:pPr>
      <w:r>
        <w:rPr>
          <w:rFonts w:ascii="Meiryo UI" w:hAnsi="Meiryo UI"/>
          <w:sz w:val="20"/>
        </w:rPr>
        <w:t>発生確率: 40%</w:t>
      </w:r>
    </w:p>
    <w:p>
      <w:pPr>
        <w:pStyle w:val="ListBullet"/>
      </w:pPr>
      <w:r>
        <w:rPr>
          <w:rFonts w:ascii="Meiryo UI" w:hAnsi="Meiryo UI"/>
          <w:sz w:val="20"/>
        </w:rPr>
        <w:t>5/8決算発表が主要な確認ポイント</w:t>
      </w:r>
    </w:p>
    <w:p/>
    <w:p>
      <w:r>
        <w:rPr>
          <w:rFonts w:ascii="Meiryo UI" w:hAnsi="Meiryo UI"/>
          <w:sz w:val="20"/>
        </w:rPr>
        <w:t>Bull case（TP¥4,510 / 現値+47%）:</w:t>
      </w:r>
    </w:p>
    <w:p>
      <w:pPr>
        <w:pStyle w:val="ListBullet"/>
      </w:pPr>
      <w:r>
        <w:rPr>
          <w:rFonts w:ascii="Meiryo UI" w:hAnsi="Meiryo UI"/>
          <w:sz w:val="20"/>
        </w:rPr>
        <w:t>前提: ホルムズ長期化。新築市場が2年以上停滞</w:t>
      </w:r>
    </w:p>
    <w:p>
      <w:pPr>
        <w:pStyle w:val="ListBullet"/>
      </w:pPr>
      <w:r>
        <w:rPr>
          <w:rFonts w:ascii="Meiryo UI" w:hAnsi="Meiryo UI"/>
          <w:sz w:val="20"/>
        </w:rPr>
        <w:t>発生確率: 30%</w:t>
      </w:r>
    </w:p>
    <w:p>
      <w:pPr>
        <w:pStyle w:val="ListBullet"/>
      </w:pPr>
      <w:r>
        <w:rPr>
          <w:rFonts w:ascii="Meiryo UI" w:hAnsi="Meiryo UI"/>
          <w:sz w:val="20"/>
        </w:rPr>
        <w:t>カタリスト: 新築着工統計の悪化確認・競合の受注停止ニュース</w:t>
      </w:r>
    </w:p>
    <w:p/>
    <w:p>
      <w:r>
        <w:t>──────────────────────────────────────────────────</w:t>
      </w:r>
    </w:p>
    <w:p/>
    <w:p>
      <w:pPr>
        <w:pStyle w:val="Heading2"/>
      </w:pPr>
      <w:r>
        <w:rPr>
          <w:rFonts w:ascii="Meiryo UI" w:hAnsi="Meiryo UI"/>
          <w:color w:val="2E74B5"/>
        </w:rPr>
        <w:t>浅井スコア詳細: +95</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評価軸</w:t>
            </w:r>
          </w:p>
        </w:tc>
        <w:tc>
          <w:tcPr>
            <w:tcW w:type="dxa" w:w="3135"/>
            <w:shd w:val="clear" w:color="auto" w:fill="2E74B5"/>
          </w:tcPr>
          <w:p>
            <w:r>
              <w:rPr>
                <w:rFonts w:ascii="Meiryo UI" w:hAnsi="Meiryo UI"/>
                <w:b/>
                <w:color w:val="FFFFFF"/>
                <w:sz w:val="18"/>
              </w:rPr>
              <w:t>点数</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ファンダメンタルズ</w:t>
            </w:r>
          </w:p>
        </w:tc>
        <w:tc>
          <w:tcPr>
            <w:tcW w:type="dxa" w:w="3135"/>
          </w:tcPr>
          <w:p>
            <w:r>
              <w:rPr>
                <w:rFonts w:ascii="Meiryo UI" w:hAnsi="Meiryo UI"/>
                <w:sz w:val="18"/>
              </w:rPr>
              <w:t>+98</w:t>
            </w:r>
          </w:p>
        </w:tc>
        <w:tc>
          <w:tcPr>
            <w:tcW w:type="dxa" w:w="3135"/>
          </w:tcPr>
          <w:p>
            <w:r>
              <w:rPr>
                <w:rFonts w:ascii="Meiryo UI" w:hAnsi="Meiryo UI"/>
                <w:sz w:val="18"/>
              </w:rPr>
              <w:t>OP+25%・3Q単体最高益・中計前倒し・独占12年</w:t>
            </w:r>
          </w:p>
        </w:tc>
      </w:tr>
      <w:tr>
        <w:tc>
          <w:tcPr>
            <w:tcW w:type="dxa" w:w="3135"/>
            <w:shd w:val="clear" w:color="auto" w:fill="DDEBF7"/>
          </w:tcPr>
          <w:p>
            <w:r>
              <w:rPr>
                <w:rFonts w:ascii="Meiryo UI" w:hAnsi="Meiryo UI"/>
                <w:sz w:val="18"/>
              </w:rPr>
              <w:t>ホルムズ受益</w:t>
            </w:r>
          </w:p>
        </w:tc>
        <w:tc>
          <w:tcPr>
            <w:tcW w:type="dxa" w:w="3135"/>
            <w:shd w:val="clear" w:color="auto" w:fill="DDEBF7"/>
          </w:tcPr>
          <w:p>
            <w:r>
              <w:rPr>
                <w:rFonts w:ascii="Meiryo UI" w:hAnsi="Meiryo UI"/>
                <w:sz w:val="18"/>
              </w:rPr>
              <w:t>+97</w:t>
            </w:r>
          </w:p>
        </w:tc>
        <w:tc>
          <w:tcPr>
            <w:tcW w:type="dxa" w:w="3135"/>
            <w:shd w:val="clear" w:color="auto" w:fill="DDEBF7"/>
          </w:tcPr>
          <w:p>
            <w:r>
              <w:rPr>
                <w:rFonts w:ascii="Meiryo UI" w:hAnsi="Meiryo UI"/>
                <w:sz w:val="18"/>
              </w:rPr>
              <w:t>フィールド2点確認。競合全滅でカチタス独走</w:t>
            </w:r>
          </w:p>
        </w:tc>
      </w:tr>
      <w:tr>
        <w:tc>
          <w:tcPr>
            <w:tcW w:type="dxa" w:w="3135"/>
          </w:tcPr>
          <w:p>
            <w:r>
              <w:rPr>
                <w:rFonts w:ascii="Meiryo UI" w:hAnsi="Meiryo UI"/>
                <w:sz w:val="18"/>
              </w:rPr>
              <w:t>テクニカル</w:t>
            </w:r>
          </w:p>
        </w:tc>
        <w:tc>
          <w:tcPr>
            <w:tcW w:type="dxa" w:w="3135"/>
          </w:tcPr>
          <w:p>
            <w:r>
              <w:rPr>
                <w:rFonts w:ascii="Meiryo UI" w:hAnsi="Meiryo UI"/>
                <w:sz w:val="18"/>
              </w:rPr>
              <w:t>+88</w:t>
            </w:r>
          </w:p>
        </w:tc>
        <w:tc>
          <w:tcPr>
            <w:tcW w:type="dxa" w:w="3135"/>
          </w:tcPr>
          <w:p>
            <w:r>
              <w:rPr>
                <w:rFonts w:ascii="Meiryo UI" w:hAnsi="Meiryo UI"/>
                <w:sz w:val="18"/>
              </w:rPr>
              <w:t>RSI 37.2・25日線▲5%・1ヶ月▲4.7% → 押し目</w:t>
            </w:r>
          </w:p>
        </w:tc>
      </w:tr>
      <w:tr>
        <w:tc>
          <w:tcPr>
            <w:tcW w:type="dxa" w:w="3135"/>
            <w:shd w:val="clear" w:color="auto" w:fill="DDEBF7"/>
          </w:tcPr>
          <w:p>
            <w:r>
              <w:rPr>
                <w:rFonts w:ascii="Meiryo UI" w:hAnsi="Meiryo UI"/>
                <w:sz w:val="18"/>
              </w:rPr>
              <w:t>フロー/需給</w:t>
            </w:r>
          </w:p>
        </w:tc>
        <w:tc>
          <w:tcPr>
            <w:tcW w:type="dxa" w:w="3135"/>
            <w:shd w:val="clear" w:color="auto" w:fill="DDEBF7"/>
          </w:tcPr>
          <w:p>
            <w:r>
              <w:rPr>
                <w:rFonts w:ascii="Meiryo UI" w:hAnsi="Meiryo UI"/>
                <w:sz w:val="18"/>
              </w:rPr>
              <w:t>+85</w:t>
            </w:r>
          </w:p>
        </w:tc>
        <w:tc>
          <w:tcPr>
            <w:tcW w:type="dxa" w:w="3135"/>
            <w:shd w:val="clear" w:color="auto" w:fill="DDEBF7"/>
          </w:tcPr>
          <w:p>
            <w:r>
              <w:rPr>
                <w:rFonts w:ascii="Meiryo UI" w:hAnsi="Meiryo UI"/>
                <w:sz w:val="18"/>
              </w:rPr>
              <w:t>日次出来高27万株（十分な流動性）・機関保有厚い</w:t>
            </w:r>
          </w:p>
        </w:tc>
      </w:tr>
      <w:tr>
        <w:tc>
          <w:tcPr>
            <w:tcW w:type="dxa" w:w="3135"/>
          </w:tcPr>
          <w:p>
            <w:r>
              <w:rPr>
                <w:rFonts w:ascii="Meiryo UI" w:hAnsi="Meiryo UI"/>
                <w:sz w:val="18"/>
              </w:rPr>
              <w:t>総合スコア</w:t>
            </w:r>
          </w:p>
        </w:tc>
        <w:tc>
          <w:tcPr>
            <w:tcW w:type="dxa" w:w="3135"/>
          </w:tcPr>
          <w:p>
            <w:r>
              <w:rPr>
                <w:rFonts w:ascii="Meiryo UI" w:hAnsi="Meiryo UI"/>
                <w:sz w:val="18"/>
              </w:rPr>
              <w:t>+95</w:t>
            </w:r>
          </w:p>
        </w:tc>
        <w:tc>
          <w:tcPr>
            <w:tcW w:type="dxa" w:w="3135"/>
          </w:tcPr>
          <w:p>
            <w:r>
              <w:rPr>
                <w:rFonts w:ascii="Meiryo UI" w:hAnsi="Meiryo UI"/>
                <w:sz w:val="18"/>
              </w:rPr>
              <w:t>STRONG BUY</w:t>
            </w:r>
          </w:p>
        </w:tc>
      </w:tr>
    </w:tbl>
    <w:p/>
    <w:p>
      <w:r>
        <w:t>──────────────────────────────────────────────────</w:t>
      </w:r>
    </w:p>
    <w:p/>
    <w:p>
      <w:r>
        <w:rPr>
          <w:rFonts w:ascii="Meiryo UI" w:hAnsi="Meiryo UI"/>
          <w:sz w:val="20"/>
        </w:rPr>
        <w:t>執行メモ: ¥2,950-3,100帯で分割建て。一回あたり100〜200株単位。5/8本決算発表後の上振れ確認でTP¥4,000へ追撃。損切りライン: ¥2,400（Bear case TP水準）。ホルムズ停戦合意報道が出た場合は1/3を即時利確し残りはポジション縮小。</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