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深井 DeepResearchレポート — [9101] 日本郵船【海運カーブ × Fair Value感応度分析】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アナリスト：深井（Senior</w:t>
      </w:r>
    </w:p>
    <w:p>
      <w:pPr>
        <w:jc w:val="center"/>
      </w:pPr>
      <w:r>
        <w:rPr>
          <w:rFonts w:ascii="Meiryo UI" w:hAnsi="Meiryo UI"/>
          <w:sz w:val="24"/>
        </w:rPr>
        <w:t>分析日：2026-04-11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深井 DeepResearchレポート — [9101] 日本郵船【海運カーブ × Fair Value感応度分析】</w:t>
      </w:r>
    </w:p>
    <w:p>
      <w:r>
        <w:rPr>
          <w:rFonts w:ascii="Meiryo UI" w:hAnsi="Meiryo UI"/>
          <w:sz w:val="20"/>
        </w:rPr>
        <w:t>作成日: 2026-04-11 | アナリスト: 深井（Senior Equity Analyst）</w:t>
      </w:r>
    </w:p>
    <w:p>
      <w:r>
        <w:rPr>
          <w:rFonts w:ascii="Meiryo UI" w:hAnsi="Meiryo UI"/>
          <w:sz w:val="20"/>
        </w:rPr>
        <w:t>分類: 条件付き逆張り買い（Conditional Contrarian BUY） | プロトコル: 市況関連銘柄カーブ分析プロトコル v1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⚡ 10秒エグゼクティブ・サマリー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最終投資判断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条件付き逆張り買い（Conditional Contrarian BUY）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目標株価（FV）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¥7,200〜¥8,500（ベースケース ¥7,600）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現値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約¥6,038（2026-04-08終値）/ 4/11は¥6,100〜6,200推定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現値比上昇余地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ベースケースFV比 +22〜+41%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安全域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PBR 0.35倍（BPS¥17,697）— 極端な割安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推奨アクション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分割買い：現値¥6,100前後で第一弾、¥5,700割れで第二弾積み増し。5/11決算発表前に通期数字確認必須。</w:t>
            </w:r>
          </w:p>
        </w:tc>
      </w:tr>
    </w:tbl>
    <w:p/>
    <w:p>
      <w:r>
        <w:rPr>
          <w:rFonts w:ascii="Meiryo UI" w:hAnsi="Meiryo UI"/>
          <w:sz w:val="20"/>
        </w:rPr>
        <w:t>決定的根拠（3弾丸）</w:t>
      </w:r>
    </w:p>
    <w:p>
      <w:pPr>
        <w:pStyle w:val="ListNumber"/>
      </w:pPr>
      <w:r>
        <w:rPr>
          <w:rFonts w:ascii="Meiryo UI" w:hAnsi="Meiryo UI"/>
          <w:sz w:val="20"/>
        </w:rPr>
        <w:t>[ホルムズVLCC特需×NYKの船隊ポジション]: VLCC TD3C/TCEが史上最高水準（WS413〜WS600超、$400,000〜$600,000/日）。NYKは22隻のVLCCを運航し、タンカー・エネルギー事業がFY2025通期業績の下支え役に転換。ホルムズ封鎖が長期化するほどNYK有利</w:t>
      </w:r>
    </w:p>
    <w:p>
      <w:pPr>
        <w:pStyle w:val="ListNumber"/>
      </w:pPr>
      <w:r>
        <w:rPr>
          <w:rFonts w:ascii="Meiryo UI" w:hAnsi="Meiryo UI"/>
          <w:sz w:val="20"/>
        </w:rPr>
        <w:t>[ONEの収益底打ち×SCFI回復のレバレッジ]: ONEはQ3 FY2025（2025年10-12月）に-$88M赤字だったが、2026年3月の米イラン紛争開始以降SCFIが4週間で+28%急騰（1,333→1,826pt）。Q4 FY2025（2026年1-3月）はスポット運賃の急騰でONE黒字転換の可能性。NYKへのONE持分法利益が反転すればEPS感応度大</w:t>
      </w:r>
    </w:p>
    <w:p>
      <w:pPr>
        <w:pStyle w:val="ListNumber"/>
      </w:pPr>
      <w:r>
        <w:rPr>
          <w:rFonts w:ascii="Meiryo UI" w:hAnsi="Meiryo UI"/>
          <w:sz w:val="20"/>
        </w:rPr>
        <w:t>[割安水準×個人買い×三大海運で最大ONE持分]: 個人投資家の海運59%集中買い（4/8）・郵船個別買い確認済み。PBR0.35倍という極端な割安。ONE持分は三大海運最大の38%。BPS¥17,697に対し現値¥6,100はPBR0.35倍</w:t>
      </w:r>
    </w:p>
    <w:p/>
    <w:p>
      <w:r>
        <w:rPr>
          <w:rFonts w:ascii="Meiryo UI" w:hAnsi="Meiryo UI"/>
          <w:sz w:val="20"/>
        </w:rPr>
        <w:t>⚠️ 最重要リスク（1点）</w:t>
      </w:r>
    </w:p>
    <w:p>
      <w:r>
        <w:rPr>
          <w:rFonts w:ascii="Meiryo UI" w:hAnsi="Meiryo UI"/>
          <w:sz w:val="20"/>
        </w:rPr>
        <w:t>米・イラン停戦合意（イスラマバード協議進行中、2026-04-11）が実現した場合、VLCCスポット運賃が急落（▲50〜70%想定）し、同時にコンテナ需要の事前積み増し反動減が重なる「二重の逆風」シナリオ。浅井スコアでも過去に1日でINPEX±195ptの往復を記録した地政学ボラティリティに要警戒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1. 関連資産カーブ分析（2026-04-11基準）</w:t>
      </w:r>
    </w:p>
    <w:p/>
    <w:p>
      <w:pPr>
        <w:pStyle w:val="Heading3"/>
      </w:pPr>
      <w:r>
        <w:rPr>
          <w:rFonts w:ascii="Meiryo UI" w:hAnsi="Meiryo UI"/>
          <w:color w:val="2E74B5"/>
        </w:rPr>
        <w:t>1-1. BDI（Baltic Dry Index）とドライバルク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現値（2026-04-09基準）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前月比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方向感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BDI（総合）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2,139pt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-12.2%（3月月間）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4月入りで反発トレンド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Capesize（BCI）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3,220pt / $25,702/日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月間軟化後回復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鉄鉱石在庫高止まりが上値抑制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Panamax（BPI）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1,823pt / $16,409/日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緩やかな回復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穀物需要がサポート</w:t>
            </w:r>
          </w:p>
        </w:tc>
      </w:tr>
    </w:tbl>
    <w:p/>
    <w:p>
      <w:r>
        <w:rPr>
          <w:rFonts w:ascii="Meiryo UI" w:hAnsi="Meiryo UI"/>
          <w:sz w:val="20"/>
        </w:rPr>
        <w:t>FFA（先物）見通し: Capesize FFA 2026年後半は$28,000〜30,000/日前後。ホルムズ長期化が代替航路需要を押し上げる構造的支援要因。BDI現値2,139ptは過去10年中央値（約1,200）の1.8倍水準で依然高め。</w:t>
      </w:r>
    </w:p>
    <w:p/>
    <w:p>
      <w:pPr>
        <w:pStyle w:val="Heading3"/>
      </w:pPr>
      <w:r>
        <w:rPr>
          <w:rFonts w:ascii="Meiryo UI" w:hAnsi="Meiryo UI"/>
          <w:color w:val="2E74B5"/>
        </w:rPr>
        <w:t>1-2. VLCCタンカー運賃（ホルムズ危機の核心）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現値（2026-04-06基準）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TD3C（MEG→中国）スポット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WS 413〜WS 600超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一時WS600超（$600,000/日）を記録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VLCC TCE（Round Trip）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$400,000〜$423,736/日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史上最高圏。「通常時」$30,000/日比14倍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アラビア湾発積み付け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大幅低下（5.28Mbpd←22.2Mbpd）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ホルムズ通過量減少で代替ルート需要急増</w:t>
            </w:r>
          </w:p>
        </w:tc>
      </w:tr>
    </w:tbl>
    <w:p/>
    <w:p>
      <w:r>
        <w:rPr>
          <w:rFonts w:ascii="Meiryo UI" w:hAnsi="Meiryo UI"/>
          <w:sz w:val="20"/>
        </w:rPr>
        <w:t>ホルムズ封鎖の構造: 現在600隻が停滞、通過は7隻/日（通常135隻/日）。イラン指定航路（IRGCルート）新設・機雷確認がVLCC供給を実質制約。戦争リスクプレミアムが運賃の大部分を占め、合意による急落リスクも内包する。</w:t>
      </w:r>
    </w:p>
    <w:p/>
    <w:p>
      <w:pPr>
        <w:pStyle w:val="Heading3"/>
      </w:pPr>
      <w:r>
        <w:rPr>
          <w:rFonts w:ascii="Meiryo UI" w:hAnsi="Meiryo UI"/>
          <w:color w:val="2E74B5"/>
        </w:rPr>
        <w:t>1-3. コンテナ運賃（SCFI/ONE関連）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現値（Week 13, 2026）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前月比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SCFI総合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1,826pt（W13）→直近上昇トレンド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4週間で+28.3%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米イラン紛争後の急騰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SCFI アジア→北米西岸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$2,249/FEU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週次+15.9%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前積み需要再燃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SCFI アジア→北米東岸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$3,111/FEU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週次+14.5%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SCFI アジア→中東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$3,220/TEU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週次+40.8%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迂回コスト急騰</w:t>
            </w:r>
          </w:p>
        </w:tc>
      </w:tr>
    </w:tbl>
    <w:p/>
    <w:p>
      <w:r>
        <w:rPr>
          <w:rFonts w:ascii="Meiryo UI" w:hAnsi="Meiryo UI"/>
          <w:sz w:val="20"/>
        </w:rPr>
        <w:t>ONE収益への直結: ONE（33%持分）はQ3まで赤字継続だったが、2026年2月末以降のSCFI急騰（+28%）がQ4（2026年1-3月期）に反映される公算。</w:t>
      </w:r>
    </w:p>
    <w:p/>
    <w:p>
      <w:pPr>
        <w:pStyle w:val="Heading3"/>
      </w:pPr>
      <w:r>
        <w:rPr>
          <w:rFonts w:ascii="Meiryo UI" w:hAnsi="Meiryo UI"/>
          <w:color w:val="2E74B5"/>
        </w:rPr>
        <w:t>1-4. LNG船・エネルギー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現値（2026-04-03基準）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JKM（現物LNG）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$18.75/MMBtu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LNGスポットチャーター（大西洋）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$42,500/日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4年ぶり低水準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LNGスポットチャーター（太平洋）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$46,250/日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同上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NYKのLNG船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120隻超（計画比拡大）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長期固定契約中心で安定収益</w:t>
            </w:r>
          </w:p>
        </w:tc>
      </w:tr>
    </w:tbl>
    <w:p/>
    <w:p>
      <w:r>
        <w:rPr>
          <w:rFonts w:ascii="Meiryo UI" w:hAnsi="Meiryo UI"/>
          <w:sz w:val="20"/>
        </w:rPr>
        <w:t>LNG船チャーター市況は軟調だが、NYKのLNG事業は長期固定契約主体のため影響軽微。今後のLNG増産（カタール、米国）フェーズでは契約更新時の好条件交渉余地。</w:t>
      </w:r>
    </w:p>
    <w:p/>
    <w:p>
      <w:pPr>
        <w:pStyle w:val="Heading3"/>
      </w:pPr>
      <w:r>
        <w:rPr>
          <w:rFonts w:ascii="Meiryo UI" w:hAnsi="Meiryo UI"/>
          <w:color w:val="2E74B5"/>
        </w:rPr>
        <w:t>1-5. 自動車船（PCTC）</w:t>
      </w:r>
    </w:p>
    <w:p/>
    <w:p>
      <w:r>
        <w:rPr>
          <w:rFonts w:ascii="Meiryo UI" w:hAnsi="Meiryo UI"/>
          <w:sz w:val="20"/>
        </w:rPr>
        <w:t>NYKは世界最大シェア（約120隻体制）。FY2025通期予想で自動車輸送セグメント経常利益は¥980億（前回比+¥100億上方修正）。中国EV輸出が3月に前年比2倍超で自動車船需要を下支え。</w:t>
      </w:r>
    </w:p>
    <w:p/>
    <w:p>
      <w:pPr>
        <w:pStyle w:val="Heading3"/>
      </w:pPr>
      <w:r>
        <w:rPr>
          <w:rFonts w:ascii="Meiryo UI" w:hAnsi="Meiryo UI"/>
          <w:color w:val="2E74B5"/>
        </w:rPr>
        <w:t>1-6. USD/JPY感応度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USD/JPY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NYK経常利益への影響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現値 158.60円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+1円（円安）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+約¥30〜40億/期（推定）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-1円（円高）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-約¥30〜40億/期（推定）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2. 日本郵船 財務モデル（確定データ）</w:t>
      </w:r>
    </w:p>
    <w:p/>
    <w:p>
      <w:pPr>
        <w:pStyle w:val="Heading3"/>
      </w:pPr>
      <w:r>
        <w:rPr>
          <w:rFonts w:ascii="Meiryo UI" w:hAnsi="Meiryo UI"/>
          <w:color w:val="2E74B5"/>
        </w:rPr>
        <w:t>2-1. FY2025（2026年3月期）通期予想（2026-02-04時点、Q3発表時修正）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FY2025通期会社予想（最新）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FY2024実績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前年比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¥2.39兆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¥2.12兆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+12.7%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経常利益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¥1,950億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¥4,366億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-55.3%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当期純利益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¥2,100億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¥4,826億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-56.5%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配当（通期）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¥260円（特別配当含む想定）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2-2. Q3 FY2025（2025年10-12月）累計実績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Q1-Q3累計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前年同期比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¥1兆8,120億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-8.3%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経常利益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¥1,650億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-62.2%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2-3. セグメント別経常利益（FY2025通期予想）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セグメント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通期予想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前回比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方向感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定期船（ONE持分法）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¥460億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+¥10億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自動車輸送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¥980億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+¥100億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増額修正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ドライバルク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¥120億程度（推定）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BDI好調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タンカー・エネルギー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¥200〜250億（推定）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VLCC高騰で上振れ余地大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VLCC史上最高値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物流（Yusen Logistics）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¥80億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-¥40億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下方修正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2-4. 主要財務指標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株価（推定）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¥6,038〜6,200（4/8〜4/11）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BPS（推定）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¥17,697/株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PBR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約0.35倍（極端な割安）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PER（会社予想）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約10.9倍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自己資本比率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67.6%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自己資本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¥2.92兆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発行済み株式数（推定）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約1.65億株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3. 業績予測（FY2026〜FY2028）</w:t>
      </w:r>
    </w:p>
    <w:p/>
    <w:p>
      <w:pPr>
        <w:pStyle w:val="Heading3"/>
      </w:pPr>
      <w:r>
        <w:rPr>
          <w:rFonts w:ascii="Meiryo UI" w:hAnsi="Meiryo UI"/>
          <w:color w:val="2E74B5"/>
        </w:rPr>
        <w:t>前提仮定（カーブ連動型）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前提変数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ベースケース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ブルケース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ベアケース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BDI平均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2,200pt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2,800pt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1,500pt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VLCC TCE平均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$80,000/日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$150,000/日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$30,000/日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SCFI平均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2,000pt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2,800pt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1,200pt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ONE年間純利益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$1.5B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$3.5B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-$0.5B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USD/JPY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155.00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165.00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148.00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FY2026E（2027年3月期）業績予測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ベアケース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ベースケース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ブルケース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¥2.05兆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¥2.50兆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¥3.20兆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経常利益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¥800億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¥2,200億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¥4,500億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当期純利益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¥700億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¥2,000億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¥4,000億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¥424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¥1,212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¥2,424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配当（予想）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¥120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¥400</w:t>
            </w:r>
          </w:p>
        </w:tc>
      </w:tr>
    </w:tbl>
    <w:p/>
    <w:p>
      <w:r>
        <w:rPr>
          <w:rFonts w:ascii="Meiryo UI" w:hAnsi="Meiryo UI"/>
          <w:sz w:val="20"/>
        </w:rPr>
        <w:t>ベースケース根拠: 停戦協議が進むもホルムズは完全解放されず半封鎖維持（WTI $80台）、ONE が前期の赤字から黒字回復（$1.5B）、自動車船は中国EV輸出増で安定。ONE利益のNYK帰属（33%）は$495M≒¥767億。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4. Fair Value算出と感応度分析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4-1. WACC算出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Rf = 2.380%（固定・変更不可）</w:t>
        <w:br/>
        <w:t>β = 0.96（実績値）</w:t>
        <w:br/>
        <w:t>ERP = 5.5%（固定）</w:t>
        <w:br/>
        <w:t>WACC = 2.380% + 0.96 × 5.5% = 7.66%</w:t>
      </w:r>
    </w:p>
    <w:p/>
    <w:p>
      <w:pPr>
        <w:pStyle w:val="Heading3"/>
      </w:pPr>
      <w:r>
        <w:rPr>
          <w:rFonts w:ascii="Meiryo UI" w:hAnsi="Meiryo UI"/>
          <w:color w:val="2E74B5"/>
        </w:rPr>
        <w:t>4-2. PER法（主軸）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ケース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FY2026E EPS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適用PER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FV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ベア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¥424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8.0x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¥3,392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ベース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¥1,212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10.0x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¥12,120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ベース（保守的）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¥1,212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8.5x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¥10,302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ブル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¥2,424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10.0x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¥24,240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4-3. PBR法（簿価安全確認）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BPS（推定）= ¥17,697</w:t>
        <w:br/>
        <w:t>目標PBR（正常化ROE時）= 0.4〜0.5倍（海運セクターは資産重厚）</w:t>
        <w:br/>
        <w:t>FV範囲 = ¥7,079〜¥8,849</w:t>
      </w:r>
    </w:p>
    <w:p/>
    <w:p>
      <w:r>
        <w:rPr>
          <w:rFonts w:ascii="Meiryo UI" w:hAnsi="Meiryo UI"/>
          <w:sz w:val="20"/>
        </w:rPr>
        <w:t>PBR0.35倍は極端な割安。ROEが正常化（8〜10%）すれば0.6〜0.8倍に是正されてもおかしくなく、FV ¥10,618〜¥14,158のポテンシャルもある。</w:t>
      </w:r>
    </w:p>
    <w:p/>
    <w:p>
      <w:pPr>
        <w:pStyle w:val="Heading3"/>
      </w:pPr>
      <w:r>
        <w:rPr>
          <w:rFonts w:ascii="Meiryo UI" w:hAnsi="Meiryo UI"/>
          <w:color w:val="2E74B5"/>
        </w:rPr>
        <w:t>4-4. 加重平均FV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手法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FV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ウェイト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PER法（ベース保守）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¥10,302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40%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PBR法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¥7,888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40%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DCFディスカウント30%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¥24,606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加重平均FV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¥12,544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100%</w:t>
            </w:r>
          </w:p>
        </w:tc>
      </w:tr>
    </w:tbl>
    <w:p/>
    <w:p>
      <w:r>
        <w:rPr>
          <w:rFonts w:ascii="Meiryo UI" w:hAnsi="Meiryo UI"/>
          <w:sz w:val="20"/>
        </w:rPr>
        <w:t>1年間実用目標FV: ¥7,200〜¥8,500（ベース¥7,600）— サイクル中期の現局面を考慮したPBR中心値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5. 感応度テーブル（BDI × VLCC TCE × SCFI × FV）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BDI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VLCC TCE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SCFI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USD/JPY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FV（推定）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現値比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ブル（ホルムズ継続）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2,800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$150,000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2,800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165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¥12,000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+97%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ベース（半封鎖）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2,200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$80,000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2,000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155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¥7,600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+25%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ベース+（緩やかな解放）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2,000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$50,000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2,200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157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¥6,800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+11%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ベア（完全停戦）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1,600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$30,000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1,500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148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¥4,200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-31%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極端ベア（市場崩壊）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1,000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$20,000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800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142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¥2,800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-54%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6. 【1%感応度（Delta）】— 標準プロトコル出力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━━━━━━━━━━━━━━━━━━━━━━━━━━━━━━━━━━━━━━━━━━━━━━━━━━━━━━━━━━</w:t>
        <w:br/>
        <w:t>対象資産①: BDI（Baltic Dry Index）</w:t>
        <w:br/>
        <w:t>━━━━━━━━━━━━━━━━━━━━━━━━━━━━━━━━━━━━━━━━━━━━━━━━━━━━━━━━━━</w:t>
        <w:br/>
        <w:t>BDI +1% → ドライバルク経常利益 +約¥0.6〜1.0億</w:t>
        <w:br/>
        <w:t>→ FY2026E純利益（¥2,000億）への影響 = 約+0.05〜0.08%</w:t>
        <w:br/>
        <w:t>∴ BDI +1% → FV +0.06%（限定的）</w:t>
        <w:br/>
        <w:br/>
        <w:t>━━━━━━━━━━━━━━━━━━━━━━━━━━━━━━━━━━━━━━━━━━━━━━━━━━━━━━━━━━</w:t>
        <w:br/>
        <w:t>対象資産②: SCFI（コンテナ運賃・ONE持分法経由）</w:t>
        <w:br/>
        <w:t>━━━━━━━━━━━━━━━━━━━━━━━━━━━━━━━━━━━━━━━━━━━━━━━━━━━━━━━━━━</w:t>
        <w:br/>
        <w:t>SCFI +1% → ONE収益 +約$30M → NYK帰属（33%）+$10M ≒ +¥15.5億</w:t>
        <w:br/>
        <w:t>→ FY2026E純利益への影響 = +0.78%</w:t>
        <w:br/>
        <w:t>→ FV（PER8.5x）への影響: +¥73/株</w:t>
        <w:br/>
        <w:t>∴ SCFI +1% → FV +0.6〜0.8%（単独）</w:t>
        <w:br/>
        <w:br/>
        <w:t>━━━━━━━━━━━━━━━━━━━━━━━━━━━━━━━━━━━━━━━━━━━━━━━━━━━━━━━━━━</w:t>
        <w:br/>
        <w:t>対象資産③: VLCC TCE（タンカー運賃）</w:t>
        <w:br/>
        <w:t>━━━━━━━━━━━━━━━━━━━━━━━━━━━━━━━━━━━━━━━━━━━━━━━━━━━━━━━━━━</w:t>
        <w:br/>
        <w:t>VLCC TCE +1%（$80,000→$80,800/日）:</w:t>
        <w:br/>
        <w:t>→ 22隻 × 365日 × $800 = $6.4M ≒ ¥9.9億</w:t>
        <w:br/>
        <w:t>→ FV影響: +0.5%</w:t>
        <w:br/>
        <w:t>∴ VLCC TCE +1% → FV +0.5%</w:t>
        <w:br/>
        <w:br/>
        <w:t>━━━━━━━━━━━━━━━━━━━━━━━━━━━━━━━━━━━━━━━━━━━━━━━━━━━━━━━━━━</w:t>
        <w:br/>
        <w:t>【USD/JPY複合感応度（+1円円安）】</w:t>
        <w:br/>
        <w:t>USD/JPY +1円 → 経常利益 +¥30〜40億 → FV影響: +1.6%</w:t>
        <w:br/>
        <w:t>∴ USD/JPY +1円（円安）→ FV +1.6%</w:t>
        <w:br/>
        <w:br/>
        <w:t>【ホルムズ解除フルシナリオ（-90% VLCC + 円高）】</w:t>
        <w:br/>
        <w:t xml:space="preserve">  VLCC TCE: $400,000 → $30,000（▲92.5%）</w:t>
        <w:br/>
        <w:t xml:space="preserve">  USD/JPY: 159 → 148（▲6.9%）</w:t>
        <w:br/>
        <w:t xml:space="preserve">  SCFI: 1,827 → 1,500（▲17.9%）</w:t>
        <w:br/>
        <w:t xml:space="preserve">  FY2026E経常利益: ¥2,200 → ¥800〜1,000億</w:t>
        <w:br/>
        <w:t xml:space="preserve">  FV: ¥7,600 → ¥4,200（▲44.7%）</w:t>
        <w:br/>
        <w:t xml:space="preserve">  現値¥6,100 → FV¥4,200: ▲31.1%</w:t>
        <w:br/>
        <w:t>━━━━━━━━━━━━━━━━━━━━━━━━━━━━━━━━━━━━━━━━━━━━━━━━━━━━━━━━━━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7. リスクシナリオ（定量ストレステスト）</w:t>
      </w:r>
    </w:p>
    <w:p/>
    <w:p>
      <w:pPr>
        <w:pStyle w:val="Heading3"/>
      </w:pPr>
      <w:r>
        <w:rPr>
          <w:rFonts w:ascii="Meiryo UI" w:hAnsi="Meiryo UI"/>
          <w:color w:val="2E74B5"/>
        </w:rPr>
        <w:t>シナリオ1: 米・イラン完全停戦合意（確率25%）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WTI $65〜70（▲30%）、VLCC TCE $25,000〜30,000（▲90%）、SCFI 1,200〜1,500（▲35%）</w:t>
        <w:br/>
        <w:t>NYK FY2026E経常利益 → ¥800〜1,000億水準</w:t>
        <w:br/>
        <w:t>FV: ¥4,000〜5,000（現値比▲17〜34%）</w:t>
      </w:r>
    </w:p>
    <w:p/>
    <w:p>
      <w:pPr>
        <w:pStyle w:val="Heading3"/>
      </w:pPr>
      <w:r>
        <w:rPr>
          <w:rFonts w:ascii="Meiryo UI" w:hAnsi="Meiryo UI"/>
          <w:color w:val="2E74B5"/>
        </w:rPr>
        <w:t>シナリオ2: ホルムズ長期封鎖継続（確率40%）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VLCC TCE $150,000/日維持・BDI高位維持・SCFI2,000超</w:t>
        <w:br/>
        <w:t>NYK FY2026E経常利益: ¥3,000〜3,500億</w:t>
        <w:br/>
        <w:t>FV: ¥10,000〜12,000（現値比+64〜97%）</w:t>
      </w:r>
    </w:p>
    <w:p/>
    <w:p>
      <w:pPr>
        <w:pStyle w:val="Heading3"/>
      </w:pPr>
      <w:r>
        <w:rPr>
          <w:rFonts w:ascii="Meiryo UI" w:hAnsi="Meiryo UI"/>
          <w:color w:val="2E74B5"/>
        </w:rPr>
        <w:t>シナリオ3: 容量過剰×停戦×円高の三重苦（確率20%）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新造船大量竣工+停戦+USD/JPY 148円</w:t>
        <w:br/>
        <w:t>NYK FY2026E経常利益: ¥600〜800億</w:t>
        <w:br/>
        <w:t>FV: ¥3,500〜4,500（現値比▲26〜43%）</w:t>
      </w:r>
    </w:p>
    <w:p/>
    <w:p>
      <w:pPr>
        <w:pStyle w:val="Heading3"/>
      </w:pPr>
      <w:r>
        <w:rPr>
          <w:rFonts w:ascii="Meiryo UI" w:hAnsi="Meiryo UI"/>
          <w:color w:val="2E74B5"/>
        </w:rPr>
        <w:t>ガイダンス発表（5/11）保守/積極的判定基準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来期FY2026Eガイダンス（会社）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判断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アクション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¥2,000億以上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積極的（VLCC効果の一部織り込み）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追加買い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¥1,500〜2,000億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ほぼ妥当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ホールド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¥1,500億未満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保守的（ONE不透明を強調）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逆張り買い（低ガイダンスは逆説的買いシグナル）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8. 推奨アクション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ポジション構築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フェーズ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タイミング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水準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目的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第一弾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現在（4/11前後）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¥6,000〜6,200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PBR0.34倍 × VLCC特需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第二弾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停戦報道後の急落時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¥5,500〜5,700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下落幅の3分の1は買い場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損切り水準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完全停戦合意確定後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¥5,000割れ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本格的な二重逆風時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利益確定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第1目標: ¥7,500〜8,000（ベースFV上限）</w:t>
        <w:br/>
        <w:t>第2目標: ¥9,000〜10,000（ホルムズ長期化ブルシナリオ）</w:t>
      </w:r>
    </w:p>
    <w:p/>
    <w:p>
      <w:pPr>
        <w:pStyle w:val="Heading3"/>
      </w:pPr>
      <w:r>
        <w:rPr>
          <w:rFonts w:ascii="Meiryo UI" w:hAnsi="Meiryo UI"/>
          <w:color w:val="2E74B5"/>
        </w:rPr>
        <w:t>モニタリング指標（週次）</w:t>
      </w:r>
    </w:p>
    <w:p/>
    <w:p>
      <w:pPr>
        <w:pStyle w:val="ListNumber"/>
      </w:pPr>
      <w:r>
        <w:rPr>
          <w:rFonts w:ascii="Meiryo UI" w:hAnsi="Meiryo UI"/>
          <w:sz w:val="20"/>
        </w:rPr>
        <w:t>VLCC TD3C スポット: $100,000/日割れで警戒（停戦の先行指標）</w:t>
      </w:r>
    </w:p>
    <w:p>
      <w:pPr>
        <w:pStyle w:val="ListNumber"/>
      </w:pPr>
      <w:r>
        <w:rPr>
          <w:rFonts w:ascii="Meiryo UI" w:hAnsi="Meiryo UI"/>
          <w:sz w:val="20"/>
        </w:rPr>
        <w:t>SCFI週次: 1,500pt割れでONE赤字再拡大懸念</w:t>
      </w:r>
    </w:p>
    <w:p>
      <w:pPr>
        <w:pStyle w:val="ListNumber"/>
      </w:pPr>
      <w:r>
        <w:rPr>
          <w:rFonts w:ascii="Meiryo UI" w:hAnsi="Meiryo UI"/>
          <w:sz w:val="20"/>
        </w:rPr>
        <w:t>USD/JPY: 155円割れでFV▲5%の調整</w:t>
      </w:r>
    </w:p>
    <w:p>
      <w:pPr>
        <w:pStyle w:val="ListNumber"/>
      </w:pPr>
      <w:r>
        <w:rPr>
          <w:rFonts w:ascii="Meiryo UI" w:hAnsi="Meiryo UI"/>
          <w:sz w:val="20"/>
        </w:rPr>
        <w:t>IOI動向: 郵船の売りIOI継続は機関の逃げシグナル（VWAP IOI 4/7の売りIOI継続）</w:t>
      </w:r>
    </w:p>
    <w:p>
      <w:pPr>
        <w:pStyle w:val="ListNumber"/>
      </w:pPr>
      <w:r>
        <w:rPr>
          <w:rFonts w:ascii="Meiryo UI" w:hAnsi="Meiryo UI"/>
          <w:sz w:val="20"/>
        </w:rPr>
        <w:t>5/11決算発表: 通期実績 + FY2026ガイダンス確認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9. 不動産・隠れ資産考察（全DR必須）</w:t>
      </w:r>
    </w:p>
    <w:p/>
    <w:p>
      <w:pPr>
        <w:pStyle w:val="Heading3"/>
      </w:pPr>
      <w:r>
        <w:rPr>
          <w:rFonts w:ascii="Meiryo UI" w:hAnsi="Meiryo UI"/>
          <w:color w:val="2E74B5"/>
        </w:rPr>
        <w:t>NAV推計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推計値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有形固定資産（船舶含む）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¥2.5兆以上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総資産¥4.98兆から推定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不動産含み益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¥200〜500億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2021年に郵船不動産51%売却で+¥230億益を確認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ONE持分の潜在価値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$3〜5B（33%帰属）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ONE運航船舶・コンテナ等の資産価値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VLCC含み益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¥300〜800億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22隻×10年ぶり高値の市場価格</w:t>
            </w:r>
          </w:p>
        </w:tc>
      </w:tr>
    </w:tbl>
    <w:p/>
    <w:p>
      <w:r>
        <w:rPr>
          <w:rFonts w:ascii="Meiryo UI" w:hAnsi="Meiryo UI"/>
          <w:sz w:val="20"/>
        </w:rPr>
        <w:t>触媒（Catalyst）:</w:t>
      </w:r>
    </w:p>
    <w:p>
      <w:pPr>
        <w:pStyle w:val="ListNumber"/>
      </w:pPr>
      <w:r>
        <w:rPr>
          <w:rFonts w:ascii="Meiryo UI" w:hAnsi="Meiryo UI"/>
          <w:sz w:val="20"/>
        </w:rPr>
        <w:t>TSEの「資本コスト・株価を意識した経営」圧力の下、NYKが保有政策株の縮小・自社株買いを加速すれば1株価値の改善</w:t>
      </w:r>
    </w:p>
    <w:p>
      <w:pPr>
        <w:pStyle w:val="ListNumber"/>
      </w:pPr>
      <w:r>
        <w:rPr>
          <w:rFonts w:ascii="Meiryo UI" w:hAnsi="Meiryo UI"/>
          <w:sz w:val="20"/>
        </w:rPr>
        <w:t>CGコード改訂（2026年）: 不動産含み益の制度的開示義務強化</w:t>
      </w:r>
    </w:p>
    <w:p>
      <w:pPr>
        <w:pStyle w:val="ListNumber"/>
      </w:pPr>
      <w:r>
        <w:rPr>
          <w:rFonts w:ascii="Meiryo UI" w:hAnsi="Meiryo UI"/>
          <w:sz w:val="20"/>
        </w:rPr>
        <w:t>Yusen Logistics倉庫資産（全国主要港湾・工業地帯）の顕在化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三大海運まとめ（ポジション優先順位）: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優先順位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銘柄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判定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1位（最優先）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9104 商船三井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BUY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Elliott参入+VLCC高騰+4/30決算上振れ期待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2位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9101 日本郵船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逆張りBUY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ONE38%持分×PBR0.35倍×VLCC22隻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9107 川崎汽船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HOLD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PBR1.0倍で下値硬直、BUT PER14.6倍が割高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作成者: 深井（竹村トレードカンパニー）</w:t>
      </w:r>
    </w:p>
    <w:p>
      <w:r>
        <w:rPr>
          <w:rFonts w:ascii="Meiryo UI" w:hAnsi="Meiryo UI"/>
          <w:sz w:val="20"/>
        </w:rPr>
        <w:t>分析日: 2026-04-11</w:t>
      </w:r>
    </w:p>
    <w:p>
      <w:r>
        <w:rPr>
          <w:rFonts w:ascii="Meiryo UI" w:hAnsi="Meiryo UI"/>
          <w:sz w:val="20"/>
        </w:rPr>
        <w:t>市況プロトコル: v1（2026-04-11恒久化）</w:t>
      </w:r>
    </w:p>
    <w:p/>
    <w:p>
      <w:r>
        <w:rPr>
          <w:rFonts w:ascii="Meiryo UI" w:hAnsi="Meiryo UI"/>
          <w:sz w:val="20"/>
        </w:rPr>
        <w:t>データソース（確定値）:</w:t>
      </w:r>
    </w:p>
    <w:p>
      <w:pPr>
        <w:pStyle w:val="ListBullet"/>
      </w:pPr>
      <w:r>
        <w:rPr>
          <w:rFonts w:ascii="Meiryo UI" w:hAnsi="Meiryo UI"/>
          <w:sz w:val="20"/>
        </w:rPr>
        <w:t>株価: ¥6,038（4/8終値） / 4/11推定¥6,100〜6,200</w:t>
      </w:r>
    </w:p>
    <w:p>
      <w:pPr>
        <w:pStyle w:val="ListBullet"/>
      </w:pPr>
      <w:r>
        <w:rPr>
          <w:rFonts w:ascii="Meiryo UI" w:hAnsi="Meiryo UI"/>
          <w:sz w:val="20"/>
        </w:rPr>
        <w:t>BDI: 2,139（4/9） / BCI: 3,220 / BPI: 1,823（Baltic Exchange）</w:t>
      </w:r>
    </w:p>
    <w:p>
      <w:pPr>
        <w:pStyle w:val="ListBullet"/>
      </w:pPr>
      <w:r>
        <w:rPr>
          <w:rFonts w:ascii="Meiryo UI" w:hAnsi="Meiryo UI"/>
          <w:sz w:val="20"/>
        </w:rPr>
        <w:t>VLCC TD3C: WS413〜600超 / $400,000〜$423,736/day（Tankers International / Lloyd's List）</w:t>
      </w:r>
    </w:p>
    <w:p>
      <w:pPr>
        <w:pStyle w:val="ListBullet"/>
      </w:pPr>
      <w:r>
        <w:rPr>
          <w:rFonts w:ascii="Meiryo UI" w:hAnsi="Meiryo UI"/>
          <w:sz w:val="20"/>
        </w:rPr>
        <w:t>SCFI: 1,826pt（週13/4月早、上海航運交易所）</w:t>
      </w:r>
    </w:p>
    <w:p>
      <w:pPr>
        <w:pStyle w:val="ListBullet"/>
      </w:pPr>
      <w:r>
        <w:rPr>
          <w:rFonts w:ascii="Meiryo UI" w:hAnsi="Meiryo UI"/>
          <w:sz w:val="20"/>
        </w:rPr>
        <w:t>JKM: $18.75/MMBtu（lngpriceindex.com 4/3）</w:t>
      </w:r>
    </w:p>
    <w:p>
      <w:pPr>
        <w:pStyle w:val="ListBullet"/>
      </w:pPr>
      <w:r>
        <w:rPr>
          <w:rFonts w:ascii="Meiryo UI" w:hAnsi="Meiryo UI"/>
          <w:sz w:val="20"/>
        </w:rPr>
        <w:t>LNGスポット: $42,500〜46,250/日（大西洋/太平洋）</w:t>
      </w:r>
    </w:p>
    <w:p>
      <w:pPr>
        <w:pStyle w:val="ListBullet"/>
      </w:pPr>
      <w:r>
        <w:rPr>
          <w:rFonts w:ascii="Meiryo UI" w:hAnsi="Meiryo UI"/>
          <w:sz w:val="20"/>
        </w:rPr>
        <w:t>FY2025 Q1-Q3累計実績: NYK LINE IR（2026-02-04開示）</w:t>
      </w:r>
    </w:p>
    <w:p>
      <w:pPr>
        <w:pStyle w:val="ListBullet"/>
      </w:pPr>
      <w:r>
        <w:rPr>
          <w:rFonts w:ascii="Meiryo UI" w:hAnsi="Meiryo UI"/>
          <w:sz w:val="20"/>
        </w:rPr>
        <w:t>ONE Q3 FY2025: ONE公式発表</w:t>
      </w:r>
    </w:p>
    <w:p>
      <w:pPr>
        <w:pStyle w:val="ListBullet"/>
      </w:pPr>
      <w:r>
        <w:rPr>
          <w:rFonts w:ascii="Meiryo UI" w:hAnsi="Meiryo UI"/>
          <w:sz w:val="20"/>
        </w:rPr>
        <w:t>Rf: 2.380%固定 | WACC: 7.66% | β: 0.96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