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[9104] 商船三井【海運カーブ × Fair Value感応度分析】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分析日：2026-04-11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[9104] 商船三井【海運カーブ × Fair Value感応度分析】</w:t>
      </w:r>
    </w:p>
    <w:p/>
    <w:p>
      <w:r>
        <w:rPr>
          <w:rFonts w:ascii="Meiryo UI" w:hAnsi="Meiryo UI"/>
          <w:sz w:val="20"/>
        </w:rPr>
        <w:t>作成日: 2026-04-11 | アナリスト: 深井</w:t>
      </w:r>
    </w:p>
    <w:p>
      <w:r>
        <w:rPr>
          <w:rFonts w:ascii="Meiryo UI" w:hAnsi="Meiryo UI"/>
          <w:sz w:val="20"/>
        </w:rPr>
        <w:t>分類: BUY（逆張り・条件付き） | プロトコル: 市況関連銘柄カーブ分析プロトコル v1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BUY（逆張り・条件付き） — 浅井スコア+94と整合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¥8,200（ベースケース）/ ¥9,168（社長TP）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現値比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+26.7%（FVベース）/ +41.6%（社長TP）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¥6,473（4/10終値）/ 4/11推定¥6,497±100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 0.84倍・社長TP比 -29.4%乖離で低廉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分割買い開始。¥6,000割れでフルポジ。ホルムズ正常化報道で即時売り検討</w:t>
            </w:r>
          </w:p>
        </w:tc>
      </w:tr>
    </w:tbl>
    <w:p/>
    <w:p>
      <w:r>
        <w:rPr>
          <w:rFonts w:ascii="Meiryo UI" w:hAnsi="Meiryo UI"/>
          <w:sz w:val="20"/>
        </w:rPr>
        <w:t>決定的根拠（3弾丸）</w:t>
      </w:r>
    </w:p>
    <w:p>
      <w:pPr>
        <w:pStyle w:val="ListNumber"/>
      </w:pPr>
      <w:r>
        <w:rPr>
          <w:rFonts w:ascii="Meiryo UI" w:hAnsi="Meiryo UI"/>
          <w:sz w:val="20"/>
        </w:rPr>
        <w:t>[Elliott Management参入による構造変革確定]: 2026年3月参入により「ダイビル再上場・資本効率改善・PBR1倍超」が中期触媒として確定。現在PBR 0.84倍は構造的割安</w:t>
      </w:r>
    </w:p>
    <w:p>
      <w:pPr>
        <w:pStyle w:val="ListNumber"/>
      </w:pPr>
      <w:r>
        <w:rPr>
          <w:rFonts w:ascii="Meiryo UI" w:hAnsi="Meiryo UI"/>
          <w:sz w:val="20"/>
        </w:rPr>
        <w:t>[VLCC運賃が歴史的高水準継続中]: VLCC TCE $400,000/day超（歴史的高水準）、ホルムズ代替ルート迂回でタンカー稼働日数+15〜20%相当の運賃プレミアムが継続。タンカー・LNGセグメント上振れ余地大</w:t>
      </w:r>
    </w:p>
    <w:p>
      <w:pPr>
        <w:pStyle w:val="ListNumber"/>
      </w:pPr>
      <w:r>
        <w:rPr>
          <w:rFonts w:ascii="Meiryo UI" w:hAnsi="Meiryo UI"/>
          <w:sz w:val="20"/>
        </w:rPr>
        <w:t>[4/30通期決算に上振れサプライズ期待]: 3Q上方修正（経常利益1,520→1,800億円）実績あり。Q4タンカー急騰分（1〜3月）が初めて反映される決算。深井修正2,400億円 vs 会社予想1,800億円（+33%乖離）</w:t>
      </w:r>
    </w:p>
    <w:p/>
    <w:p>
      <w:r>
        <w:rPr>
          <w:rFonts w:ascii="Meiryo UI" w:hAnsi="Meiryo UI"/>
          <w:sz w:val="20"/>
        </w:rPr>
        <w:t>⚠️ 最重要リスク（1点）</w:t>
      </w:r>
    </w:p>
    <w:p>
      <w:r>
        <w:rPr>
          <w:rFonts w:ascii="Meiryo UI" w:hAnsi="Meiryo UI"/>
          <w:sz w:val="20"/>
        </w:rPr>
        <w:t>米・イラン協議が合意→ホルムズ完全開放となった場合、VLCC運賃が$400,000/dayから正常水準（$30,000〜50,000/day相当）へ急落し、タンカー部門収益が蒸発。株価は短期で20〜30%急落リスク（浅井スコア第30弾でINPEX-100転落に類似する「有事プレミアム消滅」シナリオ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関連資産カーブ分析（2026-04-11基準）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1-1. Baltic Dry Index (BDI) 現況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前週比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BDI 総合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2,095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4月高値2,139から軟化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中国鉄鉱石在庫積み上げでCapesize圧迫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Capesize Index (BCI)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+72pt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日次収益$25,702/day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Panamax Index (BPI)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1,823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+21pt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日次収益$16,409/day（堅調）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Supramax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推定1,400前後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参考値</w:t>
            </w:r>
          </w:p>
        </w:tc>
      </w:tr>
    </w:tbl>
    <w:p/>
    <w:p>
      <w:r>
        <w:rPr>
          <w:rFonts w:ascii="Meiryo UI" w:hAnsi="Meiryo UI"/>
          <w:sz w:val="20"/>
        </w:rPr>
        <w:t>BDI先物カーブ（推定）:</w:t>
      </w:r>
    </w:p>
    <w:p>
      <w:pPr>
        <w:pStyle w:val="ListBullet"/>
      </w:pPr>
      <w:r>
        <w:rPr>
          <w:rFonts w:ascii="Meiryo UI" w:hAnsi="Meiryo UI"/>
          <w:sz w:val="20"/>
        </w:rPr>
        <w:t>3ヶ月先：2,000〜2,200（中国需要不透明で横ばい）</w:t>
      </w:r>
    </w:p>
    <w:p>
      <w:pPr>
        <w:pStyle w:val="ListBullet"/>
      </w:pPr>
      <w:r>
        <w:rPr>
          <w:rFonts w:ascii="Meiryo UI" w:hAnsi="Meiryo UI"/>
          <w:sz w:val="20"/>
        </w:rPr>
        <w:t>6ヶ月先：2,200〜2,500（下期回復期待）</w:t>
      </w:r>
    </w:p>
    <w:p>
      <w:pPr>
        <w:pStyle w:val="ListBullet"/>
      </w:pPr>
      <w:r>
        <w:rPr>
          <w:rFonts w:ascii="Meiryo UI" w:hAnsi="Meiryo UI"/>
          <w:sz w:val="20"/>
        </w:rPr>
        <w:t>12ヶ月先：2,400〜2,800（需給改善見通し）</w:t>
      </w:r>
    </w:p>
    <w:p/>
    <w:p>
      <w:r>
        <w:rPr>
          <w:rFonts w:ascii="Meiryo UI" w:hAnsi="Meiryo UI"/>
          <w:sz w:val="20"/>
        </w:rPr>
        <w:t>2026年4月の月次では初の損失計上（Capesize軟化主因）。ただしPanamaxが下支えしており全面崩落ではない。商船三井のドライバルク事業は3Q時点で経常利益18億円（前年88.5%減）と既に低水準なため追加下押しは限定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VLCC タンカー運賃（TD3C TCE）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TD3C WS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WS 427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歴史的高水準（通常WS 50-80）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日次TCE換算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$400,000/day超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平常時比8〜10倍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米国湾VLCC積み地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4月40隻（平常月27隻）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需要急増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湾内停滞船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約600隻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ホルムズ封鎖継続</w:t>
            </w:r>
          </w:p>
        </w:tc>
      </w:tr>
    </w:tbl>
    <w:p/>
    <w:p>
      <w:r>
        <w:rPr>
          <w:rFonts w:ascii="Meiryo UI" w:hAnsi="Meiryo UI"/>
          <w:sz w:val="20"/>
        </w:rPr>
        <w:t>直近ピーク時はWS600以上・$600,000/day超を記録。現在WS427でも依然として超高水準。商船三井タンカー部門（エネルギー事業¥3,856億円規模）にはこのプレミアムが3月〜4月分として計上される見込み。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コンテナ運賃（SCFI / FBX）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SCFI（2026年2月）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約1,251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正常化・冷却傾向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FBX（2026年2月）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約$1,937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ピーク比大幅下落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2026年需給見通し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需要+3% vs 供給+3.6%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供給超過で運賃圧迫継続</w:t>
            </w:r>
          </w:p>
        </w:tc>
      </w:tr>
    </w:tbl>
    <w:p/>
    <w:p>
      <w:r>
        <w:rPr>
          <w:rFonts w:ascii="Meiryo UI" w:hAnsi="Meiryo UI"/>
          <w:sz w:val="20"/>
        </w:rPr>
        <w:t>ONEの収益環境は昨年比で大幅悪化。ただしホルムズ迂回（距離+2〜3週間）で一部コンテナ航路も運賃下支え効果あり。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海上燃料費（バンカーコスト）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燃料種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シンガポール価格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VLSFO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$757〜888/MT（4/8時点）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WTI$96.57連動で高水準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MGO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推定$900〜1,000超/MT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バンカー費用は上昇しているが、VLCC運賃上昇（$400,000/day）が燃料費増を圧倒的に上回る構図。コンテナ船（ONE）では燃料費上昇が利益を圧迫する逆方向の影響あり。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1-5. USD/JPY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現在レート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159.26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参考（2026年度予算レート推定）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145円前後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FX感応度（対ドル収益影響）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1円円安 → 経常利益+数十億円</w:t>
            </w:r>
          </w:p>
        </w:tc>
      </w:tr>
    </w:tbl>
    <w:p/>
    <w:p>
      <w:r>
        <w:rPr>
          <w:rFonts w:ascii="Meiryo UI" w:hAnsi="Meiryo UI"/>
          <w:sz w:val="20"/>
        </w:rPr>
        <w:t>USD/JPY 159円台は会社予算レートを大幅に円安方向で上回っており、全セグメントの円換算収益に上乗せ効果。停戦→円高シナリオは逆方向の大きなリスク。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商船三井 財務モデル（確定データ）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直近確定業績（FY2026/3期 Q1〜Q3 累計）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Q1-Q3実績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1兆3,454億円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1,027億円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1,614億円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▲57.1%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1,805億円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▲51.2%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セグメント別業績（Q1-Q3）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ドライバルク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3,374億円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▲88.5%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エネルギー（LNG・タンカー）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3,856億円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659億円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▲19.3%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製品輸送（コンテナ・自動車船等）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4,709億円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804億円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▲70.4%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コンテナ船関連（ONE持分除く）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217億円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▲89.3%</w:t>
            </w:r>
          </w:p>
        </w:tc>
      </w:tr>
    </w:tbl>
    <w:p/>
    <w:p>
      <w:r>
        <w:rPr>
          <w:rFonts w:ascii="Meiryo UI" w:hAnsi="Meiryo UI"/>
          <w:sz w:val="20"/>
        </w:rPr>
        <w:t>注: ONEからの持分利益は経常利益に含まれるが、Q4タンカー運賃急騰（3〜4月）は次回決算（4/30）に反映。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会社通期予想（最新修正後）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当初予想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修正後予想（2026/1/30）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進捗率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1,800億円（+18.4%上方修正）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89.7%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推定1,800億円前後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高進捗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EPS（会社予想）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581円前後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175円 →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200円（+25円増配）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2-4. 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株価（4/10終値）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6,473円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年初来高値7,325円（3/19）から▲11.6%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7,870円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株価がBPS割れ（PBR&lt;1倍）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PER（会社予想EPS 581円）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過去最高益年の16.8%から低下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約1兆7,622億円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200円/6,473円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業績予測（FY2026〜FY2028）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深井修正予測（ホルムズ高止まり継続シナリオ）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FY2026E（会社修正）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FY2026E（深井修正）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FY2027E（深井）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FY2028E（深井）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17,755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17,310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19,000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1,509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経常利益（億円）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4,197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4,255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1,350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581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858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635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4.01%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3.40%</w:t>
            </w:r>
          </w:p>
        </w:tc>
      </w:tr>
    </w:tbl>
    <w:p/>
    <w:p>
      <w:r>
        <w:rPr>
          <w:rFonts w:ascii="Meiryo UI" w:hAnsi="Meiryo UI"/>
          <w:sz w:val="20"/>
        </w:rPr>
        <w:t>深井修正の根拠:</w:t>
      </w:r>
    </w:p>
    <w:p>
      <w:pPr>
        <w:pStyle w:val="ListBullet"/>
      </w:pPr>
      <w:r>
        <w:rPr>
          <w:rFonts w:ascii="Meiryo UI" w:hAnsi="Meiryo UI"/>
          <w:sz w:val="20"/>
        </w:rPr>
        <w:t>VLCC運賃$400,000/day×2ヶ月追加（Q4）= タンカー部門追加収益+300〜400億円</w:t>
      </w:r>
    </w:p>
    <w:p>
      <w:pPr>
        <w:pStyle w:val="ListBullet"/>
      </w:pPr>
      <w:r>
        <w:rPr>
          <w:rFonts w:ascii="Meiryo UI" w:hAnsi="Meiryo UI"/>
          <w:sz w:val="20"/>
        </w:rPr>
        <w:t>USD/JPY 159円（会社予算比+14円）= 全セグメント円換算+250〜300億円</w:t>
      </w:r>
    </w:p>
    <w:p>
      <w:pPr>
        <w:pStyle w:val="ListBullet"/>
      </w:pPr>
      <w:r>
        <w:rPr>
          <w:rFonts w:ascii="Meiryo UI" w:hAnsi="Meiryo UI"/>
          <w:sz w:val="20"/>
        </w:rPr>
        <w:t>ONE（コンテナ）は運賃軟化で据え置き</w:t>
      </w:r>
    </w:p>
    <w:p>
      <w:pPr>
        <w:pStyle w:val="ListBullet"/>
      </w:pPr>
      <w:r>
        <w:rPr>
          <w:rFonts w:ascii="Meiryo UI" w:hAnsi="Meiryo UI"/>
          <w:sz w:val="20"/>
        </w:rPr>
        <w:t>FY2027は上記プレミアム継続を前提</w:t>
      </w:r>
    </w:p>
    <w:p>
      <w:pPr>
        <w:pStyle w:val="ListBullet"/>
      </w:pPr>
      <w:r>
        <w:rPr>
          <w:rFonts w:ascii="Meiryo UI" w:hAnsi="Meiryo UI"/>
          <w:sz w:val="20"/>
        </w:rPr>
        <w:t>FY2028は停戦/ホルムズ正常化後の正常収益水準を想定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Fair Value算出と感応度分析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Rf（無リスク金利）  = 2.380%（固定・変更不可）</w:t>
        <w:br/>
        <w:t>β（海運セクター）   = 1.40（市況敏感・有事プレミアム含む）</w:t>
        <w:br/>
        <w:t>ERP（株式リスクプレミアム） = 5.5%</w:t>
        <w:br/>
        <w:t>WACC = 2.380% + 1.40 × 5.5% = 2.380% + 7.700% = 10.08%</w:t>
      </w:r>
    </w:p>
    <w:p/>
    <w:p>
      <w:r>
        <w:rPr>
          <w:rFonts w:ascii="Meiryo UI" w:hAnsi="Meiryo UI"/>
          <w:sz w:val="20"/>
        </w:rPr>
        <w:t>注: β = 1.40は日本海運セクターの過去5年平均（1.2〜1.5）の中央値。ホルムズ危機下では実効β上昇。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PERアプローチ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FY2027E EPS（深井）    = 858円</w:t>
        <w:br/>
        <w:t>トラフPER（海運8x）    → FV = 858 × 8.0 = 6,864円</w:t>
        <w:br/>
        <w:t>ノーマルPER（10x）     → FV = 858 × 10.0 = 8,580円</w:t>
        <w:br/>
        <w:t>ピークPER（12x）       → FV = 858 × 12.0 = 10,296円</w:t>
        <w:br/>
        <w:t>使用PER（10x）         → FV基準 = 8,580円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DCF補完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FY2026〜FY2030 コア営業CF</w:t>
        <w:br/>
        <w:t xml:space="preserve">  FY2026: 2,200億円（会社目標950億+ONE配当他）</w:t>
        <w:br/>
        <w:t xml:space="preserve">  FY2027: 2,700億円</w:t>
        <w:br/>
        <w:t xml:space="preserve">  FY2028: 2,000億円</w:t>
        <w:br/>
        <w:t xml:space="preserve">  FY2029〜FY2030: 1,800億円（正常化後）</w:t>
        <w:br/>
        <w:t>ターミナルバリュー成長率: g = 1.5%</w:t>
        <w:br/>
        <w:t>WACC: 10.08%</w:t>
        <w:br/>
        <w:br/>
        <w:t>DCF概算FV（発行株式数約3.14億株前提）:</w:t>
        <w:br/>
        <w:t>純利益ベース5年DCF + TV = 概算¥7,800〜¥8,500</w:t>
      </w:r>
    </w:p>
    <w:p/>
    <w:p>
      <w:pPr>
        <w:pStyle w:val="Heading3"/>
      </w:pPr>
      <w:r>
        <w:rPr>
          <w:rFonts w:ascii="Meiryo UI" w:hAnsi="Meiryo UI"/>
          <w:color w:val="2E74B5"/>
        </w:rPr>
        <w:t>4-4. PBR補完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BPS（現在）  = 7,870円</w:t>
        <w:br/>
        <w:t>目標PBR      = 1.05倍（Elliott圧力でPBR1倍回復シナリオ）</w:t>
        <w:br/>
        <w:t>→ FV = 7,870 × 1.05 = 8,264円</w:t>
      </w:r>
    </w:p>
    <w:p/>
    <w:p>
      <w:pPr>
        <w:pStyle w:val="Heading3"/>
      </w:pPr>
      <w:r>
        <w:rPr>
          <w:rFonts w:ascii="Meiryo UI" w:hAnsi="Meiryo UI"/>
          <w:color w:val="2E74B5"/>
        </w:rPr>
        <w:t>4-5. 総合Fair 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FV算出結果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PER法（FY2027E×10x）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8,580円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DCF法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7,800〜8,500円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PBR法（×1.05倍）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8,264円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深井FV（ベースケース）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9,168円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現値比（深井FV基準）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+26.7%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感応度テーブル（BDI × VLCC × FX × FV）</w:t>
      </w:r>
    </w:p>
    <w:p/>
    <w:p>
      <w:pPr>
        <w:pStyle w:val="Heading3"/>
      </w:pPr>
      <w:r>
        <w:rPr>
          <w:rFonts w:ascii="Meiryo UI" w:hAnsi="Meiryo UI"/>
          <w:color w:val="2E74B5"/>
        </w:rPr>
        <w:t>5-1. BDI × FV感応度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BDI水準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ドライバルク経常利益推定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FV（円）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▲50億円（赤字転落）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▲約300円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7,900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2,095（現在）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+18〜50億円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+約500円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8,700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+約1,000円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+約1,500円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9,700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VLCC運賃 × FV感応度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VLCC TCE/day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タンカー部門収益影響（年間）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FV（円）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$30,000（正常化後）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▲2,000億円超（ホルムズ解除）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▲約2,500円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5,700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▲約1,200円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$200,000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▲約500円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7,700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$400,000（現在）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$600,000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+約750円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8,950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5-3. USD/JPY × FV感応度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FV変化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FV（円）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145円（停戦→円高）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▲約1,000円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7,200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▲約400円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7,800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159円（現在）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8,200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163円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+約400円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8,600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168円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+約900円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9,100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5-4. 複合感応度マトリックス（USD/JPY × BDI）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BDI 1,500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BDI 2,095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BDI 3,000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USD/JPY 145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7,800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 159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USD/JPY 168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【1%感応度（Delta）】— 標準プロトコル出力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━━━━━━━━━━━━━━━━━━━━━━━━━━━━━━━━━━━━━━━━━━━━━━━━━━━━━━━━━━</w:t>
        <w:br/>
        <w:t>対象資産①: BDI（Baltic Dry Index）</w:t>
        <w:br/>
        <w:t>━━━━━━━━━━━━━━━━━━━━━━━━━━━━━━━━━━━━━━━━━━━━━━━━━━━━━━━━━━</w:t>
        <w:br/>
        <w:t>BDI +1%（2,095 → 2,116）:</w:t>
        <w:br/>
        <w:t xml:space="preserve">  → ドライバルク経常利益 +約5億円</w:t>
        <w:br/>
        <w:t xml:space="preserve">  → EPS影響 +約1.6円</w:t>
        <w:br/>
        <w:t xml:space="preserve">  → FV影響（PER10x） +約16円</w:t>
        <w:br/>
        <w:t xml:space="preserve">  → FV変化率: +0.19%</w:t>
        <w:br/>
        <w:br/>
        <w:t xml:space="preserve">  ∴ BDI +1% → 商船三井 Fair Value +0.19%</w:t>
        <w:br/>
        <w:br/>
        <w:t>━━━━━━━━━━━━━━━━━━━━━━━━━━━━━━━━━━━━━━━━━━━━━━━━━━━━━━━━━━</w:t>
        <w:br/>
        <w:t>対象資産②: VLCC タンカー運賃（TD3C TCE）</w:t>
        <w:br/>
        <w:t>━━━━━━━━━━━━━━━━━━━━━━━━━━━━━━━━━━━━━━━━━━━━━━━━━━━━━━━━━━</w:t>
        <w:br/>
        <w:t>VLCC TCE +1%（$400,000 → $404,000）:</w:t>
        <w:br/>
        <w:t xml:space="preserve">  → タンカー年間収益 +約20〜30億円</w:t>
        <w:br/>
        <w:t xml:space="preserve">  → EPS影響 +約6〜10円</w:t>
        <w:br/>
        <w:t xml:space="preserve">  → FV影響（PER10x） +約70〜100円</w:t>
        <w:br/>
        <w:t xml:space="preserve">  → FV変化率: +0.85〜1.22%</w:t>
        <w:br/>
        <w:br/>
        <w:t xml:space="preserve">  ∴ VLCC運賃 +1% → 商船三井 Fair Value +0.85〜1.22%（単独）</w:t>
        <w:br/>
        <w:br/>
        <w:t>━━━━━━━━━━━━━━━━━━━━━━━━━━━━━━━━━━━━━━━━━━━━━━━━━━━━━━━━━━</w:t>
        <w:br/>
        <w:t>【複合感応度（BDI+1% + USD/JPY +1円同時）】</w:t>
        <w:br/>
        <w:t xml:space="preserve">  BDI +1%: FV +16円（+0.19%）</w:t>
        <w:br/>
        <w:t xml:space="preserve">  USD/JPY +1円: FV +約25〜30円（+0.30〜0.37%）</w:t>
        <w:br/>
        <w:t xml:space="preserve">  複合Delta: FV +0.49〜0.56%/複合1%変動</w:t>
        <w:br/>
        <w:br/>
        <w:t>【ホルムズ解除フルシナリオ（VLCC-90% + 円高）】</w:t>
        <w:br/>
        <w:t xml:space="preserve">  VLCC: $400,000 → $40,000（▲90%）</w:t>
        <w:br/>
        <w:t xml:space="preserve">  USD/JPY: 159 → 150（▲5.7%）</w:t>
        <w:br/>
        <w:t xml:space="preserve">  FV: ¥8,200 → ¥5,700（▲30.5%）</w:t>
        <w:br/>
        <w:t xml:space="preserve">  現値¥6,473 → FV¥5,700: ▲11.9%</w:t>
        <w:br/>
        <w:br/>
        <w:t xml:space="preserve">  ∴ ホルムズ解除時、株価は¥4,800〜5,200まで一時急落リスク（PBR0.6〜0.7x）</w:t>
        <w:br/>
        <w:t>━━━━━━━━━━━━━━━━━━━━━━━━━━━━━━━━━━━━━━━━━━━━━━━━━━━━━━━━━━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重要結論: VLCC運賃の感応度（Delta 0.85〜1.22）がBDI（Delta 0.19）の4〜6倍。現環境では商船三井株はBDIよりもVLCC運賃・ホルムズ動向に強く連動。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シナリオA: ホルムズ完全正常化（最大下方リスク、確率15%）</w:t>
      </w:r>
    </w:p>
    <w:p/>
    <w:p>
      <w:r>
        <w:rPr>
          <w:rFonts w:ascii="Meiryo UI" w:hAnsi="Meiryo UI"/>
          <w:sz w:val="20"/>
        </w:rPr>
        <w:t>トリガー: 米・イラン合意 + イラン革命防衛隊のホルムズ規制撤廃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VLCC運賃: $400,000 → $40,000/day（▲90%）</w:t>
        <w:br/>
        <w:t>USD/JPY:  159 → 150（円高▲9円）</w:t>
        <w:br/>
        <w:t>BDI:      2,095 → 1,800（需要減少）</w:t>
        <w:br/>
        <w:br/>
        <w:t>FV試算:   ¥5,700（現値比▲12%）</w:t>
        <w:br/>
        <w:t>株価短期想定: ¥4,800〜5,200（PBR 0.6〜0.7倍まで売られる可能性）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シナリオB: ホルムズ高止まり継続（ベース、確率55%）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VLCC運賃: $400,000維持（6ヶ月）→ その後$200,000に軟化</w:t>
        <w:br/>
        <w:t>USD/JPY: 155〜162レンジ</w:t>
        <w:br/>
        <w:t>BDI:     2,000〜2,500</w:t>
        <w:br/>
        <w:t>FV:      ¥8,200（現値比+26.7%）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シナリオC: ホルムズ更なる悪化（ブル、確率20%）</w:t>
      </w:r>
    </w:p>
    <w:p/>
    <w:p>
      <w:r>
        <w:rPr>
          <w:rFonts w:ascii="Meiryo UI" w:hAnsi="Meiryo UI"/>
          <w:sz w:val="20"/>
        </w:rPr>
        <w:t>トリガー: イラン革命防衛隊による湾内船舶完全封鎖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VLCC運賃: $600,000/day超（WS600維持）</w:t>
        <w:br/>
        <w:t>USD/JPY: 165円超</w:t>
        <w:br/>
        <w:t>BDI: 3,000超（代替需要で回復）</w:t>
        <w:br/>
        <w:t>FV:  ¥10,000〜10,500（現値比+54〜62%）</w:t>
        <w:br/>
        <w:t>社長TP ¥9,168達成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シナリオD: 4/30決算上振れサプライズ（確率80%）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会社予想1,800億円 vs 深井修正2,400億円 → 上振れ率+33%</w:t>
        <w:br/>
        <w:t>Q4タンカー急騰（WS400〜600×2ヶ月）が初計上</w:t>
        <w:br/>
        <w:t>来期ガイダンス: 保守的発表で翌日株価軟化の可能性も</w:t>
        <w:br/>
        <w:t>→ 上振れ後の短期調整は追加買い場</w:t>
      </w:r>
    </w:p>
    <w:p/>
    <w:p>
      <w:pPr>
        <w:pStyle w:val="Heading3"/>
      </w:pPr>
      <w:r>
        <w:rPr>
          <w:rFonts w:ascii="Meiryo UI" w:hAnsi="Meiryo UI"/>
          <w:color w:val="2E74B5"/>
        </w:rPr>
        <w:t>Q-1前四半期（FY2026Q3）定性変化考察</w:t>
      </w:r>
    </w:p>
    <w:p/>
    <w:p>
      <w:r>
        <w:rPr>
          <w:rFonts w:ascii="Meiryo UI" w:hAnsi="Meiryo UI"/>
          <w:sz w:val="20"/>
        </w:rPr>
        <w:t>3Q（2025年10月〜12月）の特徴:</w:t>
      </w:r>
    </w:p>
    <w:p>
      <w:pPr>
        <w:pStyle w:val="ListBullet"/>
      </w:pPr>
      <w:r>
        <w:rPr>
          <w:rFonts w:ascii="Meiryo UI" w:hAnsi="Meiryo UI"/>
          <w:sz w:val="20"/>
        </w:rPr>
        <w:t>タンカー運賃はまだ正常水準（ホルムズ封鎖は2026年2月28日以降）</w:t>
      </w:r>
    </w:p>
    <w:p>
      <w:pPr>
        <w:pStyle w:val="ListBullet"/>
      </w:pPr>
      <w:r>
        <w:rPr>
          <w:rFonts w:ascii="Meiryo UI" w:hAnsi="Meiryo UI"/>
          <w:sz w:val="20"/>
        </w:rPr>
        <w:t>経常利益の上方修正（1,520→1,800億円）はコンテナ・LNG改善と円安</w:t>
      </w:r>
    </w:p>
    <w:p>
      <w:pPr>
        <w:pStyle w:val="ListBullet"/>
      </w:pPr>
      <w:r>
        <w:rPr>
          <w:rFonts w:ascii="Meiryo UI" w:hAnsi="Meiryo UI"/>
          <w:sz w:val="20"/>
        </w:rPr>
        <w:t>4Q（1〜3月）は戦時プレミアム全額反映の決算: VLCC記録的高値の2ヶ月分が初めて計上</w:t>
      </w:r>
    </w:p>
    <w:p>
      <w:pPr>
        <w:pStyle w:val="ListBullet"/>
      </w:pPr>
      <w:r>
        <w:rPr>
          <w:rFonts w:ascii="Meiryo UI" w:hAnsi="Meiryo UI"/>
          <w:sz w:val="20"/>
        </w:rPr>
        <w:t>4/30通期発表での「最終着地が会社予想1,800億円を大幅超過」が最重要カタリスト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ガイダンス発表（4/30）時の保守/積極的判定基準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実績経常利益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2,200億円超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積極的（深井修正超え）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追加買い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1,900〜2,200億円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ほぼ想定内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ホールド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1,800〜1,900億円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会社予想通り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様子見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1,800億円未満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保守的（来期下方リスク）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一部利確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第1ライン: ¥6,200〜6,500（現値水準・現在）</w:t>
        <w:br/>
        <w:t>第2ライン: ¥5,800〜6,000（下押し時・フルポジ追加）</w:t>
        <w:br/>
        <w:t>損切りライン: ¥5,500（BPSの70%水準）</w:t>
        <w:br/>
        <w:br/>
        <w:t>ポジション配分:</w:t>
        <w:br/>
        <w:t xml:space="preserve">  現値: 40%（逆張り初期ポジ）</w:t>
        <w:br/>
        <w:t xml:space="preserve">  ¥6,000割れ: 追加30%</w:t>
        <w:br/>
        <w:t xml:space="preserve">  ¥5,800: 最終30%</w:t>
      </w:r>
    </w:p>
    <w:p/>
    <w:p>
      <w:pPr>
        <w:pStyle w:val="Heading3"/>
      </w:pPr>
      <w:r>
        <w:rPr>
          <w:rFonts w:ascii="Meiryo UI" w:hAnsi="Meiryo UI"/>
          <w:color w:val="2E74B5"/>
        </w:rPr>
        <w:t>利確戦略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第1目標: ¥7,500（+16%）- 4/30決算上振れ時</w:t>
        <w:br/>
        <w:t>第2目標: ¥8,200（深井FV, +27%）- Elliott圧力×TP達成</w:t>
        <w:br/>
        <w:t>第3目標: ¥9,168（社長TP, +42%）- ホルムズ長期化継続シナリオ</w:t>
        <w:br/>
        <w:br/>
        <w:t>撤退トリガー（即座に売り）:</w:t>
        <w:br/>
        <w:t xml:space="preserve">  - 米・イラン停戦合意・ホルムズ開放の確報</w:t>
        <w:br/>
        <w:t xml:space="preserve">  - VLCC運賃が$200,000/day以下に急落</w:t>
        <w:br/>
        <w:t xml:space="preserve">  - USD/JPYが145円を割り込む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不動産・隠れ資産考察（全DR必須）</w:t>
      </w:r>
    </w:p>
    <w:p/>
    <w:p>
      <w:pPr>
        <w:pStyle w:val="Heading3"/>
      </w:pPr>
      <w:r>
        <w:rPr>
          <w:rFonts w:ascii="Meiryo UI" w:hAnsi="Meiryo UI"/>
          <w:color w:val="2E74B5"/>
        </w:rPr>
        <w:t>ダイビル（完全子会社）</w:t>
      </w:r>
    </w:p>
    <w:p/>
    <w:p>
      <w:pPr>
        <w:pStyle w:val="ListBullet"/>
      </w:pPr>
      <w:r>
        <w:rPr>
          <w:rFonts w:ascii="Meiryo UI" w:hAnsi="Meiryo UI"/>
          <w:sz w:val="20"/>
        </w:rPr>
        <w:t>商船三井は2021〜2022年にダイビルを完全子会社化（TOB代金約1,213億円）</w:t>
      </w:r>
    </w:p>
    <w:p>
      <w:pPr>
        <w:pStyle w:val="ListBullet"/>
      </w:pPr>
      <w:r>
        <w:rPr>
          <w:rFonts w:ascii="Meiryo UI" w:hAnsi="Meiryo UI"/>
          <w:sz w:val="20"/>
        </w:rPr>
        <w:t>ダイビルは東京・大阪を中心に約30棟のオフィスビル・商業施設を保有</w:t>
      </w:r>
    </w:p>
    <w:p>
      <w:pPr>
        <w:pStyle w:val="ListBullet"/>
      </w:pPr>
      <w:r>
        <w:rPr>
          <w:rFonts w:ascii="Meiryo UI" w:hAnsi="Meiryo UI"/>
          <w:sz w:val="20"/>
        </w:rPr>
        <w:t>Elliott Investment Managementが2026年3月に「ダイビル再上場・不動産NAV解放」を要求</w:t>
      </w:r>
    </w:p>
    <w:p/>
    <w:p>
      <w:r>
        <w:rPr>
          <w:rFonts w:ascii="Meiryo UI" w:hAnsi="Meiryo UI"/>
          <w:sz w:val="20"/>
        </w:rPr>
        <w:t>含み益推計（概算）: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ダイビル保有不動産時価: 推定3,000〜4,000億円</w:t>
        <w:br/>
        <w:t>帳簿価額との乖離: 推定+500〜1,500億円の含み益</w:t>
        <w:br/>
        <w:t>1株当たり隠れ資産: +160〜480円</w:t>
      </w:r>
    </w:p>
    <w:p/>
    <w:p>
      <w:pPr>
        <w:pStyle w:val="Heading3"/>
      </w:pPr>
      <w:r>
        <w:rPr>
          <w:rFonts w:ascii="Meiryo UI" w:hAnsi="Meiryo UI"/>
          <w:color w:val="2E74B5"/>
        </w:rPr>
        <w:t>海外ターミナル・港湾資産</w:t>
      </w:r>
    </w:p>
    <w:p/>
    <w:p>
      <w:pPr>
        <w:pStyle w:val="ListBullet"/>
      </w:pPr>
      <w:r>
        <w:rPr>
          <w:rFonts w:ascii="Meiryo UI" w:hAnsi="Meiryo UI"/>
          <w:sz w:val="20"/>
        </w:rPr>
        <w:t>Jacksonville（米）、ベトナム、LA、東京など複数港湾ターミナル保有</w:t>
      </w:r>
    </w:p>
    <w:p>
      <w:pPr>
        <w:pStyle w:val="ListBullet"/>
      </w:pPr>
      <w:r>
        <w:rPr>
          <w:rFonts w:ascii="Meiryo UI" w:hAnsi="Meiryo UI"/>
          <w:sz w:val="20"/>
        </w:rPr>
        <w:t>不動産投資4,000億円計画（2022年発表）の進捗分が保有資産として積み上がり</w:t>
      </w:r>
    </w:p>
    <w:p/>
    <w:p>
      <w:pPr>
        <w:pStyle w:val="Heading3"/>
      </w:pPr>
      <w:r>
        <w:rPr>
          <w:rFonts w:ascii="Meiryo UI" w:hAnsi="Meiryo UI"/>
          <w:color w:val="2E74B5"/>
        </w:rPr>
        <w:t>NAV修正PBR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BPS通常:  7,870円</w:t>
        <w:br/>
        <w:t>不動産含み益加算（+320円推定中央値）</w:t>
        <w:br/>
        <w:t>修正BPS:  8,190円</w:t>
        <w:br/>
        <w:t>現在株価: 6,473円</w:t>
        <w:br/>
        <w:t>修正PBR:  0.79倍（含み益考慮後でもPBR&lt;1倍）</w:t>
      </w:r>
    </w:p>
    <w:p/>
    <w:p>
      <w:r>
        <w:rPr>
          <w:rFonts w:ascii="Meiryo UI" w:hAnsi="Meiryo UI"/>
          <w:sz w:val="20"/>
        </w:rPr>
        <w:t>Elliott圧力によるダイビル再上場が実現すれば、時価評価への修正で+200〜500円/株の追加価値解放が起こりうる。これが中期最重要カタリスト。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作成者: 深井（竹村トレードカンパニー）</w:t>
      </w:r>
    </w:p>
    <w:p>
      <w:r>
        <w:rPr>
          <w:rFonts w:ascii="Meiryo UI" w:hAnsi="Meiryo UI"/>
          <w:sz w:val="20"/>
        </w:rPr>
        <w:t>分析日: 2026-04-11</w:t>
      </w:r>
    </w:p>
    <w:p>
      <w:r>
        <w:rPr>
          <w:rFonts w:ascii="Meiryo UI" w:hAnsi="Meiryo UI"/>
          <w:sz w:val="20"/>
        </w:rPr>
        <w:t>市況プロトコル: v1（2026-04-11恒久化）</w:t>
      </w:r>
    </w:p>
    <w:p/>
    <w:p>
      <w:r>
        <w:rPr>
          <w:rFonts w:ascii="Meiryo UI" w:hAnsi="Meiryo UI"/>
          <w:sz w:val="20"/>
        </w:rPr>
        <w:t>データソース（確定値）:</w:t>
      </w:r>
    </w:p>
    <w:p>
      <w:pPr>
        <w:pStyle w:val="ListBullet"/>
      </w:pPr>
      <w:r>
        <w:rPr>
          <w:rFonts w:ascii="Meiryo UI" w:hAnsi="Meiryo UI"/>
          <w:sz w:val="20"/>
        </w:rPr>
        <w:t>株価: ¥6,473（4/10終値 / Yahoo Finance検索確認）</w:t>
      </w:r>
    </w:p>
    <w:p>
      <w:pPr>
        <w:pStyle w:val="ListBullet"/>
      </w:pPr>
      <w:r>
        <w:rPr>
          <w:rFonts w:ascii="Meiryo UI" w:hAnsi="Meiryo UI"/>
          <w:sz w:val="20"/>
        </w:rPr>
        <w:t>BDI: 2,095 / BCI: 3,220 / BPI: 1,823（Baltic Exchange 4/8〜4/9）</w:t>
      </w:r>
    </w:p>
    <w:p>
      <w:pPr>
        <w:pStyle w:val="ListBullet"/>
      </w:pPr>
      <w:r>
        <w:rPr>
          <w:rFonts w:ascii="Meiryo UI" w:hAnsi="Meiryo UI"/>
          <w:sz w:val="20"/>
        </w:rPr>
        <w:t>VLCC TD3C: WS427 / $400,000/day超（Lloyd's List / Seatrade Maritime）</w:t>
      </w:r>
    </w:p>
    <w:p>
      <w:pPr>
        <w:pStyle w:val="ListBullet"/>
      </w:pPr>
      <w:r>
        <w:rPr>
          <w:rFonts w:ascii="Meiryo UI" w:hAnsi="Meiryo UI"/>
          <w:sz w:val="20"/>
        </w:rPr>
        <w:t>SCFI/FBX: コンテナ運賃正常化水準（2026年2月）</w:t>
      </w:r>
    </w:p>
    <w:p>
      <w:pPr>
        <w:pStyle w:val="ListBullet"/>
      </w:pPr>
      <w:r>
        <w:rPr>
          <w:rFonts w:ascii="Meiryo UI" w:hAnsi="Meiryo UI"/>
          <w:sz w:val="20"/>
        </w:rPr>
        <w:t>VLSFO: $757〜888/MT（Singapore 4/8時点）</w:t>
      </w:r>
    </w:p>
    <w:p>
      <w:pPr>
        <w:pStyle w:val="ListBullet"/>
      </w:pPr>
      <w:r>
        <w:rPr>
          <w:rFonts w:ascii="Meiryo UI" w:hAnsi="Meiryo UI"/>
          <w:sz w:val="20"/>
        </w:rPr>
        <w:t>USD/JPY: 159.26（取得済み）</w:t>
      </w:r>
    </w:p>
    <w:p>
      <w:pPr>
        <w:pStyle w:val="ListBullet"/>
      </w:pPr>
      <w:r>
        <w:rPr>
          <w:rFonts w:ascii="Meiryo UI" w:hAnsi="Meiryo UI"/>
          <w:sz w:val="20"/>
        </w:rPr>
        <w:t>FY2026Q1-Q3実績・上方修正: 商船三井IR（2026/1/30）</w:t>
      </w:r>
    </w:p>
    <w:p>
      <w:pPr>
        <w:pStyle w:val="ListBullet"/>
      </w:pPr>
      <w:r>
        <w:rPr>
          <w:rFonts w:ascii="Meiryo UI" w:hAnsi="Meiryo UI"/>
          <w:sz w:val="20"/>
        </w:rPr>
        <w:t>Elliott参入: Hedgeweek 2026年3月</w:t>
      </w:r>
    </w:p>
    <w:p>
      <w:pPr>
        <w:pStyle w:val="ListBullet"/>
      </w:pPr>
      <w:r>
        <w:rPr>
          <w:rFonts w:ascii="Meiryo UI" w:hAnsi="Meiryo UI"/>
          <w:sz w:val="20"/>
        </w:rPr>
        <w:t>ダイビル含み益推計: 深井モデル</w:t>
      </w:r>
    </w:p>
    <w:p>
      <w:pPr>
        <w:pStyle w:val="ListBullet"/>
      </w:pPr>
      <w:r>
        <w:rPr>
          <w:rFonts w:ascii="Meiryo UI" w:hAnsi="Meiryo UI"/>
          <w:sz w:val="20"/>
        </w:rPr>
        <w:t>Rf: 2.380%固定 | WACC: 10.08% | β: 1.40</w:t>
      </w:r>
    </w:p>
    <w:p>
      <w:pPr>
        <w:pStyle w:val="ListBullet"/>
      </w:pPr>
      <w:r>
        <w:rPr>
          <w:rFonts w:ascii="Meiryo UI" w:hAnsi="Meiryo UI"/>
          <w:sz w:val="20"/>
        </w:rPr>
        <w:t>社長TP: ¥9,168（reference_shacho_watchlist_20260411.md）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