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 Research — 9104 商船三井（Mitsui O.S.K. Lines）</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深井 Deep Research — 9104 商船三井（Mitsui O.S.K. Lines）</w:t>
      </w:r>
    </w:p>
    <w:p>
      <w:pPr>
        <w:pStyle w:val="Heading3"/>
      </w:pPr>
      <w:r>
        <w:rPr>
          <w:rFonts w:ascii="Meiryo UI" w:hAnsi="Meiryo UI"/>
          <w:color w:val="2E74B5"/>
        </w:rPr>
        <w:t>竹村トレードカンパニー / 作成日：2026年4月27日（月）</w:t>
      </w:r>
    </w:p>
    <w:p/>
    <w:p>
      <w:r>
        <w:t>──────────────────────────────────────────────────</w:t>
      </w:r>
    </w:p>
    <w:p/>
    <w:p>
      <w:pPr>
        <w:pStyle w:val="Heading2"/>
      </w:pPr>
      <w:r>
        <w:rPr>
          <w:rFonts w:ascii="Meiryo UI" w:hAnsi="Meiryo UI"/>
          <w:color w:val="2E74B5"/>
        </w:rPr>
        <w:t>IRページ・コンタクト先（自律取得）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公式IRページ</w:t>
            </w:r>
          </w:p>
        </w:tc>
        <w:tc>
          <w:tcPr>
            <w:tcW w:type="dxa" w:w="4703"/>
          </w:tcPr>
          <w:p>
            <w:r>
              <w:rPr>
                <w:rFonts w:ascii="Meiryo UI" w:hAnsi="Meiryo UI"/>
                <w:sz w:val="18"/>
              </w:rPr>
              <w:t>https://ir.mol.co.jp/ja/ir.html</w:t>
            </w:r>
          </w:p>
        </w:tc>
      </w:tr>
      <w:tr>
        <w:tc>
          <w:tcPr>
            <w:tcW w:type="dxa" w:w="4703"/>
            <w:shd w:val="clear" w:color="auto" w:fill="DDEBF7"/>
          </w:tcPr>
          <w:p>
            <w:r>
              <w:rPr>
                <w:rFonts w:ascii="Meiryo UI" w:hAnsi="Meiryo UI"/>
                <w:sz w:val="18"/>
              </w:rPr>
              <w:t>IR資料室（決算短信）</w:t>
            </w:r>
          </w:p>
        </w:tc>
        <w:tc>
          <w:tcPr>
            <w:tcW w:type="dxa" w:w="4703"/>
            <w:shd w:val="clear" w:color="auto" w:fill="DDEBF7"/>
          </w:tcPr>
          <w:p>
            <w:r>
              <w:rPr>
                <w:rFonts w:ascii="Meiryo UI" w:hAnsi="Meiryo UI"/>
                <w:sz w:val="18"/>
              </w:rPr>
              <w:t>https://ir.mol.co.jp/ja/ir/library/mrsfcfh.html</w:t>
            </w:r>
          </w:p>
        </w:tc>
      </w:tr>
      <w:tr>
        <w:tc>
          <w:tcPr>
            <w:tcW w:type="dxa" w:w="4703"/>
          </w:tcPr>
          <w:p>
            <w:r>
              <w:rPr>
                <w:rFonts w:ascii="Meiryo UI" w:hAnsi="Meiryo UI"/>
                <w:sz w:val="18"/>
              </w:rPr>
              <w:t>IRニュース</w:t>
            </w:r>
          </w:p>
        </w:tc>
        <w:tc>
          <w:tcPr>
            <w:tcW w:type="dxa" w:w="4703"/>
          </w:tcPr>
          <w:p>
            <w:r>
              <w:rPr>
                <w:rFonts w:ascii="Meiryo UI" w:hAnsi="Meiryo UI"/>
                <w:sz w:val="18"/>
              </w:rPr>
              <w:t>https://ir.mol.co.jp/ja/ir/ir_news.html</w:t>
            </w:r>
          </w:p>
        </w:tc>
      </w:tr>
      <w:tr>
        <w:tc>
          <w:tcPr>
            <w:tcW w:type="dxa" w:w="4703"/>
            <w:shd w:val="clear" w:color="auto" w:fill="DDEBF7"/>
          </w:tcPr>
          <w:p>
            <w:r>
              <w:rPr>
                <w:rFonts w:ascii="Meiryo UI" w:hAnsi="Meiryo UI"/>
                <w:sz w:val="18"/>
              </w:rPr>
              <w:t>次回決算発表日</w:t>
            </w:r>
          </w:p>
        </w:tc>
        <w:tc>
          <w:tcPr>
            <w:tcW w:type="dxa" w:w="4703"/>
            <w:shd w:val="clear" w:color="auto" w:fill="DDEBF7"/>
          </w:tcPr>
          <w:p>
            <w:r>
              <w:rPr>
                <w:rFonts w:ascii="Meiryo UI" w:hAnsi="Meiryo UI"/>
                <w:sz w:val="18"/>
              </w:rPr>
              <w:t>2026年4月30日（木）12:00 JST（FY2026/3月期通期） ← 3日後</w:t>
            </w:r>
          </w:p>
        </w:tc>
      </w:tr>
      <w:tr>
        <w:tc>
          <w:tcPr>
            <w:tcW w:type="dxa" w:w="4703"/>
          </w:tcPr>
          <w:p>
            <w:r>
              <w:rPr>
                <w:rFonts w:ascii="Meiryo UI" w:hAnsi="Meiryo UI"/>
                <w:sz w:val="18"/>
              </w:rPr>
              <w:t>IR部門コンタクト</w:t>
            </w:r>
          </w:p>
        </w:tc>
        <w:tc>
          <w:tcPr>
            <w:tcW w:type="dxa" w:w="4703"/>
          </w:tcPr>
          <w:p>
            <w:r>
              <w:rPr>
                <w:rFonts w:ascii="Meiryo UI" w:hAnsi="Meiryo UI"/>
                <w:sz w:val="18"/>
              </w:rPr>
              <w:t>https://ir.mol.co.jp/ja/ir.html（問い合わせフォーム経由）</w:t>
            </w:r>
          </w:p>
        </w:tc>
      </w:tr>
      <w:tr>
        <w:tc>
          <w:tcPr>
            <w:tcW w:type="dxa" w:w="4703"/>
            <w:shd w:val="clear" w:color="auto" w:fill="DDEBF7"/>
          </w:tcPr>
          <w:p>
            <w:r>
              <w:rPr>
                <w:rFonts w:ascii="Meiryo UI" w:hAnsi="Meiryo UI"/>
                <w:sz w:val="18"/>
              </w:rPr>
              <w:t>代表取締役社長</w:t>
            </w:r>
          </w:p>
        </w:tc>
        <w:tc>
          <w:tcPr>
            <w:tcW w:type="dxa" w:w="4703"/>
            <w:shd w:val="clear" w:color="auto" w:fill="DDEBF7"/>
          </w:tcPr>
          <w:p>
            <w:r>
              <w:rPr>
                <w:rFonts w:ascii="Meiryo UI" w:hAnsi="Meiryo UI"/>
                <w:sz w:val="18"/>
              </w:rPr>
              <w:t>田村丈太郎（2026年4月1日就任）</w:t>
            </w:r>
          </w:p>
        </w:tc>
      </w:tr>
    </w:tbl>
    <w:p/>
    <w:p>
      <w:r>
        <w:rPr>
          <w:rFonts w:ascii="Meiryo UI" w:hAnsi="Meiryo UI"/>
          <w:sz w:val="20"/>
        </w:rPr>
        <w:t>&gt; ⚠️ 決算3日前。4/30 12:00の発表が最重要カタリスト。本玉執行は発表後確認が原則。</w:t>
      </w:r>
    </w:p>
    <w:p/>
    <w:p>
      <w:r>
        <w:t>──────────────────────────────────────────────────</w:t>
      </w:r>
    </w:p>
    <w:p/>
    <w:p>
      <w:pPr>
        <w:pStyle w:val="Heading2"/>
      </w:pPr>
      <w:r>
        <w:rPr>
          <w:rFonts w:ascii="Meiryo UI" w:hAnsi="Meiryo UI"/>
          <w:color w:val="2E74B5"/>
        </w:rPr>
        <w:t>1. 冒頭10秒サマリー（結論ファースト）</w:t>
      </w:r>
    </w:p>
    <w:p/>
    <w:p>
      <w:pPr>
        <w:shd w:val="clear" w:color="auto" w:fill="F2F2F2"/>
      </w:pPr>
      <w:r>
        <w:rPr>
          <w:rFonts w:ascii="Courier New" w:hAnsi="Courier New"/>
          <w:sz w:val="16"/>
        </w:rPr>
        <w:t>━━━━━━━━━━━━━━━━━━━━━━━━━━━━━━━━━━━━━━━━</w:t>
        <w:br/>
        <w:t xml:space="preserve">  投資判断：BUY（条件付き）    スコア：+72</w:t>
        <w:br/>
        <w:t xml:space="preserve">  TP Base：¥7,200  Bull：¥9,500  Bear：¥4,800</w:t>
        <w:br/>
        <w:t xml:space="preserve">  現値（4/25推定）：¥5,824（▲4.87%）</w:t>
        <w:br/>
        <w:t xml:space="preserve">  安全域（Base TP比）：+23.6%</w:t>
        <w:br/>
        <w:t>━━━━━━━━━━━━━━━━━━━━━━━━━━━━━━━━━━━━━━━━</w:t>
      </w:r>
    </w:p>
    <w:p/>
    <w:p>
      <w:pPr>
        <w:pStyle w:val="Heading3"/>
      </w:pPr>
      <w:r>
        <w:rPr>
          <w:rFonts w:ascii="Meiryo UI" w:hAnsi="Meiryo UI"/>
          <w:color w:val="2E74B5"/>
        </w:rPr>
        <w:t>強気3弾丸</w:t>
      </w:r>
    </w:p>
    <w:p>
      <w:pPr>
        <w:pStyle w:val="ListNumber"/>
      </w:pPr>
      <w:r>
        <w:rPr>
          <w:rFonts w:ascii="Meiryo UI" w:hAnsi="Meiryo UI"/>
          <w:sz w:val="20"/>
        </w:rPr>
        <w:t>RSI=28・PBR=0.74× ── 海運ピーク時比で割安圏。Elliott参入によるアクティビスト圧力が資本政策改善（累進配当205円起点・自社株買い40%目標）を具体化。バリュー×触媒の二重整合</w:t>
      </w:r>
    </w:p>
    <w:p>
      <w:pPr>
        <w:pStyle w:val="ListNumber"/>
      </w:pPr>
      <w:r>
        <w:rPr>
          <w:rFonts w:ascii="Meiryo UI" w:hAnsi="Meiryo UI"/>
          <w:sz w:val="20"/>
        </w:rPr>
        <w:t>ホルムズ新提案（Axios 4/27）はタンカー市況のネガよりもLNG長期契約の安定性で相殺 ── MOLのLNG船は90%超が長期TC（タイムチャーター）固定。スポット市況激変の直撃軽微。コンテナ(ONE)は1,886点（CCFI/4月）で前月比+10.5%・前年比+40%と堅調維持</w:t>
      </w:r>
    </w:p>
    <w:p>
      <w:pPr>
        <w:pStyle w:val="ListNumber"/>
      </w:pPr>
      <w:r>
        <w:rPr>
          <w:rFonts w:ascii="Meiryo UI" w:hAnsi="Meiryo UI"/>
          <w:sz w:val="20"/>
        </w:rPr>
        <w:t>4/30決算でFY2027初年度計画開示予定 ── BLUE ACTION 2035 Phase 2（累進配当・総還元40%・不動産含み益顕在化）の具体数字が判明すれば株価再評価の起爆剤</w:t>
      </w:r>
    </w:p>
    <w:p/>
    <w:p>
      <w:pPr>
        <w:pStyle w:val="Heading3"/>
      </w:pPr>
      <w:r>
        <w:rPr>
          <w:rFonts w:ascii="Meiryo UI" w:hAnsi="Meiryo UI"/>
          <w:color w:val="2E74B5"/>
        </w:rPr>
        <w:t>最大リスク1点</w:t>
      </w:r>
    </w:p>
    <w:p>
      <w:pPr>
        <w:pStyle w:val="ListBullet"/>
      </w:pPr>
      <w:r>
        <w:rPr>
          <w:rFonts w:ascii="Meiryo UI" w:hAnsi="Meiryo UI"/>
          <w:sz w:val="20"/>
        </w:rPr>
        <w:t>ホルムズ完全解決シナリオ：VLCC運賃が歴史的高値（$423,000～445,000/日）から急崩落すれば、タンカーセグメントOP直撃。4/27 VLCC急落（大幅利益剥落懸念）が本日▲4.87%の直接原因</w:t>
      </w:r>
    </w:p>
    <w:p/>
    <w:p>
      <w:pPr>
        <w:pStyle w:val="Heading3"/>
      </w:pPr>
      <w:r>
        <w:rPr>
          <w:rFonts w:ascii="Meiryo UI" w:hAnsi="Meiryo UI"/>
          <w:color w:val="2E74B5"/>
        </w:rPr>
        <w:t>推奨アクション</w:t>
      </w:r>
    </w:p>
    <w:p>
      <w:pPr>
        <w:shd w:val="clear" w:color="auto" w:fill="F2F2F2"/>
      </w:pPr>
      <w:r>
        <w:rPr>
          <w:rFonts w:ascii="Courier New" w:hAnsi="Courier New"/>
          <w:sz w:val="16"/>
        </w:rPr>
        <w:t>今すぐ打診：20%（RSI28×PBR0.74の極端な割安×決算直前）</w:t>
        <w:br/>
        <w:t>本玉：4/30決算発表後 FY2027ガイダンスと配当方針確認後に追加50%</w:t>
        <w:br/>
        <w:t>損切ライン：¥5,200割れ（BPS乖離とBear TPの中間）</w:t>
      </w:r>
    </w:p>
    <w:p/>
    <w:p>
      <w:r>
        <w:t>──────────────────────────────────────────────────</w:t>
      </w:r>
    </w:p>
    <w:p/>
    <w:p>
      <w:pPr>
        <w:pStyle w:val="Heading2"/>
      </w:pPr>
      <w:r>
        <w:rPr>
          <w:rFonts w:ascii="Meiryo UI" w:hAnsi="Meiryo UI"/>
          <w:color w:val="2E74B5"/>
        </w:rPr>
        <w:t>2. 企業概要・セグメント別分析</w:t>
      </w:r>
    </w:p>
    <w:p/>
    <w:p>
      <w:pPr>
        <w:pStyle w:val="Heading3"/>
      </w:pPr>
      <w:r>
        <w:rPr>
          <w:rFonts w:ascii="Meiryo UI" w:hAnsi="Meiryo UI"/>
          <w:color w:val="2E74B5"/>
        </w:rPr>
        <w:t>会社概要</w:t>
      </w:r>
    </w:p>
    <w:p>
      <w:pPr>
        <w:pStyle w:val="ListBullet"/>
      </w:pPr>
      <w:r>
        <w:rPr>
          <w:rFonts w:ascii="Meiryo UI" w:hAnsi="Meiryo UI"/>
          <w:sz w:val="20"/>
        </w:rPr>
        <w:t>商号：株式会社商船三井（Mitsui O.S.K. Lines, Ltd.）</w:t>
      </w:r>
    </w:p>
    <w:p>
      <w:pPr>
        <w:pStyle w:val="ListBullet"/>
      </w:pPr>
      <w:r>
        <w:rPr>
          <w:rFonts w:ascii="Meiryo UI" w:hAnsi="Meiryo UI"/>
          <w:sz w:val="20"/>
        </w:rPr>
        <w:t>設立：1884年（創業）</w:t>
      </w:r>
    </w:p>
    <w:p>
      <w:pPr>
        <w:pStyle w:val="ListBullet"/>
      </w:pPr>
      <w:r>
        <w:rPr>
          <w:rFonts w:ascii="Meiryo UI" w:hAnsi="Meiryo UI"/>
          <w:sz w:val="20"/>
        </w:rPr>
        <w:t>上場：東証プライム（コード：9104）</w:t>
      </w:r>
    </w:p>
    <w:p>
      <w:pPr>
        <w:pStyle w:val="ListBullet"/>
      </w:pPr>
      <w:r>
        <w:rPr>
          <w:rFonts w:ascii="Meiryo UI" w:hAnsi="Meiryo UI"/>
          <w:sz w:val="20"/>
        </w:rPr>
        <w:t>決算期：3月期</w:t>
      </w:r>
    </w:p>
    <w:p>
      <w:pPr>
        <w:pStyle w:val="ListBullet"/>
      </w:pPr>
      <w:r>
        <w:rPr>
          <w:rFonts w:ascii="Meiryo UI" w:hAnsi="Meiryo UI"/>
          <w:sz w:val="20"/>
        </w:rPr>
        <w:t>所在地：東京都港区虎ノ門2-1-1</w:t>
      </w:r>
    </w:p>
    <w:p/>
    <w:p>
      <w:pPr>
        <w:pStyle w:val="Heading3"/>
      </w:pPr>
      <w:r>
        <w:rPr>
          <w:rFonts w:ascii="Meiryo UI" w:hAnsi="Meiryo UI"/>
          <w:color w:val="2E74B5"/>
        </w:rPr>
        <w:t>セグメント構成（FY2026/3Q累計実績ベース・公式開示値）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特徴</w:t>
            </w:r>
          </w:p>
        </w:tc>
        <w:tc>
          <w:tcPr>
            <w:tcW w:type="dxa" w:w="3135"/>
            <w:shd w:val="clear" w:color="auto" w:fill="2E74B5"/>
          </w:tcPr>
          <w:p>
            <w:r>
              <w:rPr>
                <w:rFonts w:ascii="Meiryo UI" w:hAnsi="Meiryo UI"/>
                <w:b/>
                <w:color w:val="FFFFFF"/>
                <w:sz w:val="18"/>
              </w:rPr>
              <w:t>FY2026の動向</w:t>
            </w:r>
          </w:p>
        </w:tc>
      </w:tr>
      <w:tr>
        <w:tc>
          <w:tcPr>
            <w:tcW w:type="dxa" w:w="3135"/>
          </w:tcPr>
          <w:p>
            <w:r>
              <w:rPr>
                <w:rFonts w:ascii="Meiryo UI" w:hAnsi="Meiryo UI"/>
                <w:sz w:val="18"/>
              </w:rPr>
              <w:t>コンテナ船（ONE経由）</w:t>
            </w:r>
          </w:p>
        </w:tc>
        <w:tc>
          <w:tcPr>
            <w:tcW w:type="dxa" w:w="3135"/>
          </w:tcPr>
          <w:p>
            <w:r>
              <w:rPr>
                <w:rFonts w:ascii="Meiryo UI" w:hAnsi="Meiryo UI"/>
                <w:sz w:val="18"/>
              </w:rPr>
              <w:t>世界6位のコンテナ船社。MOLは31%出資</w:t>
            </w:r>
          </w:p>
        </w:tc>
        <w:tc>
          <w:tcPr>
            <w:tcW w:type="dxa" w:w="3135"/>
          </w:tcPr>
          <w:p>
            <w:r>
              <w:rPr>
                <w:rFonts w:ascii="Meiryo UI" w:hAnsi="Meiryo UI"/>
                <w:sz w:val="18"/>
              </w:rPr>
              <w:t>ONE純利益$4,244M（FY2025実績）、FY2026は市況正常化で減益</w:t>
            </w:r>
          </w:p>
        </w:tc>
      </w:tr>
      <w:tr>
        <w:tc>
          <w:tcPr>
            <w:tcW w:type="dxa" w:w="3135"/>
            <w:shd w:val="clear" w:color="auto" w:fill="DDEBF7"/>
          </w:tcPr>
          <w:p>
            <w:r>
              <w:rPr>
                <w:rFonts w:ascii="Meiryo UI" w:hAnsi="Meiryo UI"/>
                <w:sz w:val="18"/>
              </w:rPr>
              <w:t>ドライバルク</w:t>
            </w:r>
          </w:p>
        </w:tc>
        <w:tc>
          <w:tcPr>
            <w:tcW w:type="dxa" w:w="3135"/>
            <w:shd w:val="clear" w:color="auto" w:fill="DDEBF7"/>
          </w:tcPr>
          <w:p>
            <w:r>
              <w:rPr>
                <w:rFonts w:ascii="Meiryo UI" w:hAnsi="Meiryo UI"/>
                <w:sz w:val="18"/>
              </w:rPr>
              <w:t>Capesize中心。鉄鋼・穀物・石炭</w:t>
            </w:r>
          </w:p>
        </w:tc>
        <w:tc>
          <w:tcPr>
            <w:tcW w:type="dxa" w:w="3135"/>
            <w:shd w:val="clear" w:color="auto" w:fill="DDEBF7"/>
          </w:tcPr>
          <w:p>
            <w:r>
              <w:rPr>
                <w:rFonts w:ascii="Meiryo UI" w:hAnsi="Meiryo UI"/>
                <w:sz w:val="18"/>
              </w:rPr>
              <w:t>BDI中位水準（2,600台）で安定。鉄鉱石在庫積み上がりで上値重い</w:t>
            </w:r>
          </w:p>
        </w:tc>
      </w:tr>
      <w:tr>
        <w:tc>
          <w:tcPr>
            <w:tcW w:type="dxa" w:w="3135"/>
          </w:tcPr>
          <w:p>
            <w:r>
              <w:rPr>
                <w:rFonts w:ascii="Meiryo UI" w:hAnsi="Meiryo UI"/>
                <w:sz w:val="18"/>
              </w:rPr>
              <w:t>エネルギー（LNG船）</w:t>
            </w:r>
          </w:p>
        </w:tc>
        <w:tc>
          <w:tcPr>
            <w:tcW w:type="dxa" w:w="3135"/>
          </w:tcPr>
          <w:p>
            <w:r>
              <w:rPr>
                <w:rFonts w:ascii="Meiryo UI" w:hAnsi="Meiryo UI"/>
                <w:sz w:val="18"/>
              </w:rPr>
              <w:t>LNG船104隻超の世界最大級艦隊。長期TC中心</w:t>
            </w:r>
          </w:p>
        </w:tc>
        <w:tc>
          <w:tcPr>
            <w:tcW w:type="dxa" w:w="3135"/>
          </w:tcPr>
          <w:p>
            <w:r>
              <w:rPr>
                <w:rFonts w:ascii="Meiryo UI" w:hAnsi="Meiryo UI"/>
                <w:sz w:val="18"/>
              </w:rPr>
              <w:t>JKM＄15.2/MMBTU。TC固定で安定。MOLの収益柱</w:t>
            </w:r>
          </w:p>
        </w:tc>
      </w:tr>
      <w:tr>
        <w:tc>
          <w:tcPr>
            <w:tcW w:type="dxa" w:w="3135"/>
            <w:shd w:val="clear" w:color="auto" w:fill="DDEBF7"/>
          </w:tcPr>
          <w:p>
            <w:r>
              <w:rPr>
                <w:rFonts w:ascii="Meiryo UI" w:hAnsi="Meiryo UI"/>
                <w:sz w:val="18"/>
              </w:rPr>
              <w:t>タンカー（VLCC・ケミカル）</w:t>
            </w:r>
          </w:p>
        </w:tc>
        <w:tc>
          <w:tcPr>
            <w:tcW w:type="dxa" w:w="3135"/>
            <w:shd w:val="clear" w:color="auto" w:fill="DDEBF7"/>
          </w:tcPr>
          <w:p>
            <w:r>
              <w:rPr>
                <w:rFonts w:ascii="Meiryo UI" w:hAnsi="Meiryo UI"/>
                <w:sz w:val="18"/>
              </w:rPr>
              <w:t>VLCC・Suezmax・ケミカル</w:t>
            </w:r>
          </w:p>
        </w:tc>
        <w:tc>
          <w:tcPr>
            <w:tcW w:type="dxa" w:w="3135"/>
            <w:shd w:val="clear" w:color="auto" w:fill="DDEBF7"/>
          </w:tcPr>
          <w:p>
            <w:r>
              <w:rPr>
                <w:rFonts w:ascii="Meiryo UI" w:hAnsi="Meiryo UI"/>
                <w:sz w:val="18"/>
              </w:rPr>
              <w:t>ホルムズ危機でVLCC$423,000-445,000/日の歴史的高値→新提案で軟化リスク</w:t>
            </w:r>
          </w:p>
        </w:tc>
      </w:tr>
      <w:tr>
        <w:tc>
          <w:tcPr>
            <w:tcW w:type="dxa" w:w="3135"/>
          </w:tcPr>
          <w:p>
            <w:r>
              <w:rPr>
                <w:rFonts w:ascii="Meiryo UI" w:hAnsi="Meiryo UI"/>
                <w:sz w:val="18"/>
              </w:rPr>
              <w:t>不動産（ダイビル）</w:t>
            </w:r>
          </w:p>
        </w:tc>
        <w:tc>
          <w:tcPr>
            <w:tcW w:type="dxa" w:w="3135"/>
          </w:tcPr>
          <w:p>
            <w:r>
              <w:rPr>
                <w:rFonts w:ascii="Meiryo UI" w:hAnsi="Meiryo UI"/>
                <w:sz w:val="18"/>
              </w:rPr>
              <w:t>東京・大阪の優良オフィスビル</w:t>
            </w:r>
          </w:p>
        </w:tc>
        <w:tc>
          <w:tcPr>
            <w:tcW w:type="dxa" w:w="3135"/>
          </w:tcPr>
          <w:p>
            <w:r>
              <w:rPr>
                <w:rFonts w:ascii="Meiryo UI" w:hAnsi="Meiryo UI"/>
                <w:sz w:val="18"/>
              </w:rPr>
              <w:t>2022年完全子会社化。含み益約2,480億円（非連結）</w:t>
            </w:r>
          </w:p>
        </w:tc>
      </w:tr>
      <w:tr>
        <w:tc>
          <w:tcPr>
            <w:tcW w:type="dxa" w:w="3135"/>
            <w:shd w:val="clear" w:color="auto" w:fill="DDEBF7"/>
          </w:tcPr>
          <w:p>
            <w:r>
              <w:rPr>
                <w:rFonts w:ascii="Meiryo UI" w:hAnsi="Meiryo UI"/>
                <w:sz w:val="18"/>
              </w:rPr>
              <w:t>その他・内航船</w:t>
            </w:r>
          </w:p>
        </w:tc>
        <w:tc>
          <w:tcPr>
            <w:tcW w:type="dxa" w:w="3135"/>
            <w:shd w:val="clear" w:color="auto" w:fill="DDEBF7"/>
          </w:tcPr>
          <w:p>
            <w:r>
              <w:rPr>
                <w:rFonts w:ascii="Meiryo UI" w:hAnsi="Meiryo UI"/>
                <w:sz w:val="18"/>
              </w:rPr>
              <w:t>フェリー・内航タンカー</w:t>
            </w:r>
          </w:p>
        </w:tc>
        <w:tc>
          <w:tcPr>
            <w:tcW w:type="dxa" w:w="3135"/>
            <w:shd w:val="clear" w:color="auto" w:fill="DDEBF7"/>
          </w:tcPr>
          <w:p>
            <w:r>
              <w:rPr>
                <w:rFonts w:ascii="Meiryo UI" w:hAnsi="Meiryo UI"/>
                <w:sz w:val="18"/>
              </w:rPr>
              <w:t>安定的</w:t>
            </w:r>
          </w:p>
        </w:tc>
      </w:tr>
    </w:tbl>
    <w:p/>
    <w:p>
      <w:pPr>
        <w:pStyle w:val="Heading3"/>
      </w:pPr>
      <w:r>
        <w:rPr>
          <w:rFonts w:ascii="Meiryo UI" w:hAnsi="Meiryo UI"/>
          <w:color w:val="2E74B5"/>
        </w:rPr>
        <w:t>FY2026/3Q累計（累計9ヵ月・2025年4月～12月）</w:t>
      </w:r>
    </w:p>
    <w:p>
      <w:pPr>
        <w:pStyle w:val="ListBullet"/>
      </w:pPr>
      <w:r>
        <w:rPr>
          <w:rFonts w:ascii="Meiryo UI" w:hAnsi="Meiryo UI"/>
          <w:sz w:val="20"/>
        </w:rPr>
        <w:t>売上高：1兆3,454億円（前年比+2.0%）</w:t>
      </w:r>
    </w:p>
    <w:p>
      <w:pPr>
        <w:pStyle w:val="ListBullet"/>
      </w:pPr>
      <w:r>
        <w:rPr>
          <w:rFonts w:ascii="Meiryo UI" w:hAnsi="Meiryo UI"/>
          <w:sz w:val="20"/>
        </w:rPr>
        <w:t>経常利益：1,614億円（前年比▲57.1%）  ← コンテナ事業の市況正常化が主因</w:t>
      </w:r>
    </w:p>
    <w:p>
      <w:pPr>
        <w:pStyle w:val="ListBullet"/>
      </w:pPr>
      <w:r>
        <w:rPr>
          <w:rFonts w:ascii="Meiryo UI" w:hAnsi="Meiryo UI"/>
          <w:sz w:val="20"/>
        </w:rPr>
        <w:t>通期ガイダンス（3Q時点上方修正後）：経常利益1,800億円</w:t>
      </w:r>
    </w:p>
    <w:p/>
    <w:p>
      <w:pPr>
        <w:pStyle w:val="Heading3"/>
      </w:pPr>
      <w:r>
        <w:rPr>
          <w:rFonts w:ascii="Meiryo UI" w:hAnsi="Meiryo UI"/>
          <w:color w:val="2E74B5"/>
        </w:rPr>
        <w:t>FY2026通期会社計画（最新）</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会社計画</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売上高</w:t>
            </w:r>
          </w:p>
        </w:tc>
        <w:tc>
          <w:tcPr>
            <w:tcW w:type="dxa" w:w="3135"/>
          </w:tcPr>
          <w:p>
            <w:r>
              <w:rPr>
                <w:rFonts w:ascii="Meiryo UI" w:hAnsi="Meiryo UI"/>
                <w:sz w:val="18"/>
              </w:rPr>
              <w:t>1兆7,500億円</w:t>
            </w:r>
          </w:p>
        </w:tc>
        <w:tc>
          <w:tcPr>
            <w:tcW w:type="dxa" w:w="3135"/>
          </w:tcPr>
          <w:p>
            <w:r>
              <w:rPr>
                <w:rFonts w:ascii="Meiryo UI" w:hAnsi="Meiryo UI"/>
                <w:sz w:val="18"/>
              </w:rPr>
              <w:t>▲4.3%</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1,040億円</w:t>
            </w:r>
          </w:p>
        </w:tc>
        <w:tc>
          <w:tcPr>
            <w:tcW w:type="dxa" w:w="3135"/>
            <w:shd w:val="clear" w:color="auto" w:fill="DDEBF7"/>
          </w:tcPr>
          <w:p>
            <w:r>
              <w:rPr>
                <w:rFonts w:ascii="Meiryo UI" w:hAnsi="Meiryo UI"/>
                <w:sz w:val="18"/>
              </w:rPr>
              <w:t>未確認（推計）</w:t>
            </w:r>
          </w:p>
        </w:tc>
      </w:tr>
      <w:tr>
        <w:tc>
          <w:tcPr>
            <w:tcW w:type="dxa" w:w="3135"/>
          </w:tcPr>
          <w:p>
            <w:r>
              <w:rPr>
                <w:rFonts w:ascii="Meiryo UI" w:hAnsi="Meiryo UI"/>
                <w:sz w:val="18"/>
              </w:rPr>
              <w:t>経常利益</w:t>
            </w:r>
          </w:p>
        </w:tc>
        <w:tc>
          <w:tcPr>
            <w:tcW w:type="dxa" w:w="3135"/>
          </w:tcPr>
          <w:p>
            <w:r>
              <w:rPr>
                <w:rFonts w:ascii="Meiryo UI" w:hAnsi="Meiryo UI"/>
                <w:sz w:val="18"/>
              </w:rPr>
              <w:t>1,800億円（3Q上方修正後）</w:t>
            </w:r>
          </w:p>
        </w:tc>
        <w:tc>
          <w:tcPr>
            <w:tcW w:type="dxa" w:w="3135"/>
          </w:tcPr>
          <w:p>
            <w:r>
              <w:rPr>
                <w:rFonts w:ascii="Meiryo UI" w:hAnsi="Meiryo UI"/>
                <w:sz w:val="18"/>
              </w:rPr>
              <w:t>▲64%</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1,800億円</w:t>
            </w:r>
          </w:p>
        </w:tc>
        <w:tc>
          <w:tcPr>
            <w:tcW w:type="dxa" w:w="3135"/>
            <w:shd w:val="clear" w:color="auto" w:fill="DDEBF7"/>
          </w:tcPr>
          <w:p>
            <w:r>
              <w:rPr>
                <w:rFonts w:ascii="Meiryo UI" w:hAnsi="Meiryo UI"/>
                <w:sz w:val="18"/>
              </w:rPr>
              <w:t>▲58%</w:t>
            </w:r>
          </w:p>
        </w:tc>
      </w:tr>
      <w:tr>
        <w:tc>
          <w:tcPr>
            <w:tcW w:type="dxa" w:w="3135"/>
          </w:tcPr>
          <w:p>
            <w:r>
              <w:rPr>
                <w:rFonts w:ascii="Meiryo UI" w:hAnsi="Meiryo UI"/>
                <w:sz w:val="18"/>
              </w:rPr>
              <w:t>EPS</w:t>
            </w:r>
          </w:p>
        </w:tc>
        <w:tc>
          <w:tcPr>
            <w:tcW w:type="dxa" w:w="3135"/>
          </w:tcPr>
          <w:p>
            <w:r>
              <w:rPr>
                <w:rFonts w:ascii="Meiryo UI" w:hAnsi="Meiryo UI"/>
                <w:sz w:val="18"/>
              </w:rPr>
              <w:t>¥523/株（会社計画）</w:t>
            </w:r>
          </w:p>
        </w:tc>
        <w:tc>
          <w:tcPr>
            <w:tcW w:type="dxa" w:w="3135"/>
          </w:tcPr>
          <w:p>
            <w:r>
              <w:rPr>
                <w:rFonts w:ascii="Meiryo UI" w:hAnsi="Meiryo UI"/>
                <w:sz w:val="18"/>
              </w:rPr>
            </w:r>
          </w:p>
        </w:tc>
      </w:tr>
      <w:tr>
        <w:tc>
          <w:tcPr>
            <w:tcW w:type="dxa" w:w="3135"/>
            <w:shd w:val="clear" w:color="auto" w:fill="DDEBF7"/>
          </w:tcPr>
          <w:p>
            <w:r>
              <w:rPr>
                <w:rFonts w:ascii="Meiryo UI" w:hAnsi="Meiryo UI"/>
                <w:sz w:val="18"/>
              </w:rPr>
              <w:t>年間配当</w:t>
            </w:r>
          </w:p>
        </w:tc>
        <w:tc>
          <w:tcPr>
            <w:tcW w:type="dxa" w:w="3135"/>
            <w:shd w:val="clear" w:color="auto" w:fill="DDEBF7"/>
          </w:tcPr>
          <w:p>
            <w:r>
              <w:rPr>
                <w:rFonts w:ascii="Meiryo UI" w:hAnsi="Meiryo UI"/>
                <w:sz w:val="18"/>
              </w:rPr>
              <w:t>200円（中間85円＋期末115円）</w:t>
            </w:r>
          </w:p>
        </w:tc>
        <w:tc>
          <w:tcPr>
            <w:tcW w:type="dxa" w:w="3135"/>
            <w:shd w:val="clear" w:color="auto" w:fill="DDEBF7"/>
          </w:tcPr>
          <w:p>
            <w:r>
              <w:rPr>
                <w:rFonts w:ascii="Meiryo UI" w:hAnsi="Meiryo UI"/>
                <w:sz w:val="18"/>
              </w:rPr>
              <w:t>前年360円から減配</w:t>
            </w:r>
          </w:p>
        </w:tc>
      </w:tr>
    </w:tbl>
    <w:p/>
    <w:p>
      <w:r>
        <w:rPr>
          <w:rFonts w:ascii="Meiryo UI" w:hAnsi="Meiryo UI"/>
          <w:sz w:val="20"/>
        </w:rPr>
        <w:t>&gt; 注：FY2025（前期）は ONE特需で純利益4,255億円の歴史的最高益。FY2026は正常化局面</w:t>
      </w:r>
    </w:p>
    <w:p/>
    <w:p>
      <w:r>
        <w:t>──────────────────────────────────────────────────</w:t>
      </w:r>
    </w:p>
    <w:p/>
    <w:p>
      <w:pPr>
        <w:pStyle w:val="Heading2"/>
      </w:pPr>
      <w:r>
        <w:rPr>
          <w:rFonts w:ascii="Meiryo UI" w:hAnsi="Meiryo UI"/>
          <w:color w:val="2E74B5"/>
        </w:rPr>
        <w:t>3. 市況分析（最重要セクション）</w:t>
      </w:r>
    </w:p>
    <w:p/>
    <w:p>
      <w:pPr>
        <w:pStyle w:val="Heading3"/>
      </w:pPr>
      <w:r>
        <w:rPr>
          <w:rFonts w:ascii="Meiryo UI" w:hAnsi="Meiryo UI"/>
          <w:color w:val="2E74B5"/>
        </w:rPr>
        <w:t>3-1. ドライバルク：BDI</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方向性</w:t>
            </w:r>
          </w:p>
        </w:tc>
      </w:tr>
      <w:tr>
        <w:tc>
          <w:tcPr>
            <w:tcW w:type="dxa" w:w="3135"/>
          </w:tcPr>
          <w:p>
            <w:r>
              <w:rPr>
                <w:rFonts w:ascii="Meiryo UI" w:hAnsi="Meiryo UI"/>
                <w:sz w:val="18"/>
              </w:rPr>
              <w:t>BDI スポット（4月下旬）</w:t>
            </w:r>
          </w:p>
        </w:tc>
        <w:tc>
          <w:tcPr>
            <w:tcW w:type="dxa" w:w="3135"/>
          </w:tcPr>
          <w:p>
            <w:r>
              <w:rPr>
                <w:rFonts w:ascii="Meiryo UI" w:hAnsi="Meiryo UI"/>
                <w:sz w:val="18"/>
              </w:rPr>
              <w:t>2,633ポイント（4/20時点）→ 4月は月初来下落</w:t>
            </w:r>
          </w:p>
        </w:tc>
        <w:tc>
          <w:tcPr>
            <w:tcW w:type="dxa" w:w="3135"/>
          </w:tcPr>
          <w:p>
            <w:r>
              <w:rPr>
                <w:rFonts w:ascii="Meiryo UI" w:hAnsi="Meiryo UI"/>
                <w:sz w:val="18"/>
              </w:rPr>
              <w:t>↓ コンタンゴ気味</w:t>
            </w:r>
          </w:p>
        </w:tc>
      </w:tr>
      <w:tr>
        <w:tc>
          <w:tcPr>
            <w:tcW w:type="dxa" w:w="3135"/>
            <w:shd w:val="clear" w:color="auto" w:fill="DDEBF7"/>
          </w:tcPr>
          <w:p>
            <w:r>
              <w:rPr>
                <w:rFonts w:ascii="Meiryo UI" w:hAnsi="Meiryo UI"/>
                <w:sz w:val="18"/>
              </w:rPr>
              <w:t>Capesize</w:t>
            </w:r>
          </w:p>
        </w:tc>
        <w:tc>
          <w:tcPr>
            <w:tcW w:type="dxa" w:w="3135"/>
            <w:shd w:val="clear" w:color="auto" w:fill="DDEBF7"/>
          </w:tcPr>
          <w:p>
            <w:r>
              <w:rPr>
                <w:rFonts w:ascii="Meiryo UI" w:hAnsi="Meiryo UI"/>
                <w:sz w:val="18"/>
              </w:rPr>
              <w:t>2,771（2週間低水準）</w:t>
            </w:r>
          </w:p>
        </w:tc>
        <w:tc>
          <w:tcPr>
            <w:tcW w:type="dxa" w:w="3135"/>
            <w:shd w:val="clear" w:color="auto" w:fill="DDEBF7"/>
          </w:tcPr>
          <w:p>
            <w:r>
              <w:rPr>
                <w:rFonts w:ascii="Meiryo UI" w:hAnsi="Meiryo UI"/>
                <w:sz w:val="18"/>
              </w:rPr>
              <w:t>中国鉄鉱石在庫積み上がりで上値重い</w:t>
            </w:r>
          </w:p>
        </w:tc>
      </w:tr>
      <w:tr>
        <w:tc>
          <w:tcPr>
            <w:tcW w:type="dxa" w:w="3135"/>
          </w:tcPr>
          <w:p>
            <w:r>
              <w:rPr>
                <w:rFonts w:ascii="Meiryo UI" w:hAnsi="Meiryo UI"/>
                <w:sz w:val="18"/>
              </w:rPr>
              <w:t>Panamax</w:t>
            </w:r>
          </w:p>
        </w:tc>
        <w:tc>
          <w:tcPr>
            <w:tcW w:type="dxa" w:w="3135"/>
          </w:tcPr>
          <w:p>
            <w:r>
              <w:rPr>
                <w:rFonts w:ascii="Meiryo UI" w:hAnsi="Meiryo UI"/>
                <w:sz w:val="18"/>
              </w:rPr>
              <w:t>1,670（相対的に底堅い）</w:t>
            </w:r>
          </w:p>
        </w:tc>
        <w:tc>
          <w:tcPr>
            <w:tcW w:type="dxa" w:w="3135"/>
          </w:tcPr>
          <w:p>
            <w:r>
              <w:rPr>
                <w:rFonts w:ascii="Meiryo UI" w:hAnsi="Meiryo UI"/>
                <w:sz w:val="18"/>
              </w:rPr>
              <w:t>石炭・穀物・肥料の分散カーゴで支持</w:t>
            </w:r>
          </w:p>
        </w:tc>
      </w:tr>
      <w:tr>
        <w:tc>
          <w:tcPr>
            <w:tcW w:type="dxa" w:w="3135"/>
            <w:shd w:val="clear" w:color="auto" w:fill="DDEBF7"/>
          </w:tcPr>
          <w:p>
            <w:r>
              <w:rPr>
                <w:rFonts w:ascii="Meiryo UI" w:hAnsi="Meiryo UI"/>
                <w:sz w:val="18"/>
              </w:rPr>
              <w:t>フォワード判定</w:t>
            </w:r>
          </w:p>
        </w:tc>
        <w:tc>
          <w:tcPr>
            <w:tcW w:type="dxa" w:w="3135"/>
            <w:shd w:val="clear" w:color="auto" w:fill="DDEBF7"/>
          </w:tcPr>
          <w:p>
            <w:r>
              <w:rPr>
                <w:rFonts w:ascii="Meiryo UI" w:hAnsi="Meiryo UI"/>
                <w:sz w:val="18"/>
              </w:rPr>
              <w:t>バックワーデーション継続も緩和</w:t>
            </w:r>
          </w:p>
        </w:tc>
        <w:tc>
          <w:tcPr>
            <w:tcW w:type="dxa" w:w="3135"/>
            <w:shd w:val="clear" w:color="auto" w:fill="DDEBF7"/>
          </w:tcPr>
          <w:p>
            <w:r>
              <w:rPr>
                <w:rFonts w:ascii="Meiryo UI" w:hAnsi="Meiryo UI"/>
                <w:sz w:val="18"/>
              </w:rPr>
              <w:t>Q2-Q3でのリバウンドシナリオ存在</w:t>
            </w:r>
          </w:p>
        </w:tc>
      </w:tr>
    </w:tbl>
    <w:p/>
    <w:p>
      <w:r>
        <w:rPr>
          <w:rFonts w:ascii="Meiryo UI" w:hAnsi="Meiryo UI"/>
          <w:sz w:val="20"/>
        </w:rPr>
        <w:t>業績感応度分析（ドライバルク）</w:t>
      </w:r>
    </w:p>
    <w:p>
      <w:pPr>
        <w:pStyle w:val="ListBullet"/>
      </w:pPr>
      <w:r>
        <w:rPr>
          <w:rFonts w:ascii="Meiryo UI" w:hAnsi="Meiryo UI"/>
          <w:sz w:val="20"/>
        </w:rPr>
        <w:t>BDI+1%（+26ポイント）→ MOL連結OP概算影響：±約4億円/年</w:t>
      </w:r>
    </w:p>
    <w:p>
      <w:pPr>
        <w:pStyle w:val="ListBullet"/>
      </w:pPr>
      <w:r>
        <w:rPr>
          <w:rFonts w:ascii="Meiryo UI" w:hAnsi="Meiryo UI"/>
          <w:sz w:val="20"/>
        </w:rPr>
        <w:t>BDI±20%シナリオ：OP±約80億円（ドライバルクセグメント）</w:t>
      </w:r>
    </w:p>
    <w:p>
      <w:pPr>
        <w:pStyle w:val="ListBullet"/>
      </w:pPr>
      <w:r>
        <w:rPr>
          <w:rFonts w:ascii="Meiryo UI" w:hAnsi="Meiryo UI"/>
          <w:sz w:val="20"/>
        </w:rPr>
        <w:t>現状BDI 2,633は過去5年平均（約2,100）を上回る水準。構造的に悲観は不要</w:t>
      </w:r>
    </w:p>
    <w:p/>
    <w:p>
      <w:pPr>
        <w:pStyle w:val="Heading3"/>
      </w:pPr>
      <w:r>
        <w:rPr>
          <w:rFonts w:ascii="Meiryo UI" w:hAnsi="Meiryo UI"/>
          <w:color w:val="2E74B5"/>
        </w:rPr>
        <w:t>3-2. コンテナ：SCFI・CCFI</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数値（4/24）</w:t>
            </w:r>
          </w:p>
        </w:tc>
        <w:tc>
          <w:tcPr>
            <w:tcW w:type="dxa" w:w="2351"/>
            <w:shd w:val="clear" w:color="auto" w:fill="2E74B5"/>
          </w:tcPr>
          <w:p>
            <w:r>
              <w:rPr>
                <w:rFonts w:ascii="Meiryo UI" w:hAnsi="Meiryo UI"/>
                <w:b/>
                <w:color w:val="FFFFFF"/>
                <w:sz w:val="18"/>
              </w:rPr>
              <w:t>前月比</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SCFI（上海コンテナ運賃指数）</w:t>
            </w:r>
          </w:p>
        </w:tc>
        <w:tc>
          <w:tcPr>
            <w:tcW w:type="dxa" w:w="2351"/>
          </w:tcPr>
          <w:p>
            <w:r>
              <w:rPr>
                <w:rFonts w:ascii="Meiryo UI" w:hAnsi="Meiryo UI"/>
                <w:sz w:val="18"/>
              </w:rPr>
              <w:t>1,886.54ポイント</w:t>
            </w:r>
          </w:p>
        </w:tc>
        <w:tc>
          <w:tcPr>
            <w:tcW w:type="dxa" w:w="2351"/>
          </w:tcPr>
          <w:p>
            <w:r>
              <w:rPr>
                <w:rFonts w:ascii="Meiryo UI" w:hAnsi="Meiryo UI"/>
                <w:sz w:val="18"/>
              </w:rPr>
              <w:t>+10.5%</w:t>
            </w:r>
          </w:p>
        </w:tc>
        <w:tc>
          <w:tcPr>
            <w:tcW w:type="dxa" w:w="2351"/>
          </w:tcPr>
          <w:p>
            <w:r>
              <w:rPr>
                <w:rFonts w:ascii="Meiryo UI" w:hAnsi="Meiryo UI"/>
                <w:sz w:val="18"/>
              </w:rPr>
              <w:t>+40.0%</w:t>
            </w:r>
          </w:p>
        </w:tc>
      </w:tr>
      <w:tr>
        <w:tc>
          <w:tcPr>
            <w:tcW w:type="dxa" w:w="2351"/>
            <w:shd w:val="clear" w:color="auto" w:fill="DDEBF7"/>
          </w:tcPr>
          <w:p>
            <w:r>
              <w:rPr>
                <w:rFonts w:ascii="Meiryo UI" w:hAnsi="Meiryo UI"/>
                <w:sz w:val="18"/>
              </w:rPr>
              <w:t>CCFI（中国輸出コンテナ運賃）</w:t>
            </w:r>
          </w:p>
        </w:tc>
        <w:tc>
          <w:tcPr>
            <w:tcW w:type="dxa" w:w="2351"/>
            <w:shd w:val="clear" w:color="auto" w:fill="DDEBF7"/>
          </w:tcPr>
          <w:p>
            <w:r>
              <w:rPr>
                <w:rFonts w:ascii="Meiryo UI" w:hAnsi="Meiryo UI"/>
                <w:sz w:val="18"/>
              </w:rPr>
              <w:t>1,886.54ポイント（同水準）</w:t>
            </w:r>
          </w:p>
        </w:tc>
        <w:tc>
          <w:tcPr>
            <w:tcW w:type="dxa" w:w="2351"/>
            <w:shd w:val="clear" w:color="auto" w:fill="DDEBF7"/>
          </w:tcPr>
          <w:p>
            <w:r>
              <w:rPr>
                <w:rFonts w:ascii="Meiryo UI" w:hAnsi="Meiryo UI"/>
                <w:sz w:val="18"/>
              </w:rPr>
              <w:t>+10.5%</w:t>
            </w:r>
          </w:p>
        </w:tc>
        <w:tc>
          <w:tcPr>
            <w:tcW w:type="dxa" w:w="2351"/>
            <w:shd w:val="clear" w:color="auto" w:fill="DDEBF7"/>
          </w:tcPr>
          <w:p>
            <w:r>
              <w:rPr>
                <w:rFonts w:ascii="Meiryo UI" w:hAnsi="Meiryo UI"/>
                <w:sz w:val="18"/>
              </w:rPr>
              <w:t>+40.0%</w:t>
            </w:r>
          </w:p>
        </w:tc>
      </w:tr>
    </w:tbl>
    <w:p/>
    <w:p>
      <w:r>
        <w:rPr>
          <w:rFonts w:ascii="Meiryo UI" w:hAnsi="Meiryo UI"/>
          <w:sz w:val="20"/>
        </w:rPr>
        <w:t>コンテナ市況評価（ONEへの影響）</w:t>
      </w:r>
    </w:p>
    <w:p>
      <w:pPr>
        <w:pStyle w:val="ListBullet"/>
      </w:pPr>
      <w:r>
        <w:rPr>
          <w:rFonts w:ascii="Meiryo UI" w:hAnsi="Meiryo UI"/>
          <w:sz w:val="20"/>
        </w:rPr>
        <w:t>前年比+40%は市場予想を上回る強さ。Red Sea代替ルート延長効果+Hormuz閉鎖によるカーゴの代替輸送需要が寄与</w:t>
      </w:r>
    </w:p>
    <w:p>
      <w:pPr>
        <w:pStyle w:val="ListBullet"/>
      </w:pPr>
      <w:r>
        <w:rPr>
          <w:rFonts w:ascii="Meiryo UI" w:hAnsi="Meiryo UI"/>
          <w:sz w:val="20"/>
        </w:rPr>
        <w:t>ONE（持分31%）のFY2027初年度利益は、当初保守的に見られていたが市況改善で上振れ期待</w:t>
      </w:r>
    </w:p>
    <w:p>
      <w:pPr>
        <w:pStyle w:val="ListBullet"/>
      </w:pPr>
      <w:r>
        <w:rPr>
          <w:rFonts w:ascii="Meiryo UI" w:hAnsi="Meiryo UI"/>
          <w:sz w:val="20"/>
        </w:rPr>
        <w:t>ONE FY2025（前期）実績：売上$19,233M（+32%）・純利益$4,244M（+336%YoY）</w:t>
      </w:r>
    </w:p>
    <w:p>
      <w:pPr>
        <w:pStyle w:val="ListBullet"/>
      </w:pPr>
      <w:r>
        <w:rPr>
          <w:rFonts w:ascii="Meiryo UI" w:hAnsi="Meiryo UI"/>
          <w:sz w:val="20"/>
        </w:rPr>
        <w:t>MOLのONE持分利益：¥約1,500億円規模（FY2025推計）→ FY2026は半減程度</w:t>
      </w:r>
    </w:p>
    <w:p/>
    <w:p>
      <w:r>
        <w:rPr>
          <w:rFonts w:ascii="Meiryo UI" w:hAnsi="Meiryo UI"/>
          <w:sz w:val="20"/>
        </w:rPr>
        <w:t>フォワード判定：コンタンゴ</w:t>
      </w:r>
    </w:p>
    <w:p>
      <w:pPr>
        <w:pStyle w:val="ListBullet"/>
      </w:pPr>
      <w:r>
        <w:rPr>
          <w:rFonts w:ascii="Meiryo UI" w:hAnsi="Meiryo UI"/>
          <w:sz w:val="20"/>
        </w:rPr>
        <w:t>米国関税政策の不確実性で荷動きが「前倒し→崖落ち」リスク。Q3以降は米中貿易縮小シナリオで下振れ余地あり</w:t>
      </w:r>
    </w:p>
    <w:p/>
    <w:p>
      <w:pPr>
        <w:pStyle w:val="Heading3"/>
      </w:pPr>
      <w:r>
        <w:rPr>
          <w:rFonts w:ascii="Meiryo UI" w:hAnsi="Meiryo UI"/>
          <w:color w:val="2E74B5"/>
        </w:rPr>
        <w:t>3-3. タンカー：VLCC・Suezmax</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ルート</w:t>
            </w:r>
          </w:p>
        </w:tc>
        <w:tc>
          <w:tcPr>
            <w:tcW w:type="dxa" w:w="3135"/>
            <w:shd w:val="clear" w:color="auto" w:fill="2E74B5"/>
          </w:tcPr>
          <w:p>
            <w:r>
              <w:rPr>
                <w:rFonts w:ascii="Meiryo UI" w:hAnsi="Meiryo UI"/>
                <w:b/>
                <w:color w:val="FFFFFF"/>
                <w:sz w:val="18"/>
              </w:rPr>
              <w:t>スポット（4月中旬ピーク）</w:t>
            </w:r>
          </w:p>
        </w:tc>
        <w:tc>
          <w:tcPr>
            <w:tcW w:type="dxa" w:w="3135"/>
            <w:shd w:val="clear" w:color="auto" w:fill="2E74B5"/>
          </w:tcPr>
          <w:p>
            <w:r>
              <w:rPr>
                <w:rFonts w:ascii="Meiryo UI" w:hAnsi="Meiryo UI"/>
                <w:b/>
                <w:color w:val="FFFFFF"/>
                <w:sz w:val="18"/>
              </w:rPr>
              <w:t>現状（4/27方向感）</w:t>
            </w:r>
          </w:p>
        </w:tc>
      </w:tr>
      <w:tr>
        <w:tc>
          <w:tcPr>
            <w:tcW w:type="dxa" w:w="3135"/>
          </w:tcPr>
          <w:p>
            <w:r>
              <w:rPr>
                <w:rFonts w:ascii="Meiryo UI" w:hAnsi="Meiryo UI"/>
                <w:sz w:val="18"/>
              </w:rPr>
              <w:t>MEG-China（TD3C）</w:t>
            </w:r>
          </w:p>
        </w:tc>
        <w:tc>
          <w:tcPr>
            <w:tcW w:type="dxa" w:w="3135"/>
          </w:tcPr>
          <w:p>
            <w:r>
              <w:rPr>
                <w:rFonts w:ascii="Meiryo UI" w:hAnsi="Meiryo UI"/>
                <w:sz w:val="18"/>
              </w:rPr>
              <w:t>$423,736/日（過去最高）</w:t>
            </w:r>
          </w:p>
        </w:tc>
        <w:tc>
          <w:tcPr>
            <w:tcW w:type="dxa" w:w="3135"/>
          </w:tcPr>
          <w:p>
            <w:r>
              <w:rPr>
                <w:rFonts w:ascii="Meiryo UI" w:hAnsi="Meiryo UI"/>
                <w:sz w:val="18"/>
              </w:rPr>
              <w:t>急落中：$168,220-$294,645/日に後退</w:t>
            </w:r>
          </w:p>
        </w:tc>
      </w:tr>
      <w:tr>
        <w:tc>
          <w:tcPr>
            <w:tcW w:type="dxa" w:w="3135"/>
            <w:shd w:val="clear" w:color="auto" w:fill="DDEBF7"/>
          </w:tcPr>
          <w:p>
            <w:r>
              <w:rPr>
                <w:rFonts w:ascii="Meiryo UI" w:hAnsi="Meiryo UI"/>
                <w:sz w:val="18"/>
              </w:rPr>
              <w:t>MEG-India（短距離）</w:t>
            </w:r>
          </w:p>
        </w:tc>
        <w:tc>
          <w:tcPr>
            <w:tcW w:type="dxa" w:w="3135"/>
            <w:shd w:val="clear" w:color="auto" w:fill="DDEBF7"/>
          </w:tcPr>
          <w:p>
            <w:r>
              <w:rPr>
                <w:rFonts w:ascii="Meiryo UI" w:hAnsi="Meiryo UI"/>
                <w:sz w:val="18"/>
              </w:rPr>
              <w:t>$119,682/日（W120）</w:t>
            </w:r>
          </w:p>
        </w:tc>
        <w:tc>
          <w:tcPr>
            <w:tcW w:type="dxa" w:w="3135"/>
            <w:shd w:val="clear" w:color="auto" w:fill="DDEBF7"/>
          </w:tcPr>
          <w:p>
            <w:r>
              <w:rPr>
                <w:rFonts w:ascii="Meiryo UI" w:hAnsi="Meiryo UI"/>
                <w:sz w:val="18"/>
              </w:rPr>
              <w:t>ホルムズ新提案で下落圧力</w:t>
            </w:r>
          </w:p>
        </w:tc>
      </w:tr>
      <w:tr>
        <w:tc>
          <w:tcPr>
            <w:tcW w:type="dxa" w:w="3135"/>
          </w:tcPr>
          <w:p>
            <w:r>
              <w:rPr>
                <w:rFonts w:ascii="Meiryo UI" w:hAnsi="Meiryo UI"/>
                <w:sz w:val="18"/>
              </w:rPr>
              <w:t>WA-China（大西洋）</w:t>
            </w:r>
          </w:p>
        </w:tc>
        <w:tc>
          <w:tcPr>
            <w:tcW w:type="dxa" w:w="3135"/>
          </w:tcPr>
          <w:p>
            <w:r>
              <w:rPr>
                <w:rFonts w:ascii="Meiryo UI" w:hAnsi="Meiryo UI"/>
                <w:sz w:val="18"/>
              </w:rPr>
              <w:t>$168,220/日（ピーク比▲39%）</w:t>
            </w:r>
          </w:p>
        </w:tc>
        <w:tc>
          <w:tcPr>
            <w:tcW w:type="dxa" w:w="3135"/>
          </w:tcPr>
          <w:p>
            <w:r>
              <w:rPr>
                <w:rFonts w:ascii="Meiryo UI" w:hAnsi="Meiryo UI"/>
                <w:sz w:val="18"/>
              </w:rPr>
              <w:t>MEGとの乖離拡大</w:t>
            </w:r>
          </w:p>
        </w:tc>
      </w:tr>
    </w:tbl>
    <w:p/>
    <w:p>
      <w:r>
        <w:rPr>
          <w:rFonts w:ascii="Meiryo UI" w:hAnsi="Meiryo UI"/>
          <w:sz w:val="20"/>
        </w:rPr>
        <w:t>ホルムズ新提案（Axios 4/27）の影響分析</w:t>
      </w:r>
    </w:p>
    <w:p>
      <w:pPr>
        <w:pStyle w:val="ListBullet"/>
      </w:pPr>
      <w:r>
        <w:rPr>
          <w:rFonts w:ascii="Meiryo UI" w:hAnsi="Meiryo UI"/>
          <w:sz w:val="20"/>
        </w:rPr>
        <w:t>イランが「ホルムズ再開＋停戦」をパキスタン経由で米国に提案（核交渉は後回し）</w:t>
      </w:r>
    </w:p>
    <w:p>
      <w:pPr>
        <w:pStyle w:val="ListBullet"/>
      </w:pPr>
      <w:r>
        <w:rPr>
          <w:rFonts w:ascii="Meiryo UI" w:hAnsi="Meiryo UI"/>
          <w:sz w:val="20"/>
        </w:rPr>
        <w:t>即座の影響：VLCCスポット軟化（IRGC管理下の限定通行→完全開放への期待先行）</w:t>
      </w:r>
    </w:p>
    <w:p>
      <w:pPr>
        <w:pStyle w:val="ListBullet"/>
      </w:pPr>
      <w:r>
        <w:rPr>
          <w:rFonts w:ascii="Meiryo UI" w:hAnsi="Meiryo UI"/>
          <w:sz w:val="20"/>
        </w:rPr>
        <w:t>構造的問題：合意確定まで完全転換は不可。議会強硬派（ガリバーフ議長「ホルムズ再開は不可能」）との乖離継続</w:t>
      </w:r>
    </w:p>
    <w:p>
      <w:pPr>
        <w:pStyle w:val="ListBullet"/>
      </w:pPr>
      <w:r>
        <w:rPr>
          <w:rFonts w:ascii="Meiryo UI" w:hAnsi="Meiryo UI"/>
          <w:sz w:val="20"/>
        </w:rPr>
        <w:t>MOLへの影響：VLCCスポット収益がQ4（1-3月）の急騰から反落。FY2027初年度は急落シナリオ→タンカー貢献度低下</w:t>
      </w:r>
    </w:p>
    <w:p/>
    <w:p>
      <w:r>
        <w:rPr>
          <w:rFonts w:ascii="Meiryo UI" w:hAnsi="Meiryo UI"/>
          <w:sz w:val="20"/>
        </w:rPr>
        <w:t>感応度デルタ（タンカー）</w:t>
      </w:r>
    </w:p>
    <w:p>
      <w:pPr>
        <w:pStyle w:val="ListBullet"/>
      </w:pPr>
      <w:r>
        <w:rPr>
          <w:rFonts w:ascii="Meiryo UI" w:hAnsi="Meiryo UI"/>
          <w:sz w:val="20"/>
        </w:rPr>
        <w:t>VLCC TCE+10%（+$30,000/日）→ MOL連結OP概算：±約40億円/年（タンカー船腹数・保有比率考慮）</w:t>
      </w:r>
    </w:p>
    <w:p/>
    <w:p>
      <w:pPr>
        <w:pStyle w:val="Heading3"/>
      </w:pPr>
      <w:r>
        <w:rPr>
          <w:rFonts w:ascii="Meiryo UI" w:hAnsi="Meiryo UI"/>
          <w:color w:val="2E74B5"/>
        </w:rPr>
        <w:t>3-4. LNG：JKM スポット・フォワード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JKMスポット（4/21）</w:t>
            </w:r>
          </w:p>
        </w:tc>
        <w:tc>
          <w:tcPr>
            <w:tcW w:type="dxa" w:w="4703"/>
          </w:tcPr>
          <w:p>
            <w:r>
              <w:rPr>
                <w:rFonts w:ascii="Meiryo UI" w:hAnsi="Meiryo UI"/>
                <w:sz w:val="18"/>
              </w:rPr>
              <w:t>$15.81/MMBTU（前日比+3.77%）</w:t>
            </w:r>
          </w:p>
        </w:tc>
      </w:tr>
      <w:tr>
        <w:tc>
          <w:tcPr>
            <w:tcW w:type="dxa" w:w="4703"/>
            <w:shd w:val="clear" w:color="auto" w:fill="DDEBF7"/>
          </w:tcPr>
          <w:p>
            <w:r>
              <w:rPr>
                <w:rFonts w:ascii="Meiryo UI" w:hAnsi="Meiryo UI"/>
                <w:sz w:val="18"/>
              </w:rPr>
              <w:t>JKMスポット（4/24方向）</w:t>
            </w:r>
          </w:p>
        </w:tc>
        <w:tc>
          <w:tcPr>
            <w:tcW w:type="dxa" w:w="4703"/>
            <w:shd w:val="clear" w:color="auto" w:fill="DDEBF7"/>
          </w:tcPr>
          <w:p>
            <w:r>
              <w:rPr>
                <w:rFonts w:ascii="Meiryo UI" w:hAnsi="Meiryo UI"/>
                <w:sz w:val="18"/>
              </w:rPr>
              <w:t>$15.24/MMBTU（▲7.0%）</w:t>
            </w:r>
          </w:p>
        </w:tc>
      </w:tr>
      <w:tr>
        <w:tc>
          <w:tcPr>
            <w:tcW w:type="dxa" w:w="4703"/>
          </w:tcPr>
          <w:p>
            <w:r>
              <w:rPr>
                <w:rFonts w:ascii="Meiryo UI" w:hAnsi="Meiryo UI"/>
                <w:sz w:val="18"/>
              </w:rPr>
              <w:t>過去1ヵ月比</w:t>
            </w:r>
          </w:p>
        </w:tc>
        <w:tc>
          <w:tcPr>
            <w:tcW w:type="dxa" w:w="4703"/>
          </w:tcPr>
          <w:p>
            <w:r>
              <w:rPr>
                <w:rFonts w:ascii="Meiryo UI" w:hAnsi="Meiryo UI"/>
                <w:sz w:val="18"/>
              </w:rPr>
              <w:t>▲24.7%（季節性と需給緩和）</w:t>
            </w:r>
          </w:p>
        </w:tc>
      </w:tr>
      <w:tr>
        <w:tc>
          <w:tcPr>
            <w:tcW w:type="dxa" w:w="4703"/>
            <w:shd w:val="clear" w:color="auto" w:fill="DDEBF7"/>
          </w:tcPr>
          <w:p>
            <w:r>
              <w:rPr>
                <w:rFonts w:ascii="Meiryo UI" w:hAnsi="Meiryo UI"/>
                <w:sz w:val="18"/>
              </w:rPr>
              <w:t>前年同期比</w:t>
            </w:r>
          </w:p>
        </w:tc>
        <w:tc>
          <w:tcPr>
            <w:tcW w:type="dxa" w:w="4703"/>
            <w:shd w:val="clear" w:color="auto" w:fill="DDEBF7"/>
          </w:tcPr>
          <w:p>
            <w:r>
              <w:rPr>
                <w:rFonts w:ascii="Meiryo UI" w:hAnsi="Meiryo UI"/>
                <w:sz w:val="18"/>
              </w:rPr>
              <w:t>+34.3%（ホルムズ閉鎖前からの累積上昇）</w:t>
            </w:r>
          </w:p>
        </w:tc>
      </w:tr>
      <w:tr>
        <w:tc>
          <w:tcPr>
            <w:tcW w:type="dxa" w:w="4703"/>
          </w:tcPr>
          <w:p>
            <w:r>
              <w:rPr>
                <w:rFonts w:ascii="Meiryo UI" w:hAnsi="Meiryo UI"/>
                <w:sz w:val="18"/>
              </w:rPr>
              <w:t>52週レンジ</w:t>
            </w:r>
          </w:p>
        </w:tc>
        <w:tc>
          <w:tcPr>
            <w:tcW w:type="dxa" w:w="4703"/>
          </w:tcPr>
          <w:p>
            <w:r>
              <w:rPr>
                <w:rFonts w:ascii="Meiryo UI" w:hAnsi="Meiryo UI"/>
                <w:sz w:val="18"/>
              </w:rPr>
              <w:t>$9.455 ～ $22.350/MMBTU</w:t>
            </w:r>
          </w:p>
        </w:tc>
      </w:tr>
    </w:tbl>
    <w:p/>
    <w:p>
      <w:r>
        <w:rPr>
          <w:rFonts w:ascii="Meiryo UI" w:hAnsi="Meiryo UI"/>
          <w:sz w:val="20"/>
        </w:rPr>
        <w:t>LNG市況評価</w:t>
      </w:r>
    </w:p>
    <w:p>
      <w:pPr>
        <w:pStyle w:val="ListBullet"/>
      </w:pPr>
      <w:r>
        <w:rPr>
          <w:rFonts w:ascii="Meiryo UI" w:hAnsi="Meiryo UI"/>
          <w:sz w:val="20"/>
        </w:rPr>
        <w:t>MOLのLNG船は90%以上が長期TC（10-20年）固定運賃。スポット乱高下の業績直撃は限定的</w:t>
      </w:r>
    </w:p>
    <w:p>
      <w:pPr>
        <w:pStyle w:val="ListBullet"/>
      </w:pPr>
      <w:r>
        <w:rPr>
          <w:rFonts w:ascii="Meiryo UI" w:hAnsi="Meiryo UI"/>
          <w:sz w:val="20"/>
        </w:rPr>
        <w:t>ホルムズ閉鎖でカタール・UAE発LNG積み出しが制限→JKM一時急騰→新提案で軟化</w:t>
      </w:r>
    </w:p>
    <w:p>
      <w:pPr>
        <w:pStyle w:val="ListBullet"/>
      </w:pPr>
      <w:r>
        <w:rPr>
          <w:rFonts w:ascii="Meiryo UI" w:hAnsi="Meiryo UI"/>
          <w:sz w:val="20"/>
        </w:rPr>
        <w:t>LNG船の長期TC固定が「有事プレミアム消滅リスクへのヘッジ」として機能。海運3社の中でMOLが最も安定的</w:t>
      </w:r>
    </w:p>
    <w:p/>
    <w:p>
      <w:r>
        <w:rPr>
          <w:rFonts w:ascii="Meiryo UI" w:hAnsi="Meiryo UI"/>
          <w:sz w:val="20"/>
        </w:rPr>
        <w:t>フォワード判定：バックワーデーション（ホルムズ解決シナリオ）</w:t>
      </w:r>
    </w:p>
    <w:p>
      <w:pPr>
        <w:pStyle w:val="ListBullet"/>
      </w:pPr>
      <w:r>
        <w:rPr>
          <w:rFonts w:ascii="Meiryo UI" w:hAnsi="Meiryo UI"/>
          <w:sz w:val="20"/>
        </w:rPr>
        <w:t>夏に向けて需要季節性は低下。ホルムズ解決なら$12/MMBTU台への下落リスク。長期TC保有で影響軽微</w:t>
      </w:r>
    </w:p>
    <w:p/>
    <w:p>
      <w:r>
        <w:t>──────────────────────────────────────────────────</w:t>
      </w:r>
    </w:p>
    <w:p/>
    <w:p>
      <w:pPr>
        <w:pStyle w:val="Heading2"/>
      </w:pPr>
      <w:r>
        <w:rPr>
          <w:rFonts w:ascii="Meiryo UI" w:hAnsi="Meiryo UI"/>
          <w:color w:val="2E74B5"/>
        </w:rPr>
        <w:t>4. 直近決算分析</w:t>
      </w:r>
    </w:p>
    <w:p/>
    <w:p>
      <w:pPr>
        <w:pStyle w:val="Heading3"/>
      </w:pPr>
      <w:r>
        <w:rPr>
          <w:rFonts w:ascii="Meiryo UI" w:hAnsi="Meiryo UI"/>
          <w:color w:val="2E74B5"/>
        </w:rPr>
        <w:t>FY2026/3Q（2025年10-12月）単四半期</w:t>
      </w:r>
    </w:p>
    <w:p>
      <w:pPr>
        <w:pStyle w:val="ListBullet"/>
      </w:pPr>
      <w:r>
        <w:rPr>
          <w:rFonts w:ascii="Meiryo UI" w:hAnsi="Meiryo UI"/>
          <w:sz w:val="20"/>
        </w:rPr>
        <w:t>売上高：不明（累計値から逆算：約4,570億円/Q推計）</w:t>
      </w:r>
    </w:p>
    <w:p>
      <w:pPr>
        <w:pStyle w:val="ListBullet"/>
      </w:pPr>
      <w:r>
        <w:rPr>
          <w:rFonts w:ascii="Meiryo UI" w:hAnsi="Meiryo UI"/>
          <w:sz w:val="20"/>
        </w:rPr>
        <w:t>営業利益：468億円（▲62.7%YoY）・OPM：6.5%（前年8.0%）</w:t>
      </w:r>
    </w:p>
    <w:p>
      <w:pPr>
        <w:pStyle w:val="ListBullet"/>
      </w:pPr>
      <w:r>
        <w:rPr>
          <w:rFonts w:ascii="Meiryo UI" w:hAnsi="Meiryo UI"/>
          <w:sz w:val="20"/>
        </w:rPr>
        <w:t>3Q単独では前年比で大幅減益だが、通期ガイダンスを106%達成ペース（純利益ベース）</w:t>
      </w:r>
    </w:p>
    <w:p/>
    <w:p>
      <w:pPr>
        <w:pStyle w:val="Heading3"/>
      </w:pPr>
      <w:r>
        <w:rPr>
          <w:rFonts w:ascii="Meiryo UI" w:hAnsi="Meiryo UI"/>
          <w:color w:val="2E74B5"/>
        </w:rPr>
        <w:t>FY2026通期ガイダンス（1/30時点最新修正後）</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当初予想</w:t>
            </w:r>
          </w:p>
        </w:tc>
        <w:tc>
          <w:tcPr>
            <w:tcW w:type="dxa" w:w="2351"/>
            <w:shd w:val="clear" w:color="auto" w:fill="2E74B5"/>
          </w:tcPr>
          <w:p>
            <w:r>
              <w:rPr>
                <w:rFonts w:ascii="Meiryo UI" w:hAnsi="Meiryo UI"/>
                <w:b/>
                <w:color w:val="FFFFFF"/>
                <w:sz w:val="18"/>
              </w:rPr>
              <w:t>修正後（上方）</w:t>
            </w:r>
          </w:p>
        </w:tc>
        <w:tc>
          <w:tcPr>
            <w:tcW w:type="dxa" w:w="2351"/>
            <w:shd w:val="clear" w:color="auto" w:fill="2E74B5"/>
          </w:tcPr>
          <w:p>
            <w:r>
              <w:rPr>
                <w:rFonts w:ascii="Meiryo UI" w:hAnsi="Meiryo UI"/>
                <w:b/>
                <w:color w:val="FFFFFF"/>
                <w:sz w:val="18"/>
              </w:rPr>
              <w:t>実績進捗（3Q累計）</w:t>
            </w:r>
          </w:p>
        </w:tc>
      </w:tr>
      <w:tr>
        <w:tc>
          <w:tcPr>
            <w:tcW w:type="dxa" w:w="2351"/>
          </w:tcPr>
          <w:p>
            <w:r>
              <w:rPr>
                <w:rFonts w:ascii="Meiryo UI" w:hAnsi="Meiryo UI"/>
                <w:sz w:val="18"/>
              </w:rPr>
              <w:t>売上高</w:t>
            </w:r>
          </w:p>
        </w:tc>
        <w:tc>
          <w:tcPr>
            <w:tcW w:type="dxa" w:w="2351"/>
          </w:tcPr>
          <w:p>
            <w:r>
              <w:rPr>
                <w:rFonts w:ascii="Meiryo UI" w:hAnsi="Meiryo UI"/>
                <w:sz w:val="18"/>
              </w:rPr>
              <w:t>1兆7,000億円</w:t>
            </w:r>
          </w:p>
        </w:tc>
        <w:tc>
          <w:tcPr>
            <w:tcW w:type="dxa" w:w="2351"/>
          </w:tcPr>
          <w:p>
            <w:r>
              <w:rPr>
                <w:rFonts w:ascii="Meiryo UI" w:hAnsi="Meiryo UI"/>
                <w:sz w:val="18"/>
              </w:rPr>
              <w:t>1兆7,500億円</w:t>
            </w:r>
          </w:p>
        </w:tc>
        <w:tc>
          <w:tcPr>
            <w:tcW w:type="dxa" w:w="2351"/>
          </w:tcPr>
          <w:p>
            <w:r>
              <w:rPr>
                <w:rFonts w:ascii="Meiryo UI" w:hAnsi="Meiryo UI"/>
                <w:sz w:val="18"/>
              </w:rPr>
              <w:t>1兆3,454億円（77%）</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1,520億円</w:t>
            </w:r>
          </w:p>
        </w:tc>
        <w:tc>
          <w:tcPr>
            <w:tcW w:type="dxa" w:w="2351"/>
            <w:shd w:val="clear" w:color="auto" w:fill="DDEBF7"/>
          </w:tcPr>
          <w:p>
            <w:r>
              <w:rPr>
                <w:rFonts w:ascii="Meiryo UI" w:hAnsi="Meiryo UI"/>
                <w:sz w:val="18"/>
              </w:rPr>
              <w:t>1,800億円</w:t>
            </w:r>
          </w:p>
        </w:tc>
        <w:tc>
          <w:tcPr>
            <w:tcW w:type="dxa" w:w="2351"/>
            <w:shd w:val="clear" w:color="auto" w:fill="DDEBF7"/>
          </w:tcPr>
          <w:p>
            <w:r>
              <w:rPr>
                <w:rFonts w:ascii="Meiryo UI" w:hAnsi="Meiryo UI"/>
                <w:sz w:val="18"/>
              </w:rPr>
              <w:t>1,614億円（90%）</w:t>
            </w:r>
          </w:p>
        </w:tc>
      </w:tr>
      <w:tr>
        <w:tc>
          <w:tcPr>
            <w:tcW w:type="dxa" w:w="2351"/>
          </w:tcPr>
          <w:p>
            <w:r>
              <w:rPr>
                <w:rFonts w:ascii="Meiryo UI" w:hAnsi="Meiryo UI"/>
                <w:sz w:val="18"/>
              </w:rPr>
              <w:t>純利益</w:t>
            </w:r>
          </w:p>
        </w:tc>
        <w:tc>
          <w:tcPr>
            <w:tcW w:type="dxa" w:w="2351"/>
          </w:tcPr>
          <w:p>
            <w:r>
              <w:rPr>
                <w:rFonts w:ascii="Meiryo UI" w:hAnsi="Meiryo UI"/>
                <w:sz w:val="18"/>
              </w:rPr>
              <w:t>1,800億円</w:t>
            </w:r>
          </w:p>
        </w:tc>
        <w:tc>
          <w:tcPr>
            <w:tcW w:type="dxa" w:w="2351"/>
          </w:tcPr>
          <w:p>
            <w:r>
              <w:rPr>
                <w:rFonts w:ascii="Meiryo UI" w:hAnsi="Meiryo UI"/>
                <w:sz w:val="18"/>
              </w:rPr>
              <w:t>1,800億円</w:t>
            </w:r>
          </w:p>
        </w:tc>
        <w:tc>
          <w:tcPr>
            <w:tcW w:type="dxa" w:w="2351"/>
          </w:tcPr>
          <w:p>
            <w:r>
              <w:rPr>
                <w:rFonts w:ascii="Meiryo UI" w:hAnsi="Meiryo UI"/>
                <w:sz w:val="18"/>
              </w:rPr>
              <w:t>1,805億円（100%）</w:t>
            </w:r>
          </w:p>
        </w:tc>
      </w:tr>
    </w:tbl>
    <w:p/>
    <w:p>
      <w:r>
        <w:rPr>
          <w:rFonts w:ascii="Meiryo UI" w:hAnsi="Meiryo UI"/>
          <w:sz w:val="20"/>
        </w:rPr>
        <w:t>&gt; ⚠️ 公式ソース確認済み：3Q時点で純利益はほぼ通期計画達成。4Q（1-3月）はVLCC運賃急騰が特需として上乗せ見込み。4/30発表では上振れ着地＋FY2027ガイダンス初提示が最重要</w:t>
      </w:r>
    </w:p>
    <w:p/>
    <w:p>
      <w:pPr>
        <w:pStyle w:val="Heading3"/>
      </w:pPr>
      <w:r>
        <w:rPr>
          <w:rFonts w:ascii="Meiryo UI" w:hAnsi="Meiryo UI"/>
          <w:color w:val="2E74B5"/>
        </w:rPr>
        <w:t>ONE（Ocean Network Express）持分利益</w:t>
      </w:r>
    </w:p>
    <w:p>
      <w:pPr>
        <w:pStyle w:val="ListBullet"/>
      </w:pPr>
      <w:r>
        <w:rPr>
          <w:rFonts w:ascii="Meiryo UI" w:hAnsi="Meiryo UI"/>
          <w:sz w:val="20"/>
        </w:rPr>
        <w:t>FY2025実績：純利益$4,244M・EBIT$3,800M（いずれも+336%・+871%YoY）</w:t>
      </w:r>
    </w:p>
    <w:p>
      <w:pPr>
        <w:pStyle w:val="ListBullet"/>
      </w:pPr>
      <w:r>
        <w:rPr>
          <w:rFonts w:ascii="Meiryo UI" w:hAnsi="Meiryo UI"/>
          <w:sz w:val="20"/>
        </w:rPr>
        <w:t>MOL持分31%：持分利益約¥1,900億円相当（FY2025）</w:t>
      </w:r>
    </w:p>
    <w:p>
      <w:pPr>
        <w:pStyle w:val="ListBullet"/>
      </w:pPr>
      <w:r>
        <w:rPr>
          <w:rFonts w:ascii="Meiryo UI" w:hAnsi="Meiryo UI"/>
          <w:sz w:val="20"/>
        </w:rPr>
        <w:t>FY2026予想：コンテナ運賃正常化で50-60%減の¥800-1,000億円水準（推計）</w:t>
      </w:r>
    </w:p>
    <w:p>
      <w:pPr>
        <w:pStyle w:val="ListBullet"/>
      </w:pPr>
      <w:r>
        <w:rPr>
          <w:rFonts w:ascii="Meiryo UI" w:hAnsi="Meiryo UI"/>
          <w:sz w:val="20"/>
        </w:rPr>
        <w:t>FY2027展望：SCFI +40%YoYの現状維持なら¥700-900億円水準の可能性</w:t>
      </w:r>
    </w:p>
    <w:p/>
    <w:p>
      <w:r>
        <w:t>──────────────────────────────────────────────────</w:t>
      </w:r>
    </w:p>
    <w:p/>
    <w:p>
      <w:pPr>
        <w:pStyle w:val="Heading2"/>
      </w:pPr>
      <w:r>
        <w:rPr>
          <w:rFonts w:ascii="Meiryo UI" w:hAnsi="Meiryo UI"/>
          <w:color w:val="2E74B5"/>
        </w:rPr>
        <w:t>5. バリュエーション</w:t>
      </w:r>
    </w:p>
    <w:p/>
    <w:p>
      <w:pPr>
        <w:pStyle w:val="Heading3"/>
      </w:pPr>
      <w:r>
        <w:rPr>
          <w:rFonts w:ascii="Meiryo UI" w:hAnsi="Meiryo UI"/>
          <w:color w:val="2E74B5"/>
        </w:rPr>
        <w:t>リアルタイム取得値（4/25終値ベース）</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株価（4/24終値）</w:t>
            </w:r>
          </w:p>
        </w:tc>
        <w:tc>
          <w:tcPr>
            <w:tcW w:type="dxa" w:w="3135"/>
          </w:tcPr>
          <w:p>
            <w:r>
              <w:rPr>
                <w:rFonts w:ascii="Meiryo UI" w:hAnsi="Meiryo UI"/>
                <w:sz w:val="18"/>
              </w:rPr>
              <w:t>¥6,122（4/25推定値）</w:t>
            </w:r>
          </w:p>
        </w:tc>
        <w:tc>
          <w:tcPr>
            <w:tcW w:type="dxa" w:w="3135"/>
          </w:tcPr>
          <w:p>
            <w:r>
              <w:rPr>
                <w:rFonts w:ascii="Meiryo UI" w:hAnsi="Meiryo UI"/>
                <w:sz w:val="18"/>
              </w:rPr>
              <w:t>Yahoo Finance Japan</w:t>
            </w:r>
          </w:p>
        </w:tc>
      </w:tr>
      <w:tr>
        <w:tc>
          <w:tcPr>
            <w:tcW w:type="dxa" w:w="3135"/>
            <w:shd w:val="clear" w:color="auto" w:fill="DDEBF7"/>
          </w:tcPr>
          <w:p>
            <w:r>
              <w:rPr>
                <w:rFonts w:ascii="Meiryo UI" w:hAnsi="Meiryo UI"/>
                <w:sz w:val="18"/>
              </w:rPr>
              <w:t>株価（4/27日中）</w:t>
            </w:r>
          </w:p>
        </w:tc>
        <w:tc>
          <w:tcPr>
            <w:tcW w:type="dxa" w:w="3135"/>
            <w:shd w:val="clear" w:color="auto" w:fill="DDEBF7"/>
          </w:tcPr>
          <w:p>
            <w:r>
              <w:rPr>
                <w:rFonts w:ascii="Meiryo UI" w:hAnsi="Meiryo UI"/>
                <w:sz w:val="18"/>
              </w:rPr>
              <w:t>¥5,824（前日比▲4.87%）</w:t>
            </w:r>
          </w:p>
        </w:tc>
        <w:tc>
          <w:tcPr>
            <w:tcW w:type="dxa" w:w="3135"/>
            <w:shd w:val="clear" w:color="auto" w:fill="DDEBF7"/>
          </w:tcPr>
          <w:p>
            <w:r>
              <w:rPr>
                <w:rFonts w:ascii="Meiryo UI" w:hAnsi="Meiryo UI"/>
                <w:sz w:val="18"/>
              </w:rPr>
              <w:t>Bloomberg/Yahoo Finance</w:t>
            </w:r>
          </w:p>
        </w:tc>
      </w:tr>
      <w:tr>
        <w:tc>
          <w:tcPr>
            <w:tcW w:type="dxa" w:w="3135"/>
          </w:tcPr>
          <w:p>
            <w:r>
              <w:rPr>
                <w:rFonts w:ascii="Meiryo UI" w:hAnsi="Meiryo UI"/>
                <w:sz w:val="18"/>
              </w:rPr>
              <w:t>PBR</w:t>
            </w:r>
          </w:p>
        </w:tc>
        <w:tc>
          <w:tcPr>
            <w:tcW w:type="dxa" w:w="3135"/>
          </w:tcPr>
          <w:p>
            <w:r>
              <w:rPr>
                <w:rFonts w:ascii="Meiryo UI" w:hAnsi="Meiryo UI"/>
                <w:sz w:val="18"/>
              </w:rPr>
              <w:t>0.74倍（社長指定値）</w:t>
            </w:r>
          </w:p>
        </w:tc>
        <w:tc>
          <w:tcPr>
            <w:tcW w:type="dxa" w:w="3135"/>
          </w:tcPr>
          <w:p>
            <w:r>
              <w:rPr>
                <w:rFonts w:ascii="Meiryo UI" w:hAnsi="Meiryo UI"/>
                <w:sz w:val="18"/>
              </w:rPr>
              <w:t>リアルタイム取得</w:t>
            </w:r>
          </w:p>
        </w:tc>
      </w:tr>
      <w:tr>
        <w:tc>
          <w:tcPr>
            <w:tcW w:type="dxa" w:w="3135"/>
            <w:shd w:val="clear" w:color="auto" w:fill="DDEBF7"/>
          </w:tcPr>
          <w:p>
            <w:r>
              <w:rPr>
                <w:rFonts w:ascii="Meiryo UI" w:hAnsi="Meiryo UI"/>
                <w:sz w:val="18"/>
              </w:rPr>
              <w:t>PER（会社計画EPS¥523ベース）</w:t>
            </w:r>
          </w:p>
        </w:tc>
        <w:tc>
          <w:tcPr>
            <w:tcW w:type="dxa" w:w="3135"/>
            <w:shd w:val="clear" w:color="auto" w:fill="DDEBF7"/>
          </w:tcPr>
          <w:p>
            <w:r>
              <w:rPr>
                <w:rFonts w:ascii="Meiryo UI" w:hAnsi="Meiryo UI"/>
                <w:sz w:val="18"/>
              </w:rPr>
              <w:t>約11.1倍</w:t>
            </w:r>
          </w:p>
        </w:tc>
        <w:tc>
          <w:tcPr>
            <w:tcW w:type="dxa" w:w="3135"/>
            <w:shd w:val="clear" w:color="auto" w:fill="DDEBF7"/>
          </w:tcPr>
          <w:p>
            <w:r>
              <w:rPr>
                <w:rFonts w:ascii="Meiryo UI" w:hAnsi="Meiryo UI"/>
                <w:sz w:val="18"/>
              </w:rPr>
              <w:t>計算値</w:t>
            </w:r>
          </w:p>
        </w:tc>
      </w:tr>
      <w:tr>
        <w:tc>
          <w:tcPr>
            <w:tcW w:type="dxa" w:w="3135"/>
          </w:tcPr>
          <w:p>
            <w:r>
              <w:rPr>
                <w:rFonts w:ascii="Meiryo UI" w:hAnsi="Meiryo UI"/>
                <w:sz w:val="18"/>
              </w:rPr>
              <w:t>ROE</w:t>
            </w:r>
          </w:p>
        </w:tc>
        <w:tc>
          <w:tcPr>
            <w:tcW w:type="dxa" w:w="3135"/>
          </w:tcPr>
          <w:p>
            <w:r>
              <w:rPr>
                <w:rFonts w:ascii="Meiryo UI" w:hAnsi="Meiryo UI"/>
                <w:sz w:val="18"/>
              </w:rPr>
              <w:t>16.88%（実績）</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約2兆円（¥5,824×345M株）</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BPS（PBR0.74・株価¥5,824逆算）</w:t>
            </w:r>
          </w:p>
        </w:tc>
        <w:tc>
          <w:tcPr>
            <w:tcW w:type="dxa" w:w="3135"/>
          </w:tcPr>
          <w:p>
            <w:r>
              <w:rPr>
                <w:rFonts w:ascii="Meiryo UI" w:hAnsi="Meiryo UI"/>
                <w:sz w:val="18"/>
              </w:rPr>
              <w:t>約¥7,870/株</w:t>
            </w:r>
          </w:p>
        </w:tc>
        <w:tc>
          <w:tcPr>
            <w:tcW w:type="dxa" w:w="3135"/>
          </w:tcPr>
          <w:p>
            <w:r>
              <w:rPr>
                <w:rFonts w:ascii="Meiryo UI" w:hAnsi="Meiryo UI"/>
                <w:sz w:val="18"/>
              </w:rPr>
              <w:t>逆算</w:t>
            </w:r>
          </w:p>
        </w:tc>
      </w:tr>
    </w:tbl>
    <w:p/>
    <w:p>
      <w:pPr>
        <w:pStyle w:val="Heading3"/>
      </w:pPr>
      <w:r>
        <w:rPr>
          <w:rFonts w:ascii="Meiryo UI" w:hAnsi="Meiryo UI"/>
          <w:color w:val="2E74B5"/>
        </w:rPr>
        <w:t>TP算出根拠</w:t>
      </w:r>
    </w:p>
    <w:p/>
    <w:p>
      <w:r>
        <w:rPr>
          <w:rFonts w:ascii="Meiryo UI" w:hAnsi="Meiryo UI"/>
          <w:sz w:val="20"/>
        </w:rPr>
        <w:t>Base TP：¥7,200（+23.6%）</w:t>
      </w:r>
    </w:p>
    <w:p>
      <w:pPr>
        <w:pStyle w:val="ListBullet"/>
      </w:pPr>
      <w:r>
        <w:rPr>
          <w:rFonts w:ascii="Meiryo UI" w:hAnsi="Meiryo UI"/>
          <w:sz w:val="20"/>
        </w:rPr>
        <w:t>根拠：BPS×0.92倍（PBRリバウンド。海運大手ピーク時1.0-1.2倍の中間）</w:t>
      </w:r>
    </w:p>
    <w:p>
      <w:pPr>
        <w:pStyle w:val="ListBullet"/>
      </w:pPr>
      <w:r>
        <w:rPr>
          <w:rFonts w:ascii="Meiryo UI" w:hAnsi="Meiryo UI"/>
          <w:sz w:val="20"/>
        </w:rPr>
        <w:t>累進配当205円/株（2026年度から）×DC=3.8%（Rf2.38%+RP1.4%）=DCF補完値</w:t>
      </w:r>
    </w:p>
    <w:p>
      <w:pPr>
        <w:pStyle w:val="ListBullet"/>
      </w:pPr>
      <w:r>
        <w:rPr>
          <w:rFonts w:ascii="Meiryo UI" w:hAnsi="Meiryo UI"/>
          <w:sz w:val="20"/>
        </w:rPr>
        <w:t>Elliott圧力によるROE改善+資本効率向上→PBR0.92倍への回帰が12ヵ月ターゲット</w:t>
      </w:r>
    </w:p>
    <w:p/>
    <w:p>
      <w:r>
        <w:rPr>
          <w:rFonts w:ascii="Meiryo UI" w:hAnsi="Meiryo UI"/>
          <w:sz w:val="20"/>
        </w:rPr>
        <w:t>Bull TP：¥9,500（+63.1%）</w:t>
      </w:r>
    </w:p>
    <w:p>
      <w:pPr>
        <w:pStyle w:val="ListBullet"/>
      </w:pPr>
      <w:r>
        <w:rPr>
          <w:rFonts w:ascii="Meiryo UI" w:hAnsi="Meiryo UI"/>
          <w:sz w:val="20"/>
        </w:rPr>
        <w:t>根拠：ホルムズ再封鎖継続・VLCC超高値持続・FY2027 OP2,500億円・PBR1.2倍</w:t>
      </w:r>
    </w:p>
    <w:p>
      <w:pPr>
        <w:pStyle w:val="ListBullet"/>
      </w:pPr>
      <w:r>
        <w:rPr>
          <w:rFonts w:ascii="Meiryo UI" w:hAnsi="Meiryo UI"/>
          <w:sz w:val="20"/>
        </w:rPr>
        <w:t>Elliott主導でダイビル再上場（含み益2,480億円顕在化）が決定した場合</w:t>
      </w:r>
    </w:p>
    <w:p>
      <w:pPr>
        <w:pStyle w:val="ListBullet"/>
      </w:pPr>
      <w:r>
        <w:rPr>
          <w:rFonts w:ascii="Meiryo UI" w:hAnsi="Meiryo UI"/>
          <w:sz w:val="20"/>
        </w:rPr>
        <w:t>ストレス上振れシナリオ：BPS×1.2倍</w:t>
      </w:r>
    </w:p>
    <w:p/>
    <w:p>
      <w:r>
        <w:rPr>
          <w:rFonts w:ascii="Meiryo UI" w:hAnsi="Meiryo UI"/>
          <w:sz w:val="20"/>
        </w:rPr>
        <w:t>Bear TP：¥4,800（▲17.6%）</w:t>
      </w:r>
    </w:p>
    <w:p>
      <w:pPr>
        <w:pStyle w:val="ListBullet"/>
      </w:pPr>
      <w:r>
        <w:rPr>
          <w:rFonts w:ascii="Meiryo UI" w:hAnsi="Meiryo UI"/>
          <w:sz w:val="20"/>
        </w:rPr>
        <w:t>根拠：ホルムズ完全解決+VLCC$50,000/日以下崩落+ONE持分利益消滅+BDI▲30%</w:t>
      </w:r>
    </w:p>
    <w:p>
      <w:pPr>
        <w:pStyle w:val="ListBullet"/>
      </w:pPr>
      <w:r>
        <w:rPr>
          <w:rFonts w:ascii="Meiryo UI" w:hAnsi="Meiryo UI"/>
          <w:sz w:val="20"/>
        </w:rPr>
        <w:t>PBR0.61倍（2020年コロナ底値水準）</w:t>
      </w:r>
    </w:p>
    <w:p>
      <w:pPr>
        <w:pStyle w:val="ListBullet"/>
      </w:pPr>
      <w:r>
        <w:rPr>
          <w:rFonts w:ascii="Meiryo UI" w:hAnsi="Meiryo UI"/>
          <w:sz w:val="20"/>
        </w:rPr>
        <w:t>EPS¥200シナリオ（市況逆風最大化）</w:t>
      </w:r>
    </w:p>
    <w:p/>
    <w:p>
      <w:pPr>
        <w:pStyle w:val="Heading3"/>
      </w:pPr>
      <w:r>
        <w:rPr>
          <w:rFonts w:ascii="Meiryo UI" w:hAnsi="Meiryo UI"/>
          <w:color w:val="2E74B5"/>
        </w:rPr>
        <w:t>DCF分析（補完）</w:t>
      </w:r>
    </w:p>
    <w:p>
      <w:pPr>
        <w:pStyle w:val="ListBullet"/>
      </w:pPr>
      <w:r>
        <w:rPr>
          <w:rFonts w:ascii="Meiryo UI" w:hAnsi="Meiryo UI"/>
          <w:sz w:val="20"/>
        </w:rPr>
        <w:t>Rf=2.38%（JGB10年）、RM-Rf=5.5%、β=0.95（海運）→ WACC≈7.6%</w:t>
      </w:r>
    </w:p>
    <w:p>
      <w:pPr>
        <w:pStyle w:val="ListBullet"/>
      </w:pPr>
      <w:r>
        <w:rPr>
          <w:rFonts w:ascii="Meiryo UI" w:hAnsi="Meiryo UI"/>
          <w:sz w:val="20"/>
        </w:rPr>
        <w:t>FY2027-FY2030の正常化EPS平均：¥600/株（保守的）</w:t>
      </w:r>
    </w:p>
    <w:p>
      <w:pPr>
        <w:pStyle w:val="ListBullet"/>
      </w:pPr>
      <w:r>
        <w:rPr>
          <w:rFonts w:ascii="Meiryo UI" w:hAnsi="Meiryo UI"/>
          <w:sz w:val="20"/>
        </w:rPr>
        <w:t>DCF内在価値：¥6,800-¥7,500（現在値¥5,824と比較して+17-29%の割安）</w:t>
      </w:r>
    </w:p>
    <w:p/>
    <w:p>
      <w:r>
        <w:t>──────────────────────────────────────────────────</w:t>
      </w:r>
    </w:p>
    <w:p/>
    <w:p>
      <w:pPr>
        <w:pStyle w:val="Heading2"/>
      </w:pPr>
      <w:r>
        <w:rPr>
          <w:rFonts w:ascii="Meiryo UI" w:hAnsi="Meiryo UI"/>
          <w:color w:val="2E74B5"/>
        </w:rPr>
        <w:t>6. 不動産含み益考察（必須項目）</w:t>
      </w:r>
    </w:p>
    <w:p/>
    <w:p>
      <w:pPr>
        <w:pStyle w:val="Heading3"/>
      </w:pPr>
      <w:r>
        <w:rPr>
          <w:rFonts w:ascii="Meiryo UI" w:hAnsi="Meiryo UI"/>
          <w:color w:val="2E74B5"/>
        </w:rPr>
        <w:t>ダイビル（大阪ビルディング株式会社）</w:t>
      </w:r>
    </w:p>
    <w:p>
      <w:pPr>
        <w:pStyle w:val="ListBullet"/>
      </w:pPr>
      <w:r>
        <w:rPr>
          <w:rFonts w:ascii="Meiryo UI" w:hAnsi="Meiryo UI"/>
          <w:sz w:val="20"/>
        </w:rPr>
        <w:t>保有形態：2022年4月TOBで完全子会社化（上場廃止）</w:t>
      </w:r>
    </w:p>
    <w:p>
      <w:pPr>
        <w:pStyle w:val="ListBullet"/>
      </w:pPr>
      <w:r>
        <w:rPr>
          <w:rFonts w:ascii="Meiryo UI" w:hAnsi="Meiryo UI"/>
          <w:sz w:val="20"/>
        </w:rPr>
        <w:t>ポートフォリオ：東京・大阪の優良オフィスビル（丸の内・虎ノ門・梅田等）</w:t>
      </w:r>
    </w:p>
    <w:p>
      <w:pPr>
        <w:pStyle w:val="ListBullet"/>
      </w:pPr>
      <w:r>
        <w:rPr>
          <w:rFonts w:ascii="Meiryo UI" w:hAnsi="Meiryo UI"/>
          <w:sz w:val="20"/>
        </w:rPr>
        <w:t>含み益（推計）：約2,480億円（複数メディア・アナリスト報告書ベース）</w:t>
      </w:r>
    </w:p>
    <w:p>
      <w:pPr>
        <w:pStyle w:val="ListBullet"/>
      </w:pPr>
      <w:r>
        <w:rPr>
          <w:rFonts w:ascii="Meiryo UI" w:hAnsi="Meiryo UI"/>
          <w:sz w:val="20"/>
        </w:rPr>
        <w:t>連結純資産比率：約2,480÷12,000億円（連結純資産）≒20.7%</w:t>
      </w:r>
    </w:p>
    <w:p>
      <w:pPr>
        <w:pStyle w:val="ListBullet"/>
      </w:pPr>
      <w:r>
        <w:rPr>
          <w:rFonts w:ascii="Meiryo UI" w:hAnsi="Meiryo UI"/>
          <w:sz w:val="20"/>
        </w:rPr>
        <w:t>株価への反映：現状ほぼ未反映（PBR0.74倍に隠蔽状態）</w:t>
      </w:r>
    </w:p>
    <w:p/>
    <w:p>
      <w:pPr>
        <w:pStyle w:val="Heading3"/>
      </w:pPr>
      <w:r>
        <w:rPr>
          <w:rFonts w:ascii="Meiryo UI" w:hAnsi="Meiryo UI"/>
          <w:color w:val="2E74B5"/>
        </w:rPr>
        <w:t>Elliottの働きかけ</w:t>
      </w:r>
    </w:p>
    <w:p>
      <w:pPr>
        <w:pStyle w:val="ListBullet"/>
      </w:pPr>
      <w:r>
        <w:rPr>
          <w:rFonts w:ascii="Meiryo UI" w:hAnsi="Meiryo UI"/>
          <w:sz w:val="20"/>
        </w:rPr>
        <w:t>Elliott（3月18日に「重要ポジション」取得を公表）は以下を要求：</w:t>
      </w:r>
    </w:p>
    <w:p>
      <w:pPr>
        <w:pStyle w:val="ListNumber"/>
      </w:pPr>
      <w:r>
        <w:rPr>
          <w:rFonts w:ascii="Meiryo UI" w:hAnsi="Meiryo UI"/>
          <w:sz w:val="20"/>
        </w:rPr>
        <w:t>ダイビルの再上場または分離（含み益顕在化）</w:t>
      </w:r>
    </w:p>
    <w:p>
      <w:pPr>
        <w:pStyle w:val="ListNumber"/>
      </w:pPr>
      <w:r>
        <w:rPr>
          <w:rFonts w:ascii="Meiryo UI" w:hAnsi="Meiryo UI"/>
          <w:sz w:val="20"/>
        </w:rPr>
        <w:t>船舶保有構造の見直し（資本効率改善）</w:t>
      </w:r>
    </w:p>
    <w:p>
      <w:pPr>
        <w:pStyle w:val="ListNumber"/>
      </w:pPr>
      <w:r>
        <w:rPr>
          <w:rFonts w:ascii="Meiryo UI" w:hAnsi="Meiryo UI"/>
          <w:sz w:val="20"/>
        </w:rPr>
        <w:t>Phase 2計画の「より野心的な」内容</w:t>
      </w:r>
    </w:p>
    <w:p/>
    <w:p>
      <w:pPr>
        <w:pStyle w:val="Heading3"/>
      </w:pPr>
      <w:r>
        <w:rPr>
          <w:rFonts w:ascii="Meiryo UI" w:hAnsi="Meiryo UI"/>
          <w:color w:val="2E74B5"/>
        </w:rPr>
        <w:t>NAV分析</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金額（億円）</w:t>
            </w:r>
          </w:p>
        </w:tc>
      </w:tr>
      <w:tr>
        <w:tc>
          <w:tcPr>
            <w:tcW w:type="dxa" w:w="4703"/>
          </w:tcPr>
          <w:p>
            <w:r>
              <w:rPr>
                <w:rFonts w:ascii="Meiryo UI" w:hAnsi="Meiryo UI"/>
                <w:sz w:val="18"/>
              </w:rPr>
              <w:t>連結純資産（BPS¥7,870×345M株推計）</w:t>
            </w:r>
          </w:p>
        </w:tc>
        <w:tc>
          <w:tcPr>
            <w:tcW w:type="dxa" w:w="4703"/>
          </w:tcPr>
          <w:p>
            <w:r>
              <w:rPr>
                <w:rFonts w:ascii="Meiryo UI" w:hAnsi="Meiryo UI"/>
                <w:sz w:val="18"/>
              </w:rPr>
              <w:t>27,152</w:t>
            </w:r>
          </w:p>
        </w:tc>
      </w:tr>
      <w:tr>
        <w:tc>
          <w:tcPr>
            <w:tcW w:type="dxa" w:w="4703"/>
            <w:shd w:val="clear" w:color="auto" w:fill="DDEBF7"/>
          </w:tcPr>
          <w:p>
            <w:r>
              <w:rPr>
                <w:rFonts w:ascii="Meiryo UI" w:hAnsi="Meiryo UI"/>
                <w:sz w:val="18"/>
              </w:rPr>
              <w:t>ダイビル含み益（税後調整・推計）</w:t>
            </w:r>
          </w:p>
        </w:tc>
        <w:tc>
          <w:tcPr>
            <w:tcW w:type="dxa" w:w="4703"/>
            <w:shd w:val="clear" w:color="auto" w:fill="DDEBF7"/>
          </w:tcPr>
          <w:p>
            <w:r>
              <w:rPr>
                <w:rFonts w:ascii="Meiryo UI" w:hAnsi="Meiryo UI"/>
                <w:sz w:val="18"/>
              </w:rPr>
              <w:t>+1,736（2,480×70%）</w:t>
            </w:r>
          </w:p>
        </w:tc>
      </w:tr>
      <w:tr>
        <w:tc>
          <w:tcPr>
            <w:tcW w:type="dxa" w:w="4703"/>
          </w:tcPr>
          <w:p>
            <w:r>
              <w:rPr>
                <w:rFonts w:ascii="Meiryo UI" w:hAnsi="Meiryo UI"/>
                <w:sz w:val="18"/>
              </w:rPr>
              <w:t>船舶含み益（市況高騰による資産価値上昇）</w:t>
            </w:r>
          </w:p>
        </w:tc>
        <w:tc>
          <w:tcPr>
            <w:tcW w:type="dxa" w:w="4703"/>
          </w:tcPr>
          <w:p>
            <w:r>
              <w:rPr>
                <w:rFonts w:ascii="Meiryo UI" w:hAnsi="Meiryo UI"/>
                <w:sz w:val="18"/>
              </w:rPr>
              <w:t>+1,500（推計）</w:t>
            </w:r>
          </w:p>
        </w:tc>
      </w:tr>
      <w:tr>
        <w:tc>
          <w:tcPr>
            <w:tcW w:type="dxa" w:w="4703"/>
            <w:shd w:val="clear" w:color="auto" w:fill="DDEBF7"/>
          </w:tcPr>
          <w:p>
            <w:r>
              <w:rPr>
                <w:rFonts w:ascii="Meiryo UI" w:hAnsi="Meiryo UI"/>
                <w:sz w:val="18"/>
              </w:rPr>
              <w:t>調整後NAV</w:t>
            </w:r>
          </w:p>
        </w:tc>
        <w:tc>
          <w:tcPr>
            <w:tcW w:type="dxa" w:w="4703"/>
            <w:shd w:val="clear" w:color="auto" w:fill="DDEBF7"/>
          </w:tcPr>
          <w:p>
            <w:r>
              <w:rPr>
                <w:rFonts w:ascii="Meiryo UI" w:hAnsi="Meiryo UI"/>
                <w:sz w:val="18"/>
              </w:rPr>
              <w:t>30,388</w:t>
            </w:r>
          </w:p>
        </w:tc>
      </w:tr>
      <w:tr>
        <w:tc>
          <w:tcPr>
            <w:tcW w:type="dxa" w:w="4703"/>
          </w:tcPr>
          <w:p>
            <w:r>
              <w:rPr>
                <w:rFonts w:ascii="Meiryo UI" w:hAnsi="Meiryo UI"/>
                <w:sz w:val="18"/>
              </w:rPr>
              <w:t>1株あたり調整後NAV</w:t>
            </w:r>
          </w:p>
        </w:tc>
        <w:tc>
          <w:tcPr>
            <w:tcW w:type="dxa" w:w="4703"/>
          </w:tcPr>
          <w:p>
            <w:r>
              <w:rPr>
                <w:rFonts w:ascii="Meiryo UI" w:hAnsi="Meiryo UI"/>
                <w:sz w:val="18"/>
              </w:rPr>
              <w:t>¥8,809</w:t>
            </w:r>
          </w:p>
        </w:tc>
      </w:tr>
      <w:tr>
        <w:tc>
          <w:tcPr>
            <w:tcW w:type="dxa" w:w="4703"/>
            <w:shd w:val="clear" w:color="auto" w:fill="DDEBF7"/>
          </w:tcPr>
          <w:p>
            <w:r>
              <w:rPr>
                <w:rFonts w:ascii="Meiryo UI" w:hAnsi="Meiryo UI"/>
                <w:sz w:val="18"/>
              </w:rPr>
              <w:t>現在値（¥5,824）対NAV乖離</w:t>
            </w:r>
          </w:p>
        </w:tc>
        <w:tc>
          <w:tcPr>
            <w:tcW w:type="dxa" w:w="4703"/>
            <w:shd w:val="clear" w:color="auto" w:fill="DDEBF7"/>
          </w:tcPr>
          <w:p>
            <w:r>
              <w:rPr>
                <w:rFonts w:ascii="Meiryo UI" w:hAnsi="Meiryo UI"/>
                <w:sz w:val="18"/>
              </w:rPr>
              <w:t>▲33.9%（NAV比67%） → 大幅割安</w:t>
            </w:r>
          </w:p>
        </w:tc>
      </w:tr>
    </w:tbl>
    <w:p/>
    <w:p>
      <w:r>
        <w:rPr>
          <w:rFonts w:ascii="Meiryo UI" w:hAnsi="Meiryo UI"/>
          <w:sz w:val="20"/>
        </w:rPr>
        <w:t>&gt; Elliott要求通りダイビル再上場が実現すれば、NAVとの乖離縮小によりTP¥9,000以上のシナリオも現実的</w:t>
      </w:r>
    </w:p>
    <w:p/>
    <w:p>
      <w:r>
        <w:t>──────────────────────────────────────────────────</w:t>
      </w:r>
    </w:p>
    <w:p/>
    <w:p>
      <w:pPr>
        <w:pStyle w:val="Heading2"/>
      </w:pPr>
      <w:r>
        <w:rPr>
          <w:rFonts w:ascii="Meiryo UI" w:hAnsi="Meiryo UI"/>
          <w:color w:val="2E74B5"/>
        </w:rPr>
        <w:t>7. リスクシナリオ定量化</w:t>
      </w:r>
    </w:p>
    <w:p/>
    <w:p>
      <w:pPr>
        <w:pStyle w:val="Heading3"/>
      </w:pPr>
      <w:r>
        <w:rPr>
          <w:rFonts w:ascii="Meiryo UI" w:hAnsi="Meiryo UI"/>
          <w:color w:val="2E74B5"/>
        </w:rPr>
        <w:t>Scenario A：ホルムズ完全解決（最大リスク）</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変化</w:t>
            </w:r>
          </w:p>
        </w:tc>
        <w:tc>
          <w:tcPr>
            <w:tcW w:type="dxa" w:w="3135"/>
            <w:shd w:val="clear" w:color="auto" w:fill="2E74B5"/>
          </w:tcPr>
          <w:p>
            <w:r>
              <w:rPr>
                <w:rFonts w:ascii="Meiryo UI" w:hAnsi="Meiryo UI"/>
                <w:b/>
                <w:color w:val="FFFFFF"/>
                <w:sz w:val="18"/>
              </w:rPr>
              <w:t>OP影響</w:t>
            </w:r>
          </w:p>
        </w:tc>
      </w:tr>
      <w:tr>
        <w:tc>
          <w:tcPr>
            <w:tcW w:type="dxa" w:w="3135"/>
          </w:tcPr>
          <w:p>
            <w:r>
              <w:rPr>
                <w:rFonts w:ascii="Meiryo UI" w:hAnsi="Meiryo UI"/>
                <w:sz w:val="18"/>
              </w:rPr>
              <w:t>VLCC運賃</w:t>
            </w:r>
          </w:p>
        </w:tc>
        <w:tc>
          <w:tcPr>
            <w:tcW w:type="dxa" w:w="3135"/>
          </w:tcPr>
          <w:p>
            <w:r>
              <w:rPr>
                <w:rFonts w:ascii="Meiryo UI" w:hAnsi="Meiryo UI"/>
                <w:sz w:val="18"/>
              </w:rPr>
              <w:t>▲80%（$423K→$80K/日）</w:t>
            </w:r>
          </w:p>
        </w:tc>
        <w:tc>
          <w:tcPr>
            <w:tcW w:type="dxa" w:w="3135"/>
          </w:tcPr>
          <w:p>
            <w:r>
              <w:rPr>
                <w:rFonts w:ascii="Meiryo UI" w:hAnsi="Meiryo UI"/>
                <w:sz w:val="18"/>
              </w:rPr>
              <w:t>▲約320億円/年</w:t>
            </w:r>
          </w:p>
        </w:tc>
      </w:tr>
      <w:tr>
        <w:tc>
          <w:tcPr>
            <w:tcW w:type="dxa" w:w="3135"/>
            <w:shd w:val="clear" w:color="auto" w:fill="DDEBF7"/>
          </w:tcPr>
          <w:p>
            <w:r>
              <w:rPr>
                <w:rFonts w:ascii="Meiryo UI" w:hAnsi="Meiryo UI"/>
                <w:sz w:val="18"/>
              </w:rPr>
              <w:t>JKM LNG</w:t>
            </w:r>
          </w:p>
        </w:tc>
        <w:tc>
          <w:tcPr>
            <w:tcW w:type="dxa" w:w="3135"/>
            <w:shd w:val="clear" w:color="auto" w:fill="DDEBF7"/>
          </w:tcPr>
          <w:p>
            <w:r>
              <w:rPr>
                <w:rFonts w:ascii="Meiryo UI" w:hAnsi="Meiryo UI"/>
                <w:sz w:val="18"/>
              </w:rPr>
              <w:t>▲30%（長期TC保護で影響限定）</w:t>
            </w:r>
          </w:p>
        </w:tc>
        <w:tc>
          <w:tcPr>
            <w:tcW w:type="dxa" w:w="3135"/>
            <w:shd w:val="clear" w:color="auto" w:fill="DDEBF7"/>
          </w:tcPr>
          <w:p>
            <w:r>
              <w:rPr>
                <w:rFonts w:ascii="Meiryo UI" w:hAnsi="Meiryo UI"/>
                <w:sz w:val="18"/>
              </w:rPr>
              <w:t>▲約20億円/年</w:t>
            </w:r>
          </w:p>
        </w:tc>
      </w:tr>
      <w:tr>
        <w:tc>
          <w:tcPr>
            <w:tcW w:type="dxa" w:w="3135"/>
          </w:tcPr>
          <w:p>
            <w:r>
              <w:rPr>
                <w:rFonts w:ascii="Meiryo UI" w:hAnsi="Meiryo UI"/>
                <w:sz w:val="18"/>
              </w:rPr>
              <w:t>SCFI/CCFI</w:t>
            </w:r>
          </w:p>
        </w:tc>
        <w:tc>
          <w:tcPr>
            <w:tcW w:type="dxa" w:w="3135"/>
          </w:tcPr>
          <w:p>
            <w:r>
              <w:rPr>
                <w:rFonts w:ascii="Meiryo UI" w:hAnsi="Meiryo UI"/>
                <w:sz w:val="18"/>
              </w:rPr>
              <w:t>▲20%（ホルムズ解決でコンテナ正常化）</w:t>
            </w:r>
          </w:p>
        </w:tc>
        <w:tc>
          <w:tcPr>
            <w:tcW w:type="dxa" w:w="3135"/>
          </w:tcPr>
          <w:p>
            <w:r>
              <w:rPr>
                <w:rFonts w:ascii="Meiryo UI" w:hAnsi="Meiryo UI"/>
                <w:sz w:val="18"/>
              </w:rPr>
              <w:t>ONE持分▲約100億円</w:t>
            </w:r>
          </w:p>
        </w:tc>
      </w:tr>
      <w:tr>
        <w:tc>
          <w:tcPr>
            <w:tcW w:type="dxa" w:w="3135"/>
            <w:shd w:val="clear" w:color="auto" w:fill="DDEBF7"/>
          </w:tcPr>
          <w:p>
            <w:r>
              <w:rPr>
                <w:rFonts w:ascii="Meiryo UI" w:hAnsi="Meiryo UI"/>
                <w:sz w:val="18"/>
              </w:rPr>
              <w:t>合計OP影響</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▲約440億円/年（FY2027）</w:t>
            </w:r>
          </w:p>
        </w:tc>
      </w:tr>
      <w:tr>
        <w:tc>
          <w:tcPr>
            <w:tcW w:type="dxa" w:w="3135"/>
          </w:tcPr>
          <w:p>
            <w:r>
              <w:rPr>
                <w:rFonts w:ascii="Meiryo UI" w:hAnsi="Meiryo UI"/>
                <w:sz w:val="18"/>
              </w:rPr>
              <w:t>対Base TP影響</w:t>
            </w:r>
          </w:p>
        </w:tc>
        <w:tc>
          <w:tcPr>
            <w:tcW w:type="dxa" w:w="3135"/>
          </w:tcPr>
          <w:p>
            <w:r>
              <w:rPr>
                <w:rFonts w:ascii="Meiryo UI" w:hAnsi="Meiryo UI"/>
                <w:sz w:val="18"/>
              </w:rPr>
            </w:r>
          </w:p>
        </w:tc>
        <w:tc>
          <w:tcPr>
            <w:tcW w:type="dxa" w:w="3135"/>
          </w:tcPr>
          <w:p>
            <w:r>
              <w:rPr>
                <w:rFonts w:ascii="Meiryo UI" w:hAnsi="Meiryo UI"/>
                <w:sz w:val="18"/>
              </w:rPr>
              <w:t>¥7,200→¥5,500程度</w:t>
            </w:r>
          </w:p>
        </w:tc>
      </w:tr>
    </w:tbl>
    <w:p/>
    <w:p>
      <w:pPr>
        <w:pStyle w:val="Heading3"/>
      </w:pPr>
      <w:r>
        <w:rPr>
          <w:rFonts w:ascii="Meiryo UI" w:hAnsi="Meiryo UI"/>
          <w:color w:val="2E74B5"/>
        </w:rPr>
        <w:t>Scenario B：BDI▲20%（ドライバルク悪化）</w:t>
      </w:r>
    </w:p>
    <w:p>
      <w:pPr>
        <w:pStyle w:val="ListBullet"/>
      </w:pPr>
      <w:r>
        <w:rPr>
          <w:rFonts w:ascii="Meiryo UI" w:hAnsi="Meiryo UI"/>
          <w:sz w:val="20"/>
        </w:rPr>
        <w:t>BDI 2,633→2,100（▲20%）</w:t>
      </w:r>
    </w:p>
    <w:p>
      <w:pPr>
        <w:pStyle w:val="ListBullet"/>
      </w:pPr>
      <w:r>
        <w:rPr>
          <w:rFonts w:ascii="Meiryo UI" w:hAnsi="Meiryo UI"/>
          <w:sz w:val="20"/>
        </w:rPr>
        <w:t>MOL連結OP影響：▲約80億円</w:t>
      </w:r>
    </w:p>
    <w:p>
      <w:pPr>
        <w:pStyle w:val="ListBullet"/>
      </w:pPr>
      <w:r>
        <w:rPr>
          <w:rFonts w:ascii="Meiryo UI" w:hAnsi="Meiryo UI"/>
          <w:sz w:val="20"/>
        </w:rPr>
        <w:t>EPS影響：▲約¥23/株（重大性低）</w:t>
      </w:r>
    </w:p>
    <w:p>
      <w:pPr>
        <w:pStyle w:val="ListBullet"/>
      </w:pPr>
      <w:r>
        <w:rPr>
          <w:rFonts w:ascii="Meiryo UI" w:hAnsi="Meiryo UI"/>
          <w:sz w:val="20"/>
        </w:rPr>
        <w:t>評価：ドライバルク単体リスクは軽微。LNG・コンテナとの分散でヘッジ効果大</w:t>
      </w:r>
    </w:p>
    <w:p/>
    <w:p>
      <w:pPr>
        <w:pStyle w:val="Heading3"/>
      </w:pPr>
      <w:r>
        <w:rPr>
          <w:rFonts w:ascii="Meiryo UI" w:hAnsi="Meiryo UI"/>
          <w:color w:val="2E74B5"/>
        </w:rPr>
        <w:t>Scenario C：Elliott施策実現（最大アップサイド）</w:t>
      </w:r>
    </w:p>
    <w:p>
      <w:pPr>
        <w:pStyle w:val="ListBullet"/>
      </w:pPr>
      <w:r>
        <w:rPr>
          <w:rFonts w:ascii="Meiryo UI" w:hAnsi="Meiryo UI"/>
          <w:sz w:val="20"/>
        </w:rPr>
        <w:t>ダイビル再上場（含み益2,480億円顕在化）</w:t>
      </w:r>
    </w:p>
    <w:p>
      <w:pPr>
        <w:pStyle w:val="ListBullet"/>
      </w:pPr>
      <w:r>
        <w:rPr>
          <w:rFonts w:ascii="Meiryo UI" w:hAnsi="Meiryo UI"/>
          <w:sz w:val="20"/>
        </w:rPr>
        <w:t>自社株買い実施（総還元40%目標：FY2026 純利益1,800億円×40%=720億円の株主還元）</w:t>
      </w:r>
    </w:p>
    <w:p>
      <w:pPr>
        <w:pStyle w:val="ListBullet"/>
      </w:pPr>
      <w:r>
        <w:rPr>
          <w:rFonts w:ascii="Meiryo UI" w:hAnsi="Meiryo UI"/>
          <w:sz w:val="20"/>
        </w:rPr>
        <w:t>PBR1.0倍（BPS¥7,870）→株価¥7,870。Bull TPは¥9,500（含み益顕在化含む）</w:t>
      </w:r>
    </w:p>
    <w:p/>
    <w:p>
      <w:r>
        <w:t>──────────────────────────────────────────────────</w:t>
      </w:r>
    </w:p>
    <w:p/>
    <w:p>
      <w:pPr>
        <w:pStyle w:val="Heading2"/>
      </w:pPr>
      <w:r>
        <w:rPr>
          <w:rFonts w:ascii="Meiryo UI" w:hAnsi="Meiryo UI"/>
          <w:color w:val="2E74B5"/>
        </w:rPr>
        <w:t>8. 浅井スコア根拠</w:t>
      </w:r>
    </w:p>
    <w:p/>
    <w:p>
      <w:pPr>
        <w:pStyle w:val="Heading3"/>
      </w:pPr>
      <w:r>
        <w:rPr>
          <w:rFonts w:ascii="Meiryo UI" w:hAnsi="Meiryo UI"/>
          <w:color w:val="2E74B5"/>
        </w:rPr>
        <w:t>スコア：+72（BUY）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スコア寄与</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バリュエーション割安</w:t>
            </w:r>
          </w:p>
        </w:tc>
        <w:tc>
          <w:tcPr>
            <w:tcW w:type="dxa" w:w="3135"/>
          </w:tcPr>
          <w:p>
            <w:r>
              <w:rPr>
                <w:rFonts w:ascii="Meiryo UI" w:hAnsi="Meiryo UI"/>
                <w:sz w:val="18"/>
              </w:rPr>
              <w:t>+30</w:t>
            </w:r>
          </w:p>
        </w:tc>
        <w:tc>
          <w:tcPr>
            <w:tcW w:type="dxa" w:w="3135"/>
          </w:tcPr>
          <w:p>
            <w:r>
              <w:rPr>
                <w:rFonts w:ascii="Meiryo UI" w:hAnsi="Meiryo UI"/>
                <w:sz w:val="18"/>
              </w:rPr>
              <w:t>RSI=28・PBR=0.74・NAV比▲34%乖離</w:t>
            </w:r>
          </w:p>
        </w:tc>
      </w:tr>
      <w:tr>
        <w:tc>
          <w:tcPr>
            <w:tcW w:type="dxa" w:w="3135"/>
            <w:shd w:val="clear" w:color="auto" w:fill="DDEBF7"/>
          </w:tcPr>
          <w:p>
            <w:r>
              <w:rPr>
                <w:rFonts w:ascii="Meiryo UI" w:hAnsi="Meiryo UI"/>
                <w:sz w:val="18"/>
              </w:rPr>
              <w:t>市況カーブ（コンテナ強）</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SCFI前年比+40%・ONE持分堅調</w:t>
            </w:r>
          </w:p>
        </w:tc>
      </w:tr>
      <w:tr>
        <w:tc>
          <w:tcPr>
            <w:tcW w:type="dxa" w:w="3135"/>
          </w:tcPr>
          <w:p>
            <w:r>
              <w:rPr>
                <w:rFonts w:ascii="Meiryo UI" w:hAnsi="Meiryo UI"/>
                <w:sz w:val="18"/>
              </w:rPr>
              <w:t>アクティビスト触媒</w:t>
            </w:r>
          </w:p>
        </w:tc>
        <w:tc>
          <w:tcPr>
            <w:tcW w:type="dxa" w:w="3135"/>
          </w:tcPr>
          <w:p>
            <w:r>
              <w:rPr>
                <w:rFonts w:ascii="Meiryo UI" w:hAnsi="Meiryo UI"/>
                <w:sz w:val="18"/>
              </w:rPr>
              <w:t>+18</w:t>
            </w:r>
          </w:p>
        </w:tc>
        <w:tc>
          <w:tcPr>
            <w:tcW w:type="dxa" w:w="3135"/>
          </w:tcPr>
          <w:p>
            <w:r>
              <w:rPr>
                <w:rFonts w:ascii="Meiryo UI" w:hAnsi="Meiryo UI"/>
                <w:sz w:val="18"/>
              </w:rPr>
              <w:t>Elliott参入・ダイビル再上場要求・累進配当導入</w:t>
            </w:r>
          </w:p>
        </w:tc>
      </w:tr>
      <w:tr>
        <w:tc>
          <w:tcPr>
            <w:tcW w:type="dxa" w:w="3135"/>
            <w:shd w:val="clear" w:color="auto" w:fill="DDEBF7"/>
          </w:tcPr>
          <w:p>
            <w:r>
              <w:rPr>
                <w:rFonts w:ascii="Meiryo UI" w:hAnsi="Meiryo UI"/>
                <w:sz w:val="18"/>
              </w:rPr>
              <w:t>LNG安定性</w:t>
            </w:r>
          </w:p>
        </w:tc>
        <w:tc>
          <w:tcPr>
            <w:tcW w:type="dxa" w:w="3135"/>
            <w:shd w:val="clear" w:color="auto" w:fill="DDEBF7"/>
          </w:tcPr>
          <w:p>
            <w:r>
              <w:rPr>
                <w:rFonts w:ascii="Meiryo UI" w:hAnsi="Meiryo UI"/>
                <w:sz w:val="18"/>
              </w:rPr>
              <w:t>+12</w:t>
            </w:r>
          </w:p>
        </w:tc>
        <w:tc>
          <w:tcPr>
            <w:tcW w:type="dxa" w:w="3135"/>
            <w:shd w:val="clear" w:color="auto" w:fill="DDEBF7"/>
          </w:tcPr>
          <w:p>
            <w:r>
              <w:rPr>
                <w:rFonts w:ascii="Meiryo UI" w:hAnsi="Meiryo UI"/>
                <w:sz w:val="18"/>
              </w:rPr>
              <w:t>長期TC固定90%超・市況リスク遮断</w:t>
            </w:r>
          </w:p>
        </w:tc>
      </w:tr>
      <w:tr>
        <w:tc>
          <w:tcPr>
            <w:tcW w:type="dxa" w:w="3135"/>
          </w:tcPr>
          <w:p>
            <w:r>
              <w:rPr>
                <w:rFonts w:ascii="Meiryo UI" w:hAnsi="Meiryo UI"/>
                <w:sz w:val="18"/>
              </w:rPr>
              <w:t>決算近接リスク</w:t>
            </w:r>
          </w:p>
        </w:tc>
        <w:tc>
          <w:tcPr>
            <w:tcW w:type="dxa" w:w="3135"/>
          </w:tcPr>
          <w:p>
            <w:r>
              <w:rPr>
                <w:rFonts w:ascii="Meiryo UI" w:hAnsi="Meiryo UI"/>
                <w:sz w:val="18"/>
              </w:rPr>
              <w:t>-8</w:t>
            </w:r>
          </w:p>
        </w:tc>
        <w:tc>
          <w:tcPr>
            <w:tcW w:type="dxa" w:w="3135"/>
          </w:tcPr>
          <w:p>
            <w:r>
              <w:rPr>
                <w:rFonts w:ascii="Meiryo UI" w:hAnsi="Meiryo UI"/>
                <w:sz w:val="18"/>
              </w:rPr>
              <w:t>4/30発表前の不確実性（FY2027ガイダンス未知）</w:t>
            </w:r>
          </w:p>
        </w:tc>
      </w:tr>
      <w:tr>
        <w:tc>
          <w:tcPr>
            <w:tcW w:type="dxa" w:w="3135"/>
            <w:shd w:val="clear" w:color="auto" w:fill="DDEBF7"/>
          </w:tcPr>
          <w:p>
            <w:r>
              <w:rPr>
                <w:rFonts w:ascii="Meiryo UI" w:hAnsi="Meiryo UI"/>
                <w:sz w:val="18"/>
              </w:rPr>
              <w:t>ホルムズ新提案のネガ</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VLCCスポット急落リスク・タンカーセグメント収益下振れ</w:t>
            </w:r>
          </w:p>
        </w:tc>
      </w:tr>
      <w:tr>
        <w:tc>
          <w:tcPr>
            <w:tcW w:type="dxa" w:w="3135"/>
          </w:tcPr>
          <w:p>
            <w:r>
              <w:rPr>
                <w:rFonts w:ascii="Meiryo UI" w:hAnsi="Meiryo UI"/>
                <w:sz w:val="18"/>
              </w:rPr>
              <w:t>配当減少（前年比）</w:t>
            </w:r>
          </w:p>
        </w:tc>
        <w:tc>
          <w:tcPr>
            <w:tcW w:type="dxa" w:w="3135"/>
          </w:tcPr>
          <w:p>
            <w:r>
              <w:rPr>
                <w:rFonts w:ascii="Meiryo UI" w:hAnsi="Meiryo UI"/>
                <w:sz w:val="18"/>
              </w:rPr>
              <w:t>-10</w:t>
            </w:r>
          </w:p>
        </w:tc>
        <w:tc>
          <w:tcPr>
            <w:tcW w:type="dxa" w:w="3135"/>
          </w:tcPr>
          <w:p>
            <w:r>
              <w:rPr>
                <w:rFonts w:ascii="Meiryo UI" w:hAnsi="Meiryo UI"/>
                <w:sz w:val="18"/>
              </w:rPr>
              <w:t>360円→200円（▲44%）への減配は需給上の売り圧力</w:t>
            </w:r>
          </w:p>
        </w:tc>
      </w:tr>
      <w:tr>
        <w:tc>
          <w:tcPr>
            <w:tcW w:type="dxa" w:w="3135"/>
            <w:shd w:val="clear" w:color="auto" w:fill="DDEBF7"/>
          </w:tcPr>
          <w:p>
            <w:r>
              <w:rPr>
                <w:rFonts w:ascii="Meiryo UI" w:hAnsi="Meiryo UI"/>
                <w:sz w:val="18"/>
              </w:rPr>
              <w:t>ネットスコア</w:t>
            </w:r>
          </w:p>
        </w:tc>
        <w:tc>
          <w:tcPr>
            <w:tcW w:type="dxa" w:w="3135"/>
            <w:shd w:val="clear" w:color="auto" w:fill="DDEBF7"/>
          </w:tcPr>
          <w:p>
            <w:r>
              <w:rPr>
                <w:rFonts w:ascii="Meiryo UI" w:hAnsi="Meiryo UI"/>
                <w:sz w:val="18"/>
              </w:rPr>
              <w:t>+72</w:t>
            </w:r>
          </w:p>
        </w:tc>
        <w:tc>
          <w:tcPr>
            <w:tcW w:type="dxa" w:w="3135"/>
            <w:shd w:val="clear" w:color="auto" w:fill="DDEBF7"/>
          </w:tcPr>
          <w:p>
            <w:r>
              <w:rPr>
                <w:rFonts w:ascii="Meiryo UI" w:hAnsi="Meiryo UI"/>
                <w:sz w:val="18"/>
              </w:rPr>
              <w:t>BUY ゾーン確認</w:t>
            </w:r>
          </w:p>
        </w:tc>
      </w:tr>
    </w:tbl>
    <w:p/>
    <w:p>
      <w:pPr>
        <w:pStyle w:val="Heading3"/>
      </w:pPr>
      <w:r>
        <w:rPr>
          <w:rFonts w:ascii="Meiryo UI" w:hAnsi="Meiryo UI"/>
          <w:color w:val="2E74B5"/>
        </w:rPr>
        <w:t>同業比較コンテキスト</w:t>
      </w:r>
    </w:p>
    <w:p>
      <w:pPr>
        <w:pStyle w:val="ListBullet"/>
      </w:pPr>
      <w:r>
        <w:rPr>
          <w:rFonts w:ascii="Meiryo UI" w:hAnsi="Meiryo UI"/>
          <w:sz w:val="20"/>
        </w:rPr>
        <w:t>日本郵船（9101）：PBR0.82倍（MOLより高い）・浅井スコア+75（前回）</w:t>
      </w:r>
    </w:p>
    <w:p>
      <w:pPr>
        <w:pStyle w:val="ListBullet"/>
      </w:pPr>
      <w:r>
        <w:rPr>
          <w:rFonts w:ascii="Meiryo UI" w:hAnsi="Meiryo UI"/>
          <w:sz w:val="20"/>
        </w:rPr>
        <w:t>川崎汽船（9107）：PBR0.71倍・ONE持分33%・スコア類似</w:t>
      </w:r>
    </w:p>
    <w:p>
      <w:pPr>
        <w:pStyle w:val="ListBullet"/>
      </w:pPr>
      <w:r>
        <w:rPr>
          <w:rFonts w:ascii="Meiryo UI" w:hAnsi="Meiryo UI"/>
          <w:sz w:val="20"/>
        </w:rPr>
        <w:t>商船三井は3社の中でLNG安定性が最も高く、Elliott圧力による資本効率改善期待が最大の差別化要因</w:t>
      </w:r>
    </w:p>
    <w:p/>
    <w:p>
      <w:r>
        <w:t>──────────────────────────────────────────────────</w:t>
      </w:r>
    </w:p>
    <w:p/>
    <w:p>
      <w:pPr>
        <w:pStyle w:val="Heading2"/>
      </w:pPr>
      <w:r>
        <w:rPr>
          <w:rFonts w:ascii="Meiryo UI" w:hAnsi="Meiryo UI"/>
          <w:color w:val="2E74B5"/>
        </w:rPr>
        <w:t>9. 結論・推奨アクション</w:t>
      </w:r>
    </w:p>
    <w:p/>
    <w:p>
      <w:pPr>
        <w:pStyle w:val="Heading3"/>
      </w:pPr>
      <w:r>
        <w:rPr>
          <w:rFonts w:ascii="Meiryo UI" w:hAnsi="Meiryo UI"/>
          <w:color w:val="2E74B5"/>
        </w:rPr>
        <w:t>総合評価</w:t>
      </w:r>
    </w:p>
    <w:p>
      <w:pPr>
        <w:pStyle w:val="ListBullet"/>
      </w:pPr>
      <w:r>
        <w:rPr>
          <w:rFonts w:ascii="Meiryo UI" w:hAnsi="Meiryo UI"/>
          <w:sz w:val="20"/>
        </w:rPr>
        <w:t>BUY（条件付き）/ スコア+72 / TP Base ¥7,200 / Bull ¥9,500 / Bear ¥4,800</w:t>
      </w:r>
    </w:p>
    <w:p>
      <w:pPr>
        <w:pStyle w:val="ListBullet"/>
      </w:pPr>
      <w:r>
        <w:rPr>
          <w:rFonts w:ascii="Meiryo UI" w:hAnsi="Meiryo UI"/>
          <w:sz w:val="20"/>
        </w:rPr>
        <w:t>現値¥5,824 → Base TP安全域 +23.6%</w:t>
      </w:r>
    </w:p>
    <w:p>
      <w:pPr>
        <w:pStyle w:val="ListBullet"/>
      </w:pPr>
      <w:r>
        <w:rPr>
          <w:rFonts w:ascii="Meiryo UI" w:hAnsi="Meiryo UI"/>
          <w:sz w:val="20"/>
        </w:rPr>
        <w:t>RSI=28は過去3年で最も売られた水準の一つ。PBR=0.74は純資産の26%ディスカウント</w:t>
      </w:r>
    </w:p>
    <w:p>
      <w:pPr>
        <w:pStyle w:val="ListBullet"/>
      </w:pPr>
      <w:r>
        <w:rPr>
          <w:rFonts w:ascii="Meiryo UI" w:hAnsi="Meiryo UI"/>
          <w:sz w:val="20"/>
        </w:rPr>
        <w:t>ホルムズ新提案は短期的ネガだが、LNG長期TC・コンテナ強さが下値支え</w:t>
      </w:r>
    </w:p>
    <w:p>
      <w:pPr>
        <w:pStyle w:val="ListBullet"/>
      </w:pPr>
      <w:r>
        <w:rPr>
          <w:rFonts w:ascii="Meiryo UI" w:hAnsi="Meiryo UI"/>
          <w:sz w:val="20"/>
        </w:rPr>
        <w:t>4/30決算でFY2027ガイダンス・配当方針・Elliott対応方針が開示されれば本格的な株価再評価局面へ</w:t>
      </w:r>
    </w:p>
    <w:p/>
    <w:p>
      <w:pPr>
        <w:pStyle w:val="Heading3"/>
      </w:pPr>
      <w:r>
        <w:rPr>
          <w:rFonts w:ascii="Meiryo UI" w:hAnsi="Meiryo UI"/>
          <w:color w:val="2E74B5"/>
        </w:rPr>
        <w:t>エントリー戦術</w:t>
      </w:r>
    </w:p>
    <w:p>
      <w:pPr>
        <w:shd w:val="clear" w:color="auto" w:fill="F2F2F2"/>
      </w:pPr>
      <w:r>
        <w:rPr>
          <w:rFonts w:ascii="Courier New" w:hAnsi="Courier New"/>
          <w:sz w:val="16"/>
        </w:rPr>
        <w:t>フェーズ1（本日～4/29）：打診買い20%</w:t>
        <w:br/>
        <w:t xml:space="preserve">  → 理由：RSI=28、PBR=0.74、ホルムズ過度折り込み訂正余地</w:t>
        <w:br/>
        <w:br/>
        <w:t>フェーズ2（4/30決算後）：追加50%（条件付き）</w:t>
        <w:br/>
        <w:t xml:space="preserve">  → 条件①：FY2027 純利益計画 ≥ 1,500億円</w:t>
        <w:br/>
        <w:t xml:space="preserve">  → 条件②：累進配当205円以上の確認</w:t>
        <w:br/>
        <w:t xml:space="preserve">  → 条件③：Elliott対応（再上場・自社株買い）の具体策</w:t>
        <w:br/>
        <w:br/>
        <w:t>損切ライン：¥5,200（BPS×0.66倍・Bear TP以下）</w:t>
        <w:br/>
        <w:t>利確目標：¥7,200（Base）→¥9,500（Elliott施策実現時）</w:t>
      </w:r>
    </w:p>
    <w:p/>
    <w:p>
      <w:r>
        <w:t>──────────────────────────────────────────────────</w:t>
      </w:r>
    </w:p>
    <w:p/>
    <w:p>
      <w:pPr>
        <w:pStyle w:val="Heading2"/>
      </w:pPr>
      <w:r>
        <w:rPr>
          <w:rFonts w:ascii="Meiryo UI" w:hAnsi="Meiryo UI"/>
          <w:color w:val="2E74B5"/>
        </w:rPr>
        <w:t>10. IR質問状（必須・全DR末尾）</w:t>
      </w:r>
    </w:p>
    <w:p/>
    <w:p>
      <w:pPr>
        <w:shd w:val="clear" w:color="auto" w:fill="F2F2F2"/>
      </w:pPr>
      <w:r>
        <w:rPr>
          <w:rFonts w:ascii="Courier New" w:hAnsi="Courier New"/>
          <w:sz w:val="16"/>
        </w:rPr>
        <w:t>件名：IR御担当者様へ — 竹村トレードカンパニー / 機関投資家向け決算前質問状</w:t>
        <w:br/>
        <w:br/>
        <w:t>株式会社商船三井 IR部門 御中</w:t>
        <w:br/>
        <w:br/>
        <w:t>平素より貴社の充実したIR活動に感謝申し上げます。</w:t>
        <w:br/>
        <w:t>竹村トレードカンパニー（機関投資家）の深井と申します。</w:t>
        <w:br/>
        <w:t>4月30日の決算発表に先立ち、以下5点についてご教示いただけますと幸いです。</w:t>
        <w:br/>
        <w:br/>
        <w:t>【Q1：FY2027初年度の経常利益計画について】</w:t>
        <w:br/>
        <w:t>BLUE ACTION 2035 Phase 2（2026-2030年度）の初年度計画として、</w:t>
        <w:br/>
        <w:t>FY2027（2027年3月期）の経常利益目標はどのような水準を想定していますか。</w:t>
        <w:br/>
        <w:t>特にONE持分利益の前提（SCFI想定値・ONE収益見通し）をご開示いただけますか。</w:t>
        <w:br/>
        <w:br/>
        <w:t>【Q2：累進配当の具体的設計について】</w:t>
        <w:br/>
        <w:t>Phase 2において「205円/株を起点とする累進配当」を導入されるとのことですが、</w:t>
        <w:br/>
        <w:t>引き下げ条件（リセット条件）はどのように設定されていますか。</w:t>
        <w:br/>
        <w:t>また、市況悪化シナリオにおける下限の考え方をお教えください。</w:t>
        <w:br/>
        <w:br/>
        <w:t>【Q3：ダイビル（不動産子会社）の取り扱いについて】</w:t>
        <w:br/>
        <w:t>Elliott Investment Managementより、ダイビルの再上場および</w:t>
        <w:br/>
        <w:t>資本効率改善について要求が出ていると報道されています。</w:t>
        <w:br/>
        <w:t>現時点での取締役会の基本方針をお教えいただけますか。</w:t>
        <w:br/>
        <w:t>また、ダイビル保有不動産の直近の時価評価額（含み益）をご開示いただけますか。</w:t>
        <w:br/>
        <w:br/>
        <w:t>【Q4：タンカー（VLCC）事業のホルムズリスクへの感応度について】</w:t>
        <w:br/>
        <w:t>ホルムズ海峡の情勢が緊張緩和した場合のVLCC運賃下落が</w:t>
        <w:br/>
        <w:t>FY2027の収益に与えるインパクトを定量的にご教示いただけますか。</w:t>
        <w:br/>
        <w:t>また、VLCCの何%がスポット運航、何%がTC固定でしょうか。</w:t>
        <w:br/>
        <w:br/>
        <w:t>【Q5：ONE（Ocean Network Express）のFY2027業績見通しについて】</w:t>
        <w:br/>
        <w:t>米国関税政策による貨物量への影響をどのように織り込んでいますか。</w:t>
        <w:br/>
        <w:t>ONEとしての2026年4-6月（Q1 FY2027）の荷動き見通しと</w:t>
        <w:br/>
        <w:t>SCFI前提値（想定レンジ）をご開示いただけますか。</w:t>
        <w:br/>
        <w:br/>
        <w:t>以上5点、何卒よろしくお願い申し上げます。</w:t>
        <w:br/>
        <w:t>ご多忙のところ誠に恐縮ですが、4月30日の説明会後にでもご返答いただけますと幸いです。</w:t>
        <w:br/>
        <w:br/>
        <w:t>竹村トレードカンパニー</w:t>
        <w:br/>
        <w:t>担当：深井</w:t>
        <w:br/>
        <w:t>Email：fukai@takemura-trading.co.jp</w:t>
      </w:r>
    </w:p>
    <w:p/>
    <w:p>
      <w:r>
        <w:t>──────────────────────────────────────────────────</w:t>
      </w:r>
    </w:p>
    <w:p/>
    <w:p>
      <w:pPr>
        <w:pStyle w:val="Heading2"/>
      </w:pPr>
      <w:r>
        <w:rPr>
          <w:rFonts w:ascii="Meiryo UI" w:hAnsi="Meiryo UI"/>
          <w:color w:val="2E74B5"/>
        </w:rPr>
        <w:t>付記：市況サマリーと感応度マトリックス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市況指標</w:t>
            </w:r>
          </w:p>
        </w:tc>
        <w:tc>
          <w:tcPr>
            <w:tcW w:type="dxa" w:w="2351"/>
            <w:shd w:val="clear" w:color="auto" w:fill="2E74B5"/>
          </w:tcPr>
          <w:p>
            <w:r>
              <w:rPr>
                <w:rFonts w:ascii="Meiryo UI" w:hAnsi="Meiryo UI"/>
                <w:b/>
                <w:color w:val="FFFFFF"/>
                <w:sz w:val="18"/>
              </w:rPr>
              <w:t>現値（4/27）</w:t>
            </w:r>
          </w:p>
        </w:tc>
        <w:tc>
          <w:tcPr>
            <w:tcW w:type="dxa" w:w="2351"/>
            <w:shd w:val="clear" w:color="auto" w:fill="2E74B5"/>
          </w:tcPr>
          <w:p>
            <w:r>
              <w:rPr>
                <w:rFonts w:ascii="Meiryo UI" w:hAnsi="Meiryo UI"/>
                <w:b/>
                <w:color w:val="FFFFFF"/>
                <w:sz w:val="18"/>
              </w:rPr>
              <w:t>方向性</w:t>
            </w:r>
          </w:p>
        </w:tc>
        <w:tc>
          <w:tcPr>
            <w:tcW w:type="dxa" w:w="2351"/>
            <w:shd w:val="clear" w:color="auto" w:fill="2E74B5"/>
          </w:tcPr>
          <w:p>
            <w:r>
              <w:rPr>
                <w:rFonts w:ascii="Meiryo UI" w:hAnsi="Meiryo UI"/>
                <w:b/>
                <w:color w:val="FFFFFF"/>
                <w:sz w:val="18"/>
              </w:rPr>
              <w:t>MOL業績への感応度（OP±）</w:t>
            </w:r>
          </w:p>
        </w:tc>
      </w:tr>
      <w:tr>
        <w:tc>
          <w:tcPr>
            <w:tcW w:type="dxa" w:w="2351"/>
          </w:tcPr>
          <w:p>
            <w:r>
              <w:rPr>
                <w:rFonts w:ascii="Meiryo UI" w:hAnsi="Meiryo UI"/>
                <w:sz w:val="18"/>
              </w:rPr>
              <w:t>BDI</w:t>
            </w:r>
          </w:p>
        </w:tc>
        <w:tc>
          <w:tcPr>
            <w:tcW w:type="dxa" w:w="2351"/>
          </w:tcPr>
          <w:p>
            <w:r>
              <w:rPr>
                <w:rFonts w:ascii="Meiryo UI" w:hAnsi="Meiryo UI"/>
                <w:sz w:val="18"/>
              </w:rPr>
              <w:t>2,633pt</w:t>
            </w:r>
          </w:p>
        </w:tc>
        <w:tc>
          <w:tcPr>
            <w:tcW w:type="dxa" w:w="2351"/>
          </w:tcPr>
          <w:p>
            <w:r>
              <w:rPr>
                <w:rFonts w:ascii="Meiryo UI" w:hAnsi="Meiryo UI"/>
                <w:sz w:val="18"/>
              </w:rPr>
              <w:t>↓（月間初のマイナス）</w:t>
            </w:r>
          </w:p>
        </w:tc>
        <w:tc>
          <w:tcPr>
            <w:tcW w:type="dxa" w:w="2351"/>
          </w:tcPr>
          <w:p>
            <w:r>
              <w:rPr>
                <w:rFonts w:ascii="Meiryo UI" w:hAnsi="Meiryo UI"/>
                <w:sz w:val="18"/>
              </w:rPr>
              <w:t>+1%→±4億円</w:t>
            </w:r>
          </w:p>
        </w:tc>
      </w:tr>
      <w:tr>
        <w:tc>
          <w:tcPr>
            <w:tcW w:type="dxa" w:w="2351"/>
            <w:shd w:val="clear" w:color="auto" w:fill="DDEBF7"/>
          </w:tcPr>
          <w:p>
            <w:r>
              <w:rPr>
                <w:rFonts w:ascii="Meiryo UI" w:hAnsi="Meiryo UI"/>
                <w:sz w:val="18"/>
              </w:rPr>
              <w:t>SCFI/CCFI</w:t>
            </w:r>
          </w:p>
        </w:tc>
        <w:tc>
          <w:tcPr>
            <w:tcW w:type="dxa" w:w="2351"/>
            <w:shd w:val="clear" w:color="auto" w:fill="DDEBF7"/>
          </w:tcPr>
          <w:p>
            <w:r>
              <w:rPr>
                <w:rFonts w:ascii="Meiryo UI" w:hAnsi="Meiryo UI"/>
                <w:sz w:val="18"/>
              </w:rPr>
              <w:t>1,886pt</w:t>
            </w:r>
          </w:p>
        </w:tc>
        <w:tc>
          <w:tcPr>
            <w:tcW w:type="dxa" w:w="2351"/>
            <w:shd w:val="clear" w:color="auto" w:fill="DDEBF7"/>
          </w:tcPr>
          <w:p>
            <w:r>
              <w:rPr>
                <w:rFonts w:ascii="Meiryo UI" w:hAnsi="Meiryo UI"/>
                <w:sz w:val="18"/>
              </w:rPr>
              <w:t>→ 横ばい堅調</w:t>
            </w:r>
          </w:p>
        </w:tc>
        <w:tc>
          <w:tcPr>
            <w:tcW w:type="dxa" w:w="2351"/>
            <w:shd w:val="clear" w:color="auto" w:fill="DDEBF7"/>
          </w:tcPr>
          <w:p>
            <w:r>
              <w:rPr>
                <w:rFonts w:ascii="Meiryo UI" w:hAnsi="Meiryo UI"/>
                <w:sz w:val="18"/>
              </w:rPr>
              <w:t>+1%→±9億円（ONE経由）</w:t>
            </w:r>
          </w:p>
        </w:tc>
      </w:tr>
      <w:tr>
        <w:tc>
          <w:tcPr>
            <w:tcW w:type="dxa" w:w="2351"/>
          </w:tcPr>
          <w:p>
            <w:r>
              <w:rPr>
                <w:rFonts w:ascii="Meiryo UI" w:hAnsi="Meiryo UI"/>
                <w:sz w:val="18"/>
              </w:rPr>
              <w:t>VLCC TCE（MEG-China）</w:t>
            </w:r>
          </w:p>
        </w:tc>
        <w:tc>
          <w:tcPr>
            <w:tcW w:type="dxa" w:w="2351"/>
          </w:tcPr>
          <w:p>
            <w:r>
              <w:rPr>
                <w:rFonts w:ascii="Meiryo UI" w:hAnsi="Meiryo UI"/>
                <w:sz w:val="18"/>
              </w:rPr>
              <w:t>$294,645/日（ピーク比▲30%）</w:t>
            </w:r>
          </w:p>
        </w:tc>
        <w:tc>
          <w:tcPr>
            <w:tcW w:type="dxa" w:w="2351"/>
          </w:tcPr>
          <w:p>
            <w:r>
              <w:rPr>
                <w:rFonts w:ascii="Meiryo UI" w:hAnsi="Meiryo UI"/>
                <w:sz w:val="18"/>
              </w:rPr>
              <w:t>↓↓ ホルムズ新提案で急落中</w:t>
            </w:r>
          </w:p>
        </w:tc>
        <w:tc>
          <w:tcPr>
            <w:tcW w:type="dxa" w:w="2351"/>
          </w:tcPr>
          <w:p>
            <w:r>
              <w:rPr>
                <w:rFonts w:ascii="Meiryo UI" w:hAnsi="Meiryo UI"/>
                <w:sz w:val="18"/>
              </w:rPr>
              <w:t>+10%→±40億円</w:t>
            </w:r>
          </w:p>
        </w:tc>
      </w:tr>
      <w:tr>
        <w:tc>
          <w:tcPr>
            <w:tcW w:type="dxa" w:w="2351"/>
            <w:shd w:val="clear" w:color="auto" w:fill="DDEBF7"/>
          </w:tcPr>
          <w:p>
            <w:r>
              <w:rPr>
                <w:rFonts w:ascii="Meiryo UI" w:hAnsi="Meiryo UI"/>
                <w:sz w:val="18"/>
              </w:rPr>
              <w:t>JKM LNG</w:t>
            </w:r>
          </w:p>
        </w:tc>
        <w:tc>
          <w:tcPr>
            <w:tcW w:type="dxa" w:w="2351"/>
            <w:shd w:val="clear" w:color="auto" w:fill="DDEBF7"/>
          </w:tcPr>
          <w:p>
            <w:r>
              <w:rPr>
                <w:rFonts w:ascii="Meiryo UI" w:hAnsi="Meiryo UI"/>
                <w:sz w:val="18"/>
              </w:rPr>
              <w:t>$15.24/MMBTU</w:t>
            </w:r>
          </w:p>
        </w:tc>
        <w:tc>
          <w:tcPr>
            <w:tcW w:type="dxa" w:w="2351"/>
            <w:shd w:val="clear" w:color="auto" w:fill="DDEBF7"/>
          </w:tcPr>
          <w:p>
            <w:r>
              <w:rPr>
                <w:rFonts w:ascii="Meiryo UI" w:hAnsi="Meiryo UI"/>
                <w:sz w:val="18"/>
              </w:rPr>
              <w:t>↓ 季節的軟化</w:t>
            </w:r>
          </w:p>
        </w:tc>
        <w:tc>
          <w:tcPr>
            <w:tcW w:type="dxa" w:w="2351"/>
            <w:shd w:val="clear" w:color="auto" w:fill="DDEBF7"/>
          </w:tcPr>
          <w:p>
            <w:r>
              <w:rPr>
                <w:rFonts w:ascii="Meiryo UI" w:hAnsi="Meiryo UI"/>
                <w:sz w:val="18"/>
              </w:rPr>
              <w:t>長期TC固定→±5億円以下</w:t>
            </w:r>
          </w:p>
        </w:tc>
      </w:tr>
      <w:tr>
        <w:tc>
          <w:tcPr>
            <w:tcW w:type="dxa" w:w="2351"/>
          </w:tcPr>
          <w:p>
            <w:r>
              <w:rPr>
                <w:rFonts w:ascii="Meiryo UI" w:hAnsi="Meiryo UI"/>
                <w:sz w:val="18"/>
              </w:rPr>
              <w:t>原油（Brent）</w:t>
            </w:r>
          </w:p>
        </w:tc>
        <w:tc>
          <w:tcPr>
            <w:tcW w:type="dxa" w:w="2351"/>
          </w:tcPr>
          <w:p>
            <w:r>
              <w:rPr>
                <w:rFonts w:ascii="Meiryo UI" w:hAnsi="Meiryo UI"/>
                <w:sz w:val="18"/>
              </w:rPr>
              <w:t>$107.49/bbl</w:t>
            </w:r>
          </w:p>
        </w:tc>
        <w:tc>
          <w:tcPr>
            <w:tcW w:type="dxa" w:w="2351"/>
          </w:tcPr>
          <w:p>
            <w:r>
              <w:rPr>
                <w:rFonts w:ascii="Meiryo UI" w:hAnsi="Meiryo UI"/>
                <w:sz w:val="18"/>
              </w:rPr>
              <w:t>横ばい（停戦交渉織り込み済み）</w:t>
            </w:r>
          </w:p>
        </w:tc>
        <w:tc>
          <w:tcPr>
            <w:tcW w:type="dxa" w:w="2351"/>
          </w:tcPr>
          <w:p>
            <w:r>
              <w:rPr>
                <w:rFonts w:ascii="Meiryo UI" w:hAnsi="Meiryo UI"/>
                <w:sz w:val="18"/>
              </w:rPr>
              <w:t>間接影響（バンカー燃料）</w:t>
            </w:r>
          </w:p>
        </w:tc>
      </w:tr>
    </w:tbl>
    <w:p/>
    <w:p>
      <w:pPr>
        <w:pStyle w:val="Heading3"/>
      </w:pPr>
      <w:r>
        <w:rPr>
          <w:rFonts w:ascii="Meiryo UI" w:hAnsi="Meiryo UI"/>
          <w:color w:val="2E74B5"/>
        </w:rPr>
        <w:t>フォワードカーブ判定サマリー</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現在</w:t>
            </w:r>
          </w:p>
        </w:tc>
        <w:tc>
          <w:tcPr>
            <w:tcW w:type="dxa" w:w="1881"/>
            <w:shd w:val="clear" w:color="auto" w:fill="2E74B5"/>
          </w:tcPr>
          <w:p>
            <w:r>
              <w:rPr>
                <w:rFonts w:ascii="Meiryo UI" w:hAnsi="Meiryo UI"/>
                <w:b/>
                <w:color w:val="FFFFFF"/>
                <w:sz w:val="18"/>
              </w:rPr>
              <w:t>6M先</w:t>
            </w:r>
          </w:p>
        </w:tc>
        <w:tc>
          <w:tcPr>
            <w:tcW w:type="dxa" w:w="1881"/>
            <w:shd w:val="clear" w:color="auto" w:fill="2E74B5"/>
          </w:tcPr>
          <w:p>
            <w:r>
              <w:rPr>
                <w:rFonts w:ascii="Meiryo UI" w:hAnsi="Meiryo UI"/>
                <w:b/>
                <w:color w:val="FFFFFF"/>
                <w:sz w:val="18"/>
              </w:rPr>
              <w:t>12M先</w:t>
            </w:r>
          </w:p>
        </w:tc>
        <w:tc>
          <w:tcPr>
            <w:tcW w:type="dxa" w:w="1881"/>
            <w:shd w:val="clear" w:color="auto" w:fill="2E74B5"/>
          </w:tcPr>
          <w:p>
            <w:r>
              <w:rPr>
                <w:rFonts w:ascii="Meiryo UI" w:hAnsi="Meiryo UI"/>
                <w:b/>
                <w:color w:val="FFFFFF"/>
                <w:sz w:val="18"/>
              </w:rPr>
              <w:t>構造</w:t>
            </w:r>
          </w:p>
        </w:tc>
      </w:tr>
      <w:tr>
        <w:tc>
          <w:tcPr>
            <w:tcW w:type="dxa" w:w="1881"/>
          </w:tcPr>
          <w:p>
            <w:r>
              <w:rPr>
                <w:rFonts w:ascii="Meiryo UI" w:hAnsi="Meiryo UI"/>
                <w:sz w:val="18"/>
              </w:rPr>
              <w:t>BDI</w:t>
            </w:r>
          </w:p>
        </w:tc>
        <w:tc>
          <w:tcPr>
            <w:tcW w:type="dxa" w:w="1881"/>
          </w:tcPr>
          <w:p>
            <w:r>
              <w:rPr>
                <w:rFonts w:ascii="Meiryo UI" w:hAnsi="Meiryo UI"/>
                <w:sz w:val="18"/>
              </w:rPr>
              <w:t>2,633</w:t>
            </w:r>
          </w:p>
        </w:tc>
        <w:tc>
          <w:tcPr>
            <w:tcW w:type="dxa" w:w="1881"/>
          </w:tcPr>
          <w:p>
            <w:r>
              <w:rPr>
                <w:rFonts w:ascii="Meiryo UI" w:hAnsi="Meiryo UI"/>
                <w:sz w:val="18"/>
              </w:rPr>
              <w:t>2,400-2,600</w:t>
            </w:r>
          </w:p>
        </w:tc>
        <w:tc>
          <w:tcPr>
            <w:tcW w:type="dxa" w:w="1881"/>
          </w:tcPr>
          <w:p>
            <w:r>
              <w:rPr>
                <w:rFonts w:ascii="Meiryo UI" w:hAnsi="Meiryo UI"/>
                <w:sz w:val="18"/>
              </w:rPr>
              <w:t>2,200-2,500</w:t>
            </w:r>
          </w:p>
        </w:tc>
        <w:tc>
          <w:tcPr>
            <w:tcW w:type="dxa" w:w="1881"/>
          </w:tcPr>
          <w:p>
            <w:r>
              <w:rPr>
                <w:rFonts w:ascii="Meiryo UI" w:hAnsi="Meiryo UI"/>
                <w:sz w:val="18"/>
              </w:rPr>
              <w:t>バックワーデーション</w:t>
            </w:r>
          </w:p>
        </w:tc>
      </w:tr>
      <w:tr>
        <w:tc>
          <w:tcPr>
            <w:tcW w:type="dxa" w:w="1881"/>
            <w:shd w:val="clear" w:color="auto" w:fill="DDEBF7"/>
          </w:tcPr>
          <w:p>
            <w:r>
              <w:rPr>
                <w:rFonts w:ascii="Meiryo UI" w:hAnsi="Meiryo UI"/>
                <w:sz w:val="18"/>
              </w:rPr>
              <w:t>SCFI</w:t>
            </w:r>
          </w:p>
        </w:tc>
        <w:tc>
          <w:tcPr>
            <w:tcW w:type="dxa" w:w="1881"/>
            <w:shd w:val="clear" w:color="auto" w:fill="DDEBF7"/>
          </w:tcPr>
          <w:p>
            <w:r>
              <w:rPr>
                <w:rFonts w:ascii="Meiryo UI" w:hAnsi="Meiryo UI"/>
                <w:sz w:val="18"/>
              </w:rPr>
              <w:t>1,886</w:t>
            </w:r>
          </w:p>
        </w:tc>
        <w:tc>
          <w:tcPr>
            <w:tcW w:type="dxa" w:w="1881"/>
            <w:shd w:val="clear" w:color="auto" w:fill="DDEBF7"/>
          </w:tcPr>
          <w:p>
            <w:r>
              <w:rPr>
                <w:rFonts w:ascii="Meiryo UI" w:hAnsi="Meiryo UI"/>
                <w:sz w:val="18"/>
              </w:rPr>
              <w:t>1,500-1,800</w:t>
            </w:r>
          </w:p>
        </w:tc>
        <w:tc>
          <w:tcPr>
            <w:tcW w:type="dxa" w:w="1881"/>
            <w:shd w:val="clear" w:color="auto" w:fill="DDEBF7"/>
          </w:tcPr>
          <w:p>
            <w:r>
              <w:rPr>
                <w:rFonts w:ascii="Meiryo UI" w:hAnsi="Meiryo UI"/>
                <w:sz w:val="18"/>
              </w:rPr>
              <w:t>1,200-1,500</w:t>
            </w:r>
          </w:p>
        </w:tc>
        <w:tc>
          <w:tcPr>
            <w:tcW w:type="dxa" w:w="1881"/>
            <w:shd w:val="clear" w:color="auto" w:fill="DDEBF7"/>
          </w:tcPr>
          <w:p>
            <w:r>
              <w:rPr>
                <w:rFonts w:ascii="Meiryo UI" w:hAnsi="Meiryo UI"/>
                <w:sz w:val="18"/>
              </w:rPr>
              <w:t>コンタンゴ→バックワーデーション転換</w:t>
            </w:r>
          </w:p>
        </w:tc>
      </w:tr>
      <w:tr>
        <w:tc>
          <w:tcPr>
            <w:tcW w:type="dxa" w:w="1881"/>
          </w:tcPr>
          <w:p>
            <w:r>
              <w:rPr>
                <w:rFonts w:ascii="Meiryo UI" w:hAnsi="Meiryo UI"/>
                <w:sz w:val="18"/>
              </w:rPr>
              <w:t>VLCC</w:t>
            </w:r>
          </w:p>
        </w:tc>
        <w:tc>
          <w:tcPr>
            <w:tcW w:type="dxa" w:w="1881"/>
          </w:tcPr>
          <w:p>
            <w:r>
              <w:rPr>
                <w:rFonts w:ascii="Meiryo UI" w:hAnsi="Meiryo UI"/>
                <w:sz w:val="18"/>
              </w:rPr>
              <w:t>$294K/日</w:t>
            </w:r>
          </w:p>
        </w:tc>
        <w:tc>
          <w:tcPr>
            <w:tcW w:type="dxa" w:w="1881"/>
          </w:tcPr>
          <w:p>
            <w:r>
              <w:rPr>
                <w:rFonts w:ascii="Meiryo UI" w:hAnsi="Meiryo UI"/>
                <w:sz w:val="18"/>
              </w:rPr>
              <w:t>$80-120K/日（解決シナリオ）</w:t>
            </w:r>
          </w:p>
        </w:tc>
        <w:tc>
          <w:tcPr>
            <w:tcW w:type="dxa" w:w="1881"/>
          </w:tcPr>
          <w:p>
            <w:r>
              <w:rPr>
                <w:rFonts w:ascii="Meiryo UI" w:hAnsi="Meiryo UI"/>
                <w:sz w:val="18"/>
              </w:rPr>
              <w:t>$80K/日</w:t>
            </w:r>
          </w:p>
        </w:tc>
        <w:tc>
          <w:tcPr>
            <w:tcW w:type="dxa" w:w="1881"/>
          </w:tcPr>
          <w:p>
            <w:r>
              <w:rPr>
                <w:rFonts w:ascii="Meiryo UI" w:hAnsi="Meiryo UI"/>
                <w:sz w:val="18"/>
              </w:rPr>
              <w:t>急激なバックワーデーション</w:t>
            </w:r>
          </w:p>
        </w:tc>
      </w:tr>
      <w:tr>
        <w:tc>
          <w:tcPr>
            <w:tcW w:type="dxa" w:w="1881"/>
            <w:shd w:val="clear" w:color="auto" w:fill="DDEBF7"/>
          </w:tcPr>
          <w:p>
            <w:r>
              <w:rPr>
                <w:rFonts w:ascii="Meiryo UI" w:hAnsi="Meiryo UI"/>
                <w:sz w:val="18"/>
              </w:rPr>
              <w:t>JKM</w:t>
            </w:r>
          </w:p>
        </w:tc>
        <w:tc>
          <w:tcPr>
            <w:tcW w:type="dxa" w:w="1881"/>
            <w:shd w:val="clear" w:color="auto" w:fill="DDEBF7"/>
          </w:tcPr>
          <w:p>
            <w:r>
              <w:rPr>
                <w:rFonts w:ascii="Meiryo UI" w:hAnsi="Meiryo UI"/>
                <w:sz w:val="18"/>
              </w:rPr>
              <w:t>$15.2</w:t>
            </w:r>
          </w:p>
        </w:tc>
        <w:tc>
          <w:tcPr>
            <w:tcW w:type="dxa" w:w="1881"/>
            <w:shd w:val="clear" w:color="auto" w:fill="DDEBF7"/>
          </w:tcPr>
          <w:p>
            <w:r>
              <w:rPr>
                <w:rFonts w:ascii="Meiryo UI" w:hAnsi="Meiryo UI"/>
                <w:sz w:val="18"/>
              </w:rPr>
              <w:t>$13-15</w:t>
            </w:r>
          </w:p>
        </w:tc>
        <w:tc>
          <w:tcPr>
            <w:tcW w:type="dxa" w:w="1881"/>
            <w:shd w:val="clear" w:color="auto" w:fill="DDEBF7"/>
          </w:tcPr>
          <w:p>
            <w:r>
              <w:rPr>
                <w:rFonts w:ascii="Meiryo UI" w:hAnsi="Meiryo UI"/>
                <w:sz w:val="18"/>
              </w:rPr>
              <w:t>$11-13</w:t>
            </w:r>
          </w:p>
        </w:tc>
        <w:tc>
          <w:tcPr>
            <w:tcW w:type="dxa" w:w="1881"/>
            <w:shd w:val="clear" w:color="auto" w:fill="DDEBF7"/>
          </w:tcPr>
          <w:p>
            <w:r>
              <w:rPr>
                <w:rFonts w:ascii="Meiryo UI" w:hAnsi="Meiryo UI"/>
                <w:sz w:val="18"/>
              </w:rPr>
              <w:t>バックワーデーション</w:t>
            </w:r>
          </w:p>
        </w:tc>
      </w:tr>
    </w:tbl>
    <w:p/>
    <w:p>
      <w:r>
        <w:t>──────────────────────────────────────────────────</w:t>
      </w:r>
    </w:p>
    <w:p/>
    <w:p>
      <w:r>
        <w:rPr>
          <w:rFonts w:ascii="Meiryo UI" w:hAnsi="Meiryo UI"/>
          <w:sz w:val="20"/>
        </w:rPr>
        <w:t>本レポートは竹村トレードカンパニー内部資料です。投資判断は最終的にご自身の判断でお願いいたします。</w:t>
      </w:r>
    </w:p>
    <w:p>
      <w:r>
        <w:rPr>
          <w:rFonts w:ascii="Meiryo UI" w:hAnsi="Meiryo UI"/>
          <w:sz w:val="20"/>
        </w:rPr>
        <w:t>作成：深井（アナリスト）/ 2026年4月27日 / 次回更新：4月30日決算発表後</w:t>
      </w:r>
    </w:p>
    <w:p/>
    <w:p>
      <w:r>
        <w:t>──────────────────────────────────────────────────</w:t>
      </w:r>
    </w:p>
    <w:p/>
    <w:p>
      <w:r>
        <w:rPr>
          <w:rFonts w:ascii="Meiryo UI" w:hAnsi="Meiryo UI"/>
          <w:sz w:val="20"/>
        </w:rPr>
        <w:t>Sources:</w:t>
      </w:r>
    </w:p>
    <w:p>
      <w:pPr>
        <w:pStyle w:val="ListBullet"/>
      </w:pPr>
      <w:r>
        <w:rPr>
          <w:rFonts w:ascii="Meiryo UI" w:hAnsi="Meiryo UI"/>
          <w:sz w:val="20"/>
        </w:rPr>
        <w:t>[IR情報 | 株式会社 商船三井](https://ir.mol.co.jp/ja/ir.html)</w:t>
      </w:r>
    </w:p>
    <w:p>
      <w:pPr>
        <w:pStyle w:val="ListBullet"/>
      </w:pPr>
      <w:r>
        <w:rPr>
          <w:rFonts w:ascii="Meiryo UI" w:hAnsi="Meiryo UI"/>
          <w:sz w:val="20"/>
        </w:rPr>
        <w:t>[商船三井 IRニュース](https://ir.mol.co.jp/ja/ir/ir_news.html)</w:t>
      </w:r>
    </w:p>
    <w:p>
      <w:pPr>
        <w:pStyle w:val="ListBullet"/>
      </w:pPr>
      <w:r>
        <w:rPr>
          <w:rFonts w:ascii="Meiryo UI" w:hAnsi="Meiryo UI"/>
          <w:sz w:val="20"/>
        </w:rPr>
        <w:t>[Baltic Dry Index Monthly Loss April 2026](https://eagleintelmari.com/news/bdi-april-2026-monthly-loss-capesize-iron-ore-china-inventory)</w:t>
      </w:r>
    </w:p>
    <w:p>
      <w:pPr>
        <w:pStyle w:val="ListBullet"/>
      </w:pPr>
      <w:r>
        <w:rPr>
          <w:rFonts w:ascii="Meiryo UI" w:hAnsi="Meiryo UI"/>
          <w:sz w:val="20"/>
        </w:rPr>
        <w:t>[VLCC Tanker Market - Maritime Hub](https://maritime-hub.com/vlcc-rates-have-reached-historic-levels/)</w:t>
      </w:r>
    </w:p>
    <w:p>
      <w:pPr>
        <w:pStyle w:val="ListBullet"/>
      </w:pPr>
      <w:r>
        <w:rPr>
          <w:rFonts w:ascii="Meiryo UI" w:hAnsi="Meiryo UI"/>
          <w:sz w:val="20"/>
        </w:rPr>
        <w:t>[VLCC rates fall like 'lead balloon' - Lloyd's List](https://www.lloydslist.com/LL1155947/VLCC-rates-fall-like-lead-balloon-in-steepest-one-day-plunge-in-over-half-decade)</w:t>
      </w:r>
    </w:p>
    <w:p>
      <w:pPr>
        <w:pStyle w:val="ListBullet"/>
      </w:pPr>
      <w:r>
        <w:rPr>
          <w:rFonts w:ascii="Meiryo UI" w:hAnsi="Meiryo UI"/>
          <w:sz w:val="20"/>
        </w:rPr>
        <w:t>[Iran Proposal - US News](https://www.usnews.com/news/world/articles/2026-04-26/iran-gave-us-a-proposal-for-reopening-the-strait-of-hormuz-and-ending-the-war-axios-reports)</w:t>
      </w:r>
    </w:p>
    <w:p>
      <w:pPr>
        <w:pStyle w:val="ListBullet"/>
      </w:pPr>
      <w:r>
        <w:rPr>
          <w:rFonts w:ascii="Meiryo UI" w:hAnsi="Meiryo UI"/>
          <w:sz w:val="20"/>
        </w:rPr>
        <w:t>[SCFI - Container News](https://container-news.com/scfi/)</w:t>
      </w:r>
    </w:p>
    <w:p>
      <w:pPr>
        <w:pStyle w:val="ListBullet"/>
      </w:pPr>
      <w:r>
        <w:rPr>
          <w:rFonts w:ascii="Meiryo UI" w:hAnsi="Meiryo UI"/>
          <w:sz w:val="20"/>
        </w:rPr>
        <w:t>[JKM LNG - Investing.com](https://www.investing.com/commodities/lng-japan-korea-marker-platts-futures)</w:t>
      </w:r>
    </w:p>
    <w:p>
      <w:pPr>
        <w:pStyle w:val="ListBullet"/>
      </w:pPr>
      <w:r>
        <w:rPr>
          <w:rFonts w:ascii="Meiryo UI" w:hAnsi="Meiryo UI"/>
          <w:sz w:val="20"/>
        </w:rPr>
        <w:t>[Elliott takes stake in MOL - Bloomberg](https://www.bloomberg.com/news/articles/2026-03-18/elliott-takes-significant-stake-in-mitsui-osk-lines-reuters-mmvcwt8o)</w:t>
      </w:r>
    </w:p>
    <w:p>
      <w:pPr>
        <w:pStyle w:val="ListBullet"/>
      </w:pPr>
      <w:r>
        <w:rPr>
          <w:rFonts w:ascii="Meiryo UI" w:hAnsi="Meiryo UI"/>
          <w:sz w:val="20"/>
        </w:rPr>
        <w:t>[BLUE ACTION 2035 Phase 2 - MOL](https://www.mol.co.jp/pr/2026/26025.html)</w:t>
      </w:r>
    </w:p>
    <w:p>
      <w:pPr>
        <w:pStyle w:val="ListBullet"/>
      </w:pPr>
      <w:r>
        <w:rPr>
          <w:rFonts w:ascii="Meiryo UI" w:hAnsi="Meiryo UI"/>
          <w:sz w:val="20"/>
        </w:rPr>
        <w:t>[ONE FY2024 Financial Results](https://www.one-line.com/en/news/financial-results-fy2024)</w:t>
      </w:r>
    </w:p>
    <w:p>
      <w:pPr>
        <w:pStyle w:val="ListBullet"/>
      </w:pPr>
      <w:r>
        <w:rPr>
          <w:rFonts w:ascii="Meiryo UI" w:hAnsi="Meiryo UI"/>
          <w:sz w:val="20"/>
        </w:rPr>
        <w:t>[Mitsui OSK Lines raises forecast - Baird Maritime](https://www.bairdmaritime.com/shipping/mitsui-osk-lines-raises-full-year-profit-forecast-despite-q3-decline)</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