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[9107] 川崎汽船【海運カーブ × Fair Value感応度分析】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分析日：2026-04-11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[9107] 川崎汽船【海運カーブ × Fair Value感応度分析】</w:t>
      </w:r>
    </w:p>
    <w:p>
      <w:r>
        <w:rPr>
          <w:rFonts w:ascii="Meiryo UI" w:hAnsi="Meiryo UI"/>
          <w:sz w:val="20"/>
        </w:rPr>
        <w:t>作成日: 2026-04-11 | アナリスト: 深井</w:t>
      </w:r>
    </w:p>
    <w:p>
      <w:r>
        <w:rPr>
          <w:rFonts w:ascii="Meiryo UI" w:hAnsi="Meiryo UI"/>
          <w:sz w:val="20"/>
        </w:rPr>
        <w:t>分類: HOLD（条件付き逆張り・段階買い準備） | プロトコル: 市況関連銘柄カーブ分析プロトコル v1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⚡ 10秒エグゼクティブ・サマリー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最終投資判断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HOLD（条件付き逆張り・段階買い）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目標株価（FV）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¥3,100〜3,400（ベースシナリオ中央値 ¥3,250）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現値比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+22%〜+28%（現値 ¥2,661 / 2026-04-10終値）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安全域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 1.01倍・配当利回り約4.5%（¥120/株）・自己資本比率76%で下値硬直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推奨アクション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¥2,500以下での分割買いエントリー。ホルムズ停戦確定・コンテナ運賃回復を条件に¥3,000超でBUYに格上げ準備</w:t>
            </w:r>
          </w:p>
        </w:tc>
      </w:tr>
    </w:tbl>
    <w:p/>
    <w:p>
      <w:r>
        <w:rPr>
          <w:rFonts w:ascii="Meiryo UI" w:hAnsi="Meiryo UI"/>
          <w:sz w:val="20"/>
        </w:rPr>
        <w:t>決定的根拠（3弾丸）</w:t>
      </w:r>
    </w:p>
    <w:p>
      <w:pPr>
        <w:pStyle w:val="ListNumber"/>
      </w:pPr>
      <w:r>
        <w:rPr>
          <w:rFonts w:ascii="Meiryo UI" w:hAnsi="Meiryo UI"/>
          <w:sz w:val="20"/>
        </w:rPr>
        <w:t>[ONE（31%出資）のFY2026 V字回復ポテンシャル]: ホルムズ混乱による迂回ルートでコンテナ運賃が高止まりしており、WCI週次+1%（$2,309/40ft）・SCFI約1,827pt。2Q以降にONEの赤字は解消方向へ。川崎汽船の持分法収益はFY2025下期の赤字寄与（ONE Q3に▲$88M赤字）から、FY2026には大幅改善が期待される</w:t>
      </w:r>
    </w:p>
    <w:p>
      <w:pPr>
        <w:pStyle w:val="ListNumber"/>
      </w:pPr>
      <w:r>
        <w:rPr>
          <w:rFonts w:ascii="Meiryo UI" w:hAnsi="Meiryo UI"/>
          <w:sz w:val="20"/>
        </w:rPr>
        <w:t>[自動車船98隻（日本3社シェア約40%）の長期契約安定収益]: 三大海運の中で自動車船比重が最も高く、製品物流セグメントの長期傭船基盤（スポット変動遮断）が下値を支える構造。EV含む完成車需要増はPCTC容量へのプラス</w:t>
      </w:r>
    </w:p>
    <w:p>
      <w:pPr>
        <w:pStyle w:val="ListNumber"/>
      </w:pPr>
      <w:r>
        <w:rPr>
          <w:rFonts w:ascii="Meiryo UI" w:hAnsi="Meiryo UI"/>
          <w:sz w:val="20"/>
        </w:rPr>
        <w:t>[PBR1.01倍・配当利回り約4.5%の絶対的下値硬直]: BPS¥2,752に対しほぼPBR1倍水準での取引は構造的安値ゾーン。DRIVE 2026で¥7,000億以上の株主還元（累計）を宣言しており、追加自社株買いが下値サポート機能を果たす</w:t>
      </w:r>
    </w:p>
    <w:p/>
    <w:p>
      <w:r>
        <w:rPr>
          <w:rFonts w:ascii="Meiryo UI" w:hAnsi="Meiryo UI"/>
          <w:sz w:val="20"/>
        </w:rPr>
        <w:t>⚠️ 最重要リスク（1点）</w:t>
      </w:r>
    </w:p>
    <w:p>
      <w:r>
        <w:rPr>
          <w:rFonts w:ascii="Meiryo UI" w:hAnsi="Meiryo UI"/>
          <w:sz w:val="20"/>
        </w:rPr>
        <w:t>ONE持分法収益のFY2026ゼロ〜赤字継続リスク: 米・イラン停戦がFY2026 Q1（4〜6月）に確定した場合、ホルムズ正常化でコンテナ運賃が急落。ONEの黒字化が遅延し、川崎汽船の通期EPS予想（FY2026E ¥182）が¥120〜150まで切り下がる危険。「持分法収益がゼロ」のハードシナリオでFVは¥2,100まで低下する。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関連資産カーブ分析（BDI・コンテナ・自動車船）</w:t>
      </w:r>
    </w:p>
    <w:p/>
    <w:p>
      <w:pPr>
        <w:pStyle w:val="Heading3"/>
      </w:pPr>
      <w:r>
        <w:rPr>
          <w:rFonts w:ascii="Meiryo UI" w:hAnsi="Meiryo UI"/>
          <w:color w:val="2E74B5"/>
        </w:rPr>
        <w:t>1-1. BDI・ドライバルク運賃（2026年4月時点）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現在値（2026-04-09/11）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前月比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BDI（Baltic Dry Index）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約2,031〜2,095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月初から軟調（Capesize中国鉄鉱石在庫増で重い）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BCI（Capesize Index）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3,032〜3,220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好調だが不安定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Capesize日当たり収益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$23,994〜$25,702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月初比でCapesize▲2.2%（2週間安値）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BPI（Panamax Index）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1,777〜1,823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相対的に底堅い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Panamax日当たり収益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$16,409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安定</w:t>
            </w:r>
          </w:p>
        </w:tc>
      </w:tr>
    </w:tbl>
    <w:p/>
    <w:p>
      <w:r>
        <w:rPr>
          <w:rFonts w:ascii="Meiryo UI" w:hAnsi="Meiryo UI"/>
          <w:sz w:val="20"/>
        </w:rPr>
        <w:t>カーブ解釈: BDIは2,000〜2,200の低位レンジで推移。中国の鉄鉱石港湾在庫積み上がりがCapesize需要を圧迫。川崎汽船のドライバルク176隻（ケープサイズ75隻・中小型101隻）の収益は前年比▲50%超のレベルで推移（3Q累計：営業利益76億円、前年比▲50.8%）。</w:t>
      </w:r>
    </w:p>
    <w:p/>
    <w:p>
      <w:r>
        <w:rPr>
          <w:rFonts w:ascii="Meiryo UI" w:hAnsi="Meiryo UI"/>
          <w:sz w:val="20"/>
        </w:rPr>
        <w:t>BDI先物カーブ（推定）:</w:t>
      </w:r>
    </w:p>
    <w:p>
      <w:pPr>
        <w:pStyle w:val="ListBullet"/>
      </w:pPr>
      <w:r>
        <w:rPr>
          <w:rFonts w:ascii="Meiryo UI" w:hAnsi="Meiryo UI"/>
          <w:sz w:val="20"/>
        </w:rPr>
        <w:t>3ヶ月先：2,000〜2,200（中国需要不透明で横ばい）</w:t>
      </w:r>
    </w:p>
    <w:p>
      <w:pPr>
        <w:pStyle w:val="ListBullet"/>
      </w:pPr>
      <w:r>
        <w:rPr>
          <w:rFonts w:ascii="Meiryo UI" w:hAnsi="Meiryo UI"/>
          <w:sz w:val="20"/>
        </w:rPr>
        <w:t>6ヶ月先：2,200〜2,500（下期回復期待）</w:t>
      </w:r>
    </w:p>
    <w:p>
      <w:pPr>
        <w:pStyle w:val="ListBullet"/>
      </w:pPr>
      <w:r>
        <w:rPr>
          <w:rFonts w:ascii="Meiryo UI" w:hAnsi="Meiryo UI"/>
          <w:sz w:val="20"/>
        </w:rPr>
        <w:t>12ヶ月先：2,400〜2,800（需給改善見通し）</w:t>
      </w:r>
    </w:p>
    <w:p/>
    <w:p>
      <w:pPr>
        <w:pStyle w:val="Heading3"/>
      </w:pPr>
      <w:r>
        <w:rPr>
          <w:rFonts w:ascii="Meiryo UI" w:hAnsi="Meiryo UI"/>
          <w:color w:val="2E74B5"/>
        </w:rPr>
        <w:t>1-2. コンテナ運賃（SCFI・WCI）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状況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SCFI（上海コンテナ運賃指数）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約1,827（週13/早4月）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ホルムズ混乱前より高止まり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WCI（Drewry世界コンテナ指数）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$2,309/40ft（+1% WoW、2026-04-09）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上昇基調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上海〜ジェベルアリ（中東）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急騰（IACI +28% WoW）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ホルムズ迂回で中東ルート高騰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上海〜ジェノバ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$3,474/40ft（+12% WoW）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欧州ルート上昇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上海〜ロッテルダム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$2,552/40ft（+3% WoW）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欧州向けも上昇</w:t>
            </w:r>
          </w:p>
        </w:tc>
      </w:tr>
    </w:tbl>
    <w:p/>
    <w:p>
      <w:r>
        <w:rPr>
          <w:rFonts w:ascii="Meiryo UI" w:hAnsi="Meiryo UI"/>
          <w:sz w:val="20"/>
        </w:rPr>
        <w:t>ONE（31%持分）への影響: コンテナ運賃は2026-04-09時点でWCI+1%基調。ホルムズ600隻停滞・7隻通過（正常135隻）という極端な混乱が欧州・中東ルートを押し上げ。ONE Q3 FY2025（Oct-Dec 2025）の赤字▲$88Mは最悪期を過ぎた可能性。Q4（Jan-Mar 2026）以降の回復が鍵。</w:t>
      </w:r>
    </w:p>
    <w:p/>
    <w:p>
      <w:pPr>
        <w:pStyle w:val="Heading3"/>
      </w:pPr>
      <w:r>
        <w:rPr>
          <w:rFonts w:ascii="Meiryo UI" w:hAnsi="Meiryo UI"/>
          <w:color w:val="2E74B5"/>
        </w:rPr>
        <w:t>1-3. 自動車船（PCTC）運賃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状況（2026年4月推計）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PCTC時間用船料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$50,000/day前後（過去ピーク比▲30%水準）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需給バランス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大型新造船の竣工続く（COSCO等30隻発注）で軟化傾向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中国EV輸出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3月単月で前年2倍超（2026-04-10確認）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市場構造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川崎汽船98隻・日本3社で世界シェア約40%</w:t>
            </w:r>
          </w:p>
        </w:tc>
      </w:tr>
    </w:tbl>
    <w:p/>
    <w:p>
      <w:r>
        <w:rPr>
          <w:rFonts w:ascii="Meiryo UI" w:hAnsi="Meiryo UI"/>
          <w:sz w:val="20"/>
        </w:rPr>
        <w:t>PCTC市場は大型新造船竣工ラッシュで運賃軟化リスク。一方、川崎汽船は大部分を中長期傭船契約でカバーしており、スポット影響は限定的。</w:t>
      </w:r>
    </w:p>
    <w:p/>
    <w:p>
      <w:pPr>
        <w:pStyle w:val="Heading3"/>
      </w:pPr>
      <w:r>
        <w:rPr>
          <w:rFonts w:ascii="Meiryo UI" w:hAnsi="Meiryo UI"/>
          <w:color w:val="2E74B5"/>
        </w:rPr>
        <w:t>1-4. 海上燃料費・FX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VLSFO（シンガポール）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$757〜$888/MT（2026-04-08）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WTI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$96.57/bbl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USD/JPY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約158〜159円（円安基調）</w:t>
            </w:r>
          </w:p>
        </w:tc>
      </w:tr>
    </w:tbl>
    <w:p/>
    <w:p>
      <w:r>
        <w:rPr>
          <w:rFonts w:ascii="Meiryo UI" w:hAnsi="Meiryo UI"/>
          <w:sz w:val="20"/>
        </w:rPr>
        <w:t>燃料費急落はコスト改善要因。WTI-16%（4月8日時点）連動でVLSFOも急落。川崎汽船の燃料費は売上高の15〜20%程度。コスト面での年換算1,000〜1,500億円規模の収益押し上げポテンシャル。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川崎汽船 財務モデル（確定データ）</w:t>
      </w:r>
    </w:p>
    <w:p/>
    <w:p>
      <w:pPr>
        <w:pStyle w:val="Heading3"/>
      </w:pPr>
      <w:r>
        <w:rPr>
          <w:rFonts w:ascii="Meiryo UI" w:hAnsi="Meiryo UI"/>
          <w:color w:val="2E74B5"/>
        </w:rPr>
        <w:t>2-1. FY2025通期実績 vs FY2026E（会社予想）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FY2024実績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FY2025実績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FY2026E（会社予想）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9,249億円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1兆125億円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1兆60億円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約700億円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約1,027億円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840億円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経常利益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約3,063億円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約3,036億円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1,000億円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当期純利益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3,011億円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3,052億円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1,150億円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約483円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約182円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400円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100円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120円</w:t>
            </w:r>
          </w:p>
        </w:tc>
      </w:tr>
    </w:tbl>
    <w:p/>
    <w:p>
      <w:r>
        <w:rPr>
          <w:rFonts w:ascii="Meiryo UI" w:hAnsi="Meiryo UI"/>
          <w:sz w:val="20"/>
        </w:rPr>
        <w:t>*FY2025は2025年3月期（ONE超高収益期）。FY2026は2026年3月期（現中計最終年度・ONEの収益正常化年度）</w:t>
      </w:r>
    </w:p>
    <w:p/>
    <w:p>
      <w:pPr>
        <w:pStyle w:val="Heading3"/>
      </w:pPr>
      <w:r>
        <w:rPr>
          <w:rFonts w:ascii="Meiryo UI" w:hAnsi="Meiryo UI"/>
          <w:color w:val="2E74B5"/>
        </w:rPr>
        <w:t>2-2. セグメント別業績（FY2026 Q1〜Q3累計、確定値）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セグメント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売上高（億円）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前年比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営業利益（億円）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前年比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ドライバルク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2,222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▲12.3%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76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▲50.8%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エネルギー資源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749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▲2.4%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71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+15.6%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製品物流（自動車船+ONE）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4,642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▲0.4%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757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▲71.7%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合計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7,677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▲4.6%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経常利益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886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▲69.3%</w:t>
            </w:r>
          </w:p>
        </w:tc>
      </w:tr>
    </w:tbl>
    <w:p/>
    <w:p>
      <w:r>
        <w:rPr>
          <w:rFonts w:ascii="Meiryo UI" w:hAnsi="Meiryo UI"/>
          <w:sz w:val="20"/>
        </w:rPr>
        <w:t>製品物流の営業利益▲71.7%の主因はONE持分法利益の激減（FY2025: ONE純利益$4.24Bの31%≒$1.3B相当→FY2026大幅減少）。エネルギー資源（LNG・LPG・原油タンカー）は長期契約で+15.6%と安定。</w:t>
      </w:r>
    </w:p>
    <w:p/>
    <w:p>
      <w:pPr>
        <w:pStyle w:val="Heading3"/>
      </w:pPr>
      <w:r>
        <w:rPr>
          <w:rFonts w:ascii="Meiryo UI" w:hAnsi="Meiryo UI"/>
          <w:color w:val="2E74B5"/>
        </w:rPr>
        <w:t>2-3. 主要財務指標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株価（4/10終値）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¥2,661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BPS（1株純資産）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¥2,752/株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約1.01倍（PBR1倍水準）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ROE（FY2026予想）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約6.6%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ROE（FY2025実績）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約22.7%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自己資本比率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76.1%（極めて健全）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PER（会社予想EPS¥182）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約14.6倍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配当利回り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約4.5%（¥120/¥2,661）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時価総額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約1兆7,008億円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業績予測（FY2026〜FY2028）</w:t>
      </w:r>
    </w:p>
    <w:p/>
    <w:p>
      <w:pPr>
        <w:pStyle w:val="Heading3"/>
      </w:pPr>
      <w:r>
        <w:rPr>
          <w:rFonts w:ascii="Meiryo UI" w:hAnsi="Meiryo UI"/>
          <w:color w:val="2E74B5"/>
        </w:rPr>
        <w:t>深井修正予測（3シナリオ）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ベア FY2026E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ベース FY2026E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ブル FY2026E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ONE持分法利益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▲30億円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+200億円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+500億円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ドライバルク営業利益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50億円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90億円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150億円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エネルギー資源営業利益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85億円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95億円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105億円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製品物流（自動車）営業利益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620億円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800億円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950億円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経常利益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650億円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1,100億円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1,700億円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当期純利益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600億円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1,050億円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1,600億円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¥94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¥164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¥250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FY2027E〜FY2028E（中計後次期）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FY2027E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FY2028E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ONE持分法利益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+350億円（正常化）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+400億円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当期純利益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1,250億円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1,400億円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¥195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¥220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配当（予想）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¥130〜150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¥150〜180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Fair Value算出と感応度分析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4-1. WACC計算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Rf（無リスク金利）  = 2.380%（固定・変更不可）</w:t>
        <w:br/>
        <w:t>β（川崎汽船）     = 1.35（海運セクター平均）</w:t>
        <w:br/>
        <w:t>ERP              = 5.5%（固定）</w:t>
        <w:br/>
        <w:t>WACC = 2.380% + 1.35 × 5.5% = 9.805%</w:t>
      </w:r>
    </w:p>
    <w:p/>
    <w:p>
      <w:pPr>
        <w:pStyle w:val="Heading3"/>
      </w:pPr>
      <w:r>
        <w:rPr>
          <w:rFonts w:ascii="Meiryo UI" w:hAnsi="Meiryo UI"/>
          <w:color w:val="2E74B5"/>
        </w:rPr>
        <w:t>4-2. PER法によるFV算出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EPS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適用PER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FV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ベアケース（停戦・ONE赤字）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¥94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8x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¥752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会社予想ベース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¥182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12x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¥2,184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深井ベース（ONE一部回復）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¥164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14x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¥2,296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ブルケース（ホルムズ継続）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¥250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13x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¥3,250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正常化ケース（FY2027E）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¥195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14x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¥2,730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4-3. PBR法バリデーション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BPS ¥2,752 × PBR 1.0x = ¥2,752（現値はPBR1.0x≒支持水準）</w:t>
        <w:br/>
        <w:t>BPS ¥2,752 × PBR 1.2x = ¥3,302（ROE回復期の妥当水準）</w:t>
        <w:br/>
        <w:t>BPS ¥2,752 × PBR 0.9x = ¥2,477（悲観の下値目安）</w:t>
      </w:r>
    </w:p>
    <w:p/>
    <w:p>
      <w:r>
        <w:rPr>
          <w:rFonts w:ascii="Meiryo UI" w:hAnsi="Meiryo UI"/>
          <w:sz w:val="20"/>
        </w:rPr>
        <w:t>深井FV中央値: ブルケースとベースの加重平均 → ¥3,100〜3,400（TP ¥3,250）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感応度テーブル</w:t>
      </w:r>
    </w:p>
    <w:p/>
    <w:p>
      <w:pPr>
        <w:pStyle w:val="Heading3"/>
      </w:pPr>
      <w:r>
        <w:rPr>
          <w:rFonts w:ascii="Meiryo UI" w:hAnsi="Meiryo UI"/>
          <w:color w:val="2E74B5"/>
        </w:rPr>
        <w:t>5-1. BDI × FV感応度（ドライバルク経由）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BDI水準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ONE推定純利益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川崎汽船EPS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適用PER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FV推定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現値比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1,500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$0.3B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¥120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10x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¥1,200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▲55%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2,000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$0.8B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¥160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12x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¥1,920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▲28%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2,100（現状）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$1.1B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¥182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12x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¥2,184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▲18%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2,500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$1.5B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¥210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13x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¥2,730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3,000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$2.5B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¥280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13x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¥3,640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+37%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3,500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$3.5B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¥360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12x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¥4,320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+62%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5-2. SCFI × FV感応度（ONE持分法経由・主要テーブル）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SCFI水準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ONE年間純利益推定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K Line持分収益（31%）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EPS寄与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FV感応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1,000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▲$0.5B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▲¥240億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▲¥38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FV▲¥540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1,500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$0.5B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+¥240億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+¥38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FV+¥540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1,827（現状）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$1.1B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+¥530億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+¥83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ベース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2,500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$2.5B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+¥1,200億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+¥188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FV+¥2,700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3,000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$4.0B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+¥1,920億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+¥300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FV+¥4,000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【1%感応度（Delta）】— 標準プロトコル出力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━━━━━━━━━━━━━━━━━━━━━━━━━━━━━━━━━━━━━━━━━━━━━━━━━━━━━━━━━━</w:t>
        <w:br/>
        <w:t>対象資産①: BDI（Baltic Dry Index）</w:t>
        <w:br/>
        <w:t>━━━━━━━━━━━━━━━━━━━━━━━━━━━━━━━━━━━━━━━━━━━━━━━━━━━━━━━━━━</w:t>
        <w:br/>
        <w:t>BDI +1%（2,095 → 2,116）:</w:t>
        <w:br/>
        <w:t xml:space="preserve">  → ドライバルク経常利益 +約2〜3億円</w:t>
        <w:br/>
        <w:t xml:space="preserve">  → EPS影響 +約¥0.3</w:t>
        <w:br/>
        <w:t xml:space="preserve">  → FV影響（PER12x） +約¥3.6</w:t>
        <w:br/>
        <w:t xml:space="preserve">  → FV変化率: +0.14%</w:t>
        <w:br/>
        <w:br/>
        <w:t xml:space="preserve">  ∴ BDI +1% → 川崎汽船 Fair Value +0.14%</w:t>
        <w:br/>
        <w:br/>
        <w:t>━━━━━━━━━━━━━━━━━━━━━━━━━━━━━━━━━━━━━━━━━━━━━━━━━━━━━━━━━━</w:t>
        <w:br/>
        <w:t>対象資産②: SCFI（上海コンテナ運賃指数）— ONE持分経由【主要Delta】</w:t>
        <w:br/>
        <w:t>━━━━━━━━━━━━━━━━━━━━━━━━━━━━━━━━━━━━━━━━━━━━━━━━━━━━━━━━━━</w:t>
        <w:br/>
        <w:t>SCFI +1%（1,827 → 1,845）:</w:t>
        <w:br/>
        <w:t xml:space="preserve">  → ONE収益 +約$30〜40M</w:t>
        <w:br/>
        <w:t xml:space="preserve">  → 川崎汽船31%持分 +約¥14〜19億</w:t>
        <w:br/>
        <w:t xml:space="preserve">  → EPS +約¥1.4〜2.0</w:t>
        <w:br/>
        <w:t xml:space="preserve">  → FV影響（PER12x） +約¥17〜24</w:t>
        <w:br/>
        <w:t xml:space="preserve">  → FV変化率: +0.65〜0.90%</w:t>
        <w:br/>
        <w:br/>
        <w:t xml:space="preserve">  ∴ SCFI +1% → 川崎汽船 Fair Value +0.7〜0.9%（単独）</w:t>
        <w:br/>
        <w:br/>
        <w:t>━━━━━━━━━━━━━━━━━━━━━━━━━━━━━━━━━━━━━━━━━━━━━━━━━━━━━━━━━━</w:t>
        <w:br/>
        <w:t>【複合感応度（SCFI+1% + USD/JPY +1円安同時発生）】</w:t>
        <w:br/>
        <w:t xml:space="preserve">  SCFI +1%: FV +¥17〜24（上記）</w:t>
        <w:br/>
        <w:t xml:space="preserve">  USD/JPY +1円安: ONE円換算収益 +約¥3.4億 → EPS +¥0.5</w:t>
        <w:br/>
        <w:t xml:space="preserve">  → FV +¥6</w:t>
        <w:br/>
        <w:t xml:space="preserve">  複合Delta: FV +0.9〜1.1%/複合1%変動</w:t>
        <w:br/>
        <w:br/>
        <w:t>【ホルムズ解除フルシナリオ（SCFI-35% + 円高）】</w:t>
        <w:br/>
        <w:t xml:space="preserve">  SCFI: 1,827→1,200（▲34.5%）</w:t>
        <w:br/>
        <w:t xml:space="preserve">  ONE: $1.1B → $0</w:t>
        <w:br/>
        <w:t xml:space="preserve">  USD/JPY: 159 → 150 （▲5.7%）</w:t>
        <w:br/>
        <w:t xml:space="preserve">  EPS: ¥182 → ¥60〜90</w:t>
        <w:br/>
        <w:t xml:space="preserve">  FV: ¥2,184 → ¥600〜1,080（PER8〜12x）</w:t>
        <w:br/>
        <w:t xml:space="preserve">  最悪値: 現値¥2,661 → FV¥750（▲72%ストレス値）</w:t>
        <w:br/>
        <w:t xml:space="preserve">  現実的下値（BPS0.9倍サポート）: ¥2,477</w:t>
        <w:br/>
        <w:t>━━━━━━━━━━━━━━━━━━━━━━━━━━━━━━━━━━━━━━━━━━━━━━━━━━━━━━━━━━</w:t>
      </w:r>
    </w:p>
    <w:p/>
    <w:p>
      <w:r>
        <w:rPr>
          <w:rFonts w:ascii="Meiryo UI" w:hAnsi="Meiryo UI"/>
          <w:sz w:val="20"/>
        </w:rPr>
        <w:t>重要結論: 川崎汽船のFV感応度はBDIよりSCFI（コンテナ運賃）経由のONEが約5〜6倍大きい。BDIは方向感のシグナルに過ぎず、ONEの業績がFVの最大決定変数。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リスクシナリオ（定量ストレステスト）</w:t>
      </w:r>
    </w:p>
    <w:p/>
    <w:p>
      <w:pPr>
        <w:pStyle w:val="Heading3"/>
      </w:pPr>
      <w:r>
        <w:rPr>
          <w:rFonts w:ascii="Meiryo UI" w:hAnsi="Meiryo UI"/>
          <w:color w:val="2E74B5"/>
        </w:rPr>
        <w:t>シナリオA: ホルムズ停戦急転（▲30%ストレス、確率25%）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SCFI: 1,827→1,000（▲45%）</w:t>
        <w:br/>
        <w:t>ONE FY2026純利益: $1.1B → ▲$0.3B（赤字転落）</w:t>
        <w:br/>
        <w:t>川崎汽船EPS: ¥182→¥60〜90</w:t>
        <w:br/>
        <w:t>FV: ¥2,184→¥600〜1,080（PER8〜12x）</w:t>
        <w:br/>
        <w:t>下値サポート: BPS¥2,752に対しPBR0.9x=¥2,477（機関投資家理論下限）</w:t>
      </w:r>
    </w:p>
    <w:p/>
    <w:p>
      <w:pPr>
        <w:pStyle w:val="Heading3"/>
      </w:pPr>
      <w:r>
        <w:rPr>
          <w:rFonts w:ascii="Meiryo UI" w:hAnsi="Meiryo UI"/>
          <w:color w:val="2E74B5"/>
        </w:rPr>
        <w:t>シナリオB: ホルムズ高止まり継続（ベース、確率55%）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SCFI: 1,827〜2,500維持</w:t>
        <w:br/>
        <w:t>ONE FY2026: $1.1B〜$2.5B</w:t>
        <w:br/>
        <w:t>FV: ¥3,100〜3,640（現値比+17〜37%）</w:t>
      </w:r>
    </w:p>
    <w:p/>
    <w:p>
      <w:pPr>
        <w:pStyle w:val="Heading3"/>
      </w:pPr>
      <w:r>
        <w:rPr>
          <w:rFonts w:ascii="Meiryo UI" w:hAnsi="Meiryo UI"/>
          <w:color w:val="2E74B5"/>
        </w:rPr>
        <w:t>シナリオC: 4/30（または5/8）決算発表時のガイダンス判定</w:t>
      </w:r>
    </w:p>
    <w:p/>
    <w:p>
      <w:r>
        <w:rPr>
          <w:rFonts w:ascii="Meiryo UI" w:hAnsi="Meiryo UI"/>
          <w:sz w:val="20"/>
        </w:rPr>
        <w:t>会社FY2026E純利益1,150億円（EPS約¥182）: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実績経常利益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判断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アクション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1,200億円超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深井修正超え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追加買い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1,000〜1,200億円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会社予想付近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ホールド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1,000億円未満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下振れ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一部利確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Q-1定性変化考察（FY2025 Q3→FY2026変化）</w:t>
      </w:r>
    </w:p>
    <w:p/>
    <w:p>
      <w:r>
        <w:rPr>
          <w:rFonts w:ascii="Meiryo UI" w:hAnsi="Meiryo UI"/>
          <w:sz w:val="20"/>
        </w:rPr>
        <w:t>FY2025 Q3（2025年10-12月）の特徴: ONE赤字▲$88M（最悪期）。FY2026 Q4（Jan-Mar 2026）はSCFI回復（+28%）とVLSFO急落によるコスト改善で回復方向。5/8本決算発表が最大のカタリスト。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推奨アクション（三大海運比較含む）</w:t>
      </w:r>
    </w:p>
    <w:p/>
    <w:p>
      <w:pPr>
        <w:pStyle w:val="Heading3"/>
      </w:pPr>
      <w:r>
        <w:rPr>
          <w:rFonts w:ascii="Meiryo UI" w:hAnsi="Meiryo UI"/>
          <w:color w:val="2E74B5"/>
        </w:rPr>
        <w:t>三大海運ポジショニング比較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9101 日本郵船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9104 商船三井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9107 川崎汽船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株価（2026-04-10）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¥6,163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¥6,473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¥2,661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深井FV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¥7,600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¥8,200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¥3,250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現値比FV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+23%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+27%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+22%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~0.35倍（BPS¥17,697）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0.84倍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1.01倍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ONE持分比率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38%（最大）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31%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31%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自動車船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世界最大（98隻）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ドライバルク特化度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低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中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高（176隻）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VLCC運賃感応度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高（22隻保有）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高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低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判定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逆張りBUY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BUY（最優先）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HOLD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川崎汽船の優位性・劣位性</w:t>
      </w:r>
    </w:p>
    <w:p/>
    <w:p>
      <w:r>
        <w:rPr>
          <w:rFonts w:ascii="Meiryo UI" w:hAnsi="Meiryo UI"/>
          <w:sz w:val="20"/>
        </w:rPr>
        <w:t>優位性:</w:t>
      </w:r>
    </w:p>
    <w:p>
      <w:pPr>
        <w:pStyle w:val="ListBullet"/>
      </w:pPr>
      <w:r>
        <w:rPr>
          <w:rFonts w:ascii="Meiryo UI" w:hAnsi="Meiryo UI"/>
          <w:sz w:val="20"/>
        </w:rPr>
        <w:t>自動車専用船98隻は世界最大級。長期傭船契約が多く下値防御力が3社中最高</w:t>
      </w:r>
    </w:p>
    <w:p>
      <w:pPr>
        <w:pStyle w:val="ListBullet"/>
      </w:pPr>
      <w:r>
        <w:rPr>
          <w:rFonts w:ascii="Meiryo UI" w:hAnsi="Meiryo UI"/>
          <w:sz w:val="20"/>
        </w:rPr>
        <w:t>PBR1.01倍は最も下値サポートの強い水準</w:t>
      </w:r>
    </w:p>
    <w:p>
      <w:pPr>
        <w:pStyle w:val="ListBullet"/>
      </w:pPr>
      <w:r>
        <w:rPr>
          <w:rFonts w:ascii="Meiryo UI" w:hAnsi="Meiryo UI"/>
          <w:sz w:val="20"/>
        </w:rPr>
        <w:t>自己資本比率76%の盤石な財務基盤</w:t>
      </w:r>
    </w:p>
    <w:p>
      <w:pPr>
        <w:pStyle w:val="ListBullet"/>
      </w:pPr>
      <w:r>
        <w:rPr>
          <w:rFonts w:ascii="Meiryo UI" w:hAnsi="Meiryo UI"/>
          <w:sz w:val="20"/>
        </w:rPr>
        <w:t>配当¥120（利回り4.5%）＋DRIVE 2026で¥7,000億還元計画</w:t>
      </w:r>
    </w:p>
    <w:p/>
    <w:p>
      <w:r>
        <w:rPr>
          <w:rFonts w:ascii="Meiryo UI" w:hAnsi="Meiryo UI"/>
          <w:sz w:val="20"/>
        </w:rPr>
        <w:t>劣位性:</w:t>
      </w:r>
    </w:p>
    <w:p>
      <w:pPr>
        <w:pStyle w:val="ListBullet"/>
      </w:pPr>
      <w:r>
        <w:rPr>
          <w:rFonts w:ascii="Meiryo UI" w:hAnsi="Meiryo UI"/>
          <w:sz w:val="20"/>
        </w:rPr>
        <w:t>ONE持分が31%（日本郵船38%よりONE恩恵が小さい）</w:t>
      </w:r>
    </w:p>
    <w:p>
      <w:pPr>
        <w:pStyle w:val="ListBullet"/>
      </w:pPr>
      <w:r>
        <w:rPr>
          <w:rFonts w:ascii="Meiryo UI" w:hAnsi="Meiryo UI"/>
          <w:sz w:val="20"/>
        </w:rPr>
        <w:t>ドライバルク依存が高く、中国景気に脆弱</w:t>
      </w:r>
    </w:p>
    <w:p>
      <w:pPr>
        <w:pStyle w:val="ListBullet"/>
      </w:pPr>
      <w:r>
        <w:rPr>
          <w:rFonts w:ascii="Meiryo UI" w:hAnsi="Meiryo UI"/>
          <w:sz w:val="20"/>
        </w:rPr>
        <w:t>FY2026 PER14.6倍は3社中最高</w:t>
      </w:r>
    </w:p>
    <w:p>
      <w:pPr>
        <w:pStyle w:val="ListBullet"/>
      </w:pPr>
      <w:r>
        <w:rPr>
          <w:rFonts w:ascii="Meiryo UI" w:hAnsi="Meiryo UI"/>
          <w:sz w:val="20"/>
        </w:rPr>
        <w:t>VLCC運賃感応度が低い（タンカー保有隻数が少ない）</w:t>
      </w:r>
    </w:p>
    <w:p/>
    <w:p>
      <w:pPr>
        <w:pStyle w:val="Heading3"/>
      </w:pPr>
      <w:r>
        <w:rPr>
          <w:rFonts w:ascii="Meiryo UI" w:hAnsi="Meiryo UI"/>
          <w:color w:val="2E74B5"/>
        </w:rPr>
        <w:t>エントリー戦略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第1ライン: ¥2,500以下（PBR0.91x）</w:t>
        <w:br/>
        <w:t>第2ライン: ¥2,300以下（PBR0.84x・強下値サポート）</w:t>
        <w:br/>
        <w:t>損切りライン: 完全停戦確定後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9. 不動産・隠れ資産考察（全DR必須）</w:t>
      </w:r>
    </w:p>
    <w:p/>
    <w:p>
      <w:pPr>
        <w:pStyle w:val="Heading3"/>
      </w:pPr>
      <w:r>
        <w:rPr>
          <w:rFonts w:ascii="Meiryo UI" w:hAnsi="Meiryo UI"/>
          <w:color w:val="2E74B5"/>
        </w:rPr>
        <w:t>ONE株式の潜在価値</w:t>
      </w:r>
    </w:p>
    <w:p/>
    <w:p>
      <w:r>
        <w:rPr>
          <w:rFonts w:ascii="Meiryo UI" w:hAnsi="Meiryo UI"/>
          <w:sz w:val="20"/>
        </w:rPr>
        <w:t>ONE（Ocean Network Express）はシンガポール非上場会社。仮にONEが上場した場合: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ONE FY2024純利益$4.24B × 保守的PER8倍 = ONE時価総額$33.9B</w:t>
        <w:br/>
        <w:t>（≒約5.3兆円）</w:t>
        <w:br/>
        <w:t>川崎汽船31%分 = 約¥1.64兆円</w:t>
        <w:br/>
        <w:t>現在の川崎汽船時価総額 ¥1.7兆円 ≒ ONEを無料で手に入れる構造</w:t>
      </w:r>
    </w:p>
    <w:p/>
    <w:p>
      <w:pPr>
        <w:pStyle w:val="Heading3"/>
      </w:pPr>
      <w:r>
        <w:rPr>
          <w:rFonts w:ascii="Meiryo UI" w:hAnsi="Meiryo UI"/>
          <w:color w:val="2E74B5"/>
        </w:rPr>
        <w:t>自己所有船舶の含み益</w:t>
      </w:r>
    </w:p>
    <w:p/>
    <w:p>
      <w:r>
        <w:rPr>
          <w:rFonts w:ascii="Meiryo UI" w:hAnsi="Meiryo UI"/>
          <w:sz w:val="20"/>
        </w:rPr>
        <w:t>自動車船98隻・LNG船47隻は2020〜2022年の海運バブル期に建造コストが急騰。簿価以上の市場価値を保有している可能性あり。VLCCはBreakwave試算で10年ぶり高値圏。</w:t>
      </w:r>
    </w:p>
    <w:p/>
    <w:p>
      <w:pPr>
        <w:pStyle w:val="Heading3"/>
      </w:pPr>
      <w:r>
        <w:rPr>
          <w:rFonts w:ascii="Meiryo UI" w:hAnsi="Meiryo UI"/>
          <w:color w:val="2E74B5"/>
        </w:rPr>
        <w:t>触媒（カタリスト）</w:t>
      </w:r>
    </w:p>
    <w:p/>
    <w:p>
      <w:pPr>
        <w:pStyle w:val="ListNumber"/>
      </w:pPr>
      <w:r>
        <w:rPr>
          <w:rFonts w:ascii="Meiryo UI" w:hAnsi="Meiryo UI"/>
          <w:sz w:val="20"/>
        </w:rPr>
        <w:t>ONEのIPO/部分上場観測: 実現すれば川崎汽船のNAV大幅拡大</w:t>
      </w:r>
    </w:p>
    <w:p>
      <w:pPr>
        <w:pStyle w:val="ListNumber"/>
      </w:pPr>
      <w:r>
        <w:rPr>
          <w:rFonts w:ascii="Meiryo UI" w:hAnsi="Meiryo UI"/>
          <w:sz w:val="20"/>
        </w:rPr>
        <w:t>LNG船追加受注: 47→65隻計画が前倒し完成なら安定収益拡大</w:t>
      </w:r>
    </w:p>
    <w:p>
      <w:pPr>
        <w:pStyle w:val="ListNumber"/>
      </w:pPr>
      <w:r>
        <w:rPr>
          <w:rFonts w:ascii="Meiryo UI" w:hAnsi="Meiryo UI"/>
          <w:sz w:val="20"/>
        </w:rPr>
        <w:t>自社株買いの再拡大: ¥7,000億円以上の株主還元目標の追加実施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作成者: 深井（竹村トレードカンパニー）</w:t>
      </w:r>
    </w:p>
    <w:p>
      <w:r>
        <w:rPr>
          <w:rFonts w:ascii="Meiryo UI" w:hAnsi="Meiryo UI"/>
          <w:sz w:val="20"/>
        </w:rPr>
        <w:t>分析日: 2026-04-11</w:t>
      </w:r>
    </w:p>
    <w:p>
      <w:r>
        <w:rPr>
          <w:rFonts w:ascii="Meiryo UI" w:hAnsi="Meiryo UI"/>
          <w:sz w:val="20"/>
        </w:rPr>
        <w:t>市況プロトコル: v1（2026-04-11恒久化）</w:t>
      </w:r>
    </w:p>
    <w:p/>
    <w:p>
      <w:r>
        <w:rPr>
          <w:rFonts w:ascii="Meiryo UI" w:hAnsi="Meiryo UI"/>
          <w:sz w:val="20"/>
        </w:rPr>
        <w:t>データソース（確定値）:</w:t>
      </w:r>
    </w:p>
    <w:p>
      <w:pPr>
        <w:pStyle w:val="ListBullet"/>
      </w:pPr>
      <w:r>
        <w:rPr>
          <w:rFonts w:ascii="Meiryo UI" w:hAnsi="Meiryo UI"/>
          <w:sz w:val="20"/>
        </w:rPr>
        <w:t>株価: ¥2,661（4/10終値）</w:t>
      </w:r>
    </w:p>
    <w:p>
      <w:pPr>
        <w:pStyle w:val="ListBullet"/>
      </w:pPr>
      <w:r>
        <w:rPr>
          <w:rFonts w:ascii="Meiryo UI" w:hAnsi="Meiryo UI"/>
          <w:sz w:val="20"/>
        </w:rPr>
        <w:t>BDI: 2,031〜2,095 / BCI: 3,032〜3,220 / BPI: 1,777〜1,823（Baltic Exchange 4/9）</w:t>
      </w:r>
    </w:p>
    <w:p>
      <w:pPr>
        <w:pStyle w:val="ListBullet"/>
      </w:pPr>
      <w:r>
        <w:rPr>
          <w:rFonts w:ascii="Meiryo UI" w:hAnsi="Meiryo UI"/>
          <w:sz w:val="20"/>
        </w:rPr>
        <w:t>WCI: $2,309/40ft（Drewry 2026-04-09）</w:t>
      </w:r>
    </w:p>
    <w:p>
      <w:pPr>
        <w:pStyle w:val="ListBullet"/>
      </w:pPr>
      <w:r>
        <w:rPr>
          <w:rFonts w:ascii="Meiryo UI" w:hAnsi="Meiryo UI"/>
          <w:sz w:val="20"/>
        </w:rPr>
        <w:t>SCFI: 約1,827（週13/早4月）</w:t>
      </w:r>
    </w:p>
    <w:p>
      <w:pPr>
        <w:pStyle w:val="ListBullet"/>
      </w:pPr>
      <w:r>
        <w:rPr>
          <w:rFonts w:ascii="Meiryo UI" w:hAnsi="Meiryo UI"/>
          <w:sz w:val="20"/>
        </w:rPr>
        <w:t>VLSFO: $757〜888/MT（Singapore 4/8時点）</w:t>
      </w:r>
    </w:p>
    <w:p>
      <w:pPr>
        <w:pStyle w:val="ListBullet"/>
      </w:pPr>
      <w:r>
        <w:rPr>
          <w:rFonts w:ascii="Meiryo UI" w:hAnsi="Meiryo UI"/>
          <w:sz w:val="20"/>
        </w:rPr>
        <w:t>FY2026 Q1-Q3実績: 川崎汽船IR（2026-02-03開示）</w:t>
      </w:r>
    </w:p>
    <w:p>
      <w:pPr>
        <w:pStyle w:val="ListBullet"/>
      </w:pPr>
      <w:r>
        <w:rPr>
          <w:rFonts w:ascii="Meiryo UI" w:hAnsi="Meiryo UI"/>
          <w:sz w:val="20"/>
        </w:rPr>
        <w:t>ONE Q3 FY2025: ONE公式発表</w:t>
      </w:r>
    </w:p>
    <w:p>
      <w:pPr>
        <w:pStyle w:val="ListBullet"/>
      </w:pPr>
      <w:r>
        <w:rPr>
          <w:rFonts w:ascii="Meiryo UI" w:hAnsi="Meiryo UI"/>
          <w:sz w:val="20"/>
        </w:rPr>
        <w:t>Rf: 2.380%固定 | WACC: 9.805% | β: 1.35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