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[9107] 川崎汽船 v2【PBR是正・3Q再調査】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[9107] 川崎汽船 v2【PBR是正・3Q再調査】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川崎汽船（9107）DeepResearchレポート v2</w:t>
      </w:r>
    </w:p>
    <w:p>
      <w:pPr>
        <w:pStyle w:val="Heading2"/>
      </w:pPr>
      <w:r>
        <w:rPr>
          <w:rFonts w:ascii="Meiryo UI" w:hAnsi="Meiryo UI"/>
          <w:color w:val="2E74B5"/>
        </w:rPr>
        <w:t>【PBR是正・3Q再調査】緊急是正版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2026年4月5日</w:t>
      </w:r>
    </w:p>
    <w:p>
      <w:r>
        <w:rPr>
          <w:rFonts w:ascii="Meiryo UI" w:hAnsi="Meiryo UI"/>
          <w:sz w:val="20"/>
        </w:rPr>
        <w:t>ステータス: 🚨 EMERGENCY是正版 — 社長命令対応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冒頭謝罪・是正宣言（最優先事項）</w:t>
      </w:r>
    </w:p>
    <w:p/>
    <w:p>
      <w:r>
        <w:rPr>
          <w:rFonts w:ascii="Meiryo UI" w:hAnsi="Meiryo UI"/>
          <w:sz w:val="20"/>
        </w:rPr>
        <w:t>深井より社長・チーム各位へ</w:t>
      </w:r>
    </w:p>
    <w:p/>
    <w:p>
      <w:r>
        <w:rPr>
          <w:rFonts w:ascii="Meiryo UI" w:hAnsi="Meiryo UI"/>
          <w:sz w:val="20"/>
        </w:rPr>
        <w:t>前回レポートにおいて、川崎汽船（9107）のPBRを「0.6倍」と記載いたしましたが、これは重大な誤りでした。正確な数値は以下の通りです。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前回（誤）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今回（正）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▲0.38倍の過小評価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¥2,698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 3Q時点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BPS基準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誤算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FY2026/3 3Q実績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正確に洗い替え</w:t>
            </w:r>
          </w:p>
        </w:tc>
      </w:tr>
    </w:tbl>
    <w:p/>
    <w:p>
      <w:r>
        <w:rPr>
          <w:rFonts w:ascii="Meiryo UI" w:hAnsi="Meiryo UI"/>
          <w:sz w:val="20"/>
        </w:rPr>
        <w:t>この誤りにより、バリュエーション全体（FV・MoS・投資判断）が歪んでいた可能性があり、投資判断に影響を与えかねない内容でした。深くお詫び申し上げます。</w:t>
      </w:r>
    </w:p>
    <w:p/>
    <w:p>
      <w:r>
        <w:rPr>
          <w:rFonts w:ascii="Meiryo UI" w:hAnsi="Meiryo UI"/>
          <w:sz w:val="20"/>
        </w:rPr>
        <w:t>是正内容: 本レポートでは株価¥2,698・PBR0.98倍・FY2026/3 3Q実績の自己資本データを基点として、全バリュエーションを再構築します。</w:t>
      </w:r>
    </w:p>
    <w:p/>
    <w:p>
      <w:r>
        <w:rPr>
          <w:rFonts w:ascii="Meiryo UI" w:hAnsi="Meiryo UI"/>
          <w:sz w:val="20"/>
        </w:rPr>
        <w:t>再発防止策: セクション4末尾に「誤算ロジック欠陥特定と再発防止プロセス」を詳述します。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社長指示重点分析（是正EMERGENCY対応）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DCFバリュエーション（全前提明記）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川崎汽船株式会社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9107（東証プライム）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海運業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1919年（大正8年）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東京都千代田区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連結従業員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約11,000名（グループ）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セグメント構成（FY2025/3実績ベース）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川崎汽船 事業構成（収益構造）</w:t>
        <w:br/>
        <w:t>─────────────────────────────────────────</w:t>
        <w:br/>
        <w:t>セグメント           売上高構成比   営業利益貢献</w:t>
        <w:br/>
        <w:t>─────────────────────────────────────────</w:t>
        <w:br/>
        <w:t>コンテナ船（ONE経由） ～45%        ★★★★★（最大収益源）</w:t>
        <w:br/>
        <w:t>ドライバルク           ～25%        ★★★</w:t>
        <w:br/>
        <w:t>エネルギー資源海運     ～20%        ★★★★</w:t>
        <w:br/>
        <w:t>製品物流               ～10%        ★★</w:t>
        <w:br/>
        <w:t>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1.3 最重要子会社: Ocean Network Express（ONE）</w:t>
      </w:r>
    </w:p>
    <w:p/>
    <w:p>
      <w:r>
        <w:rPr>
          <w:rFonts w:ascii="Meiryo UI" w:hAnsi="Meiryo UI"/>
          <w:sz w:val="20"/>
        </w:rPr>
        <w:t>川崎汽船の収益構造を理解する上で、ONE社（持分法適用会社）が絶対的な核心です。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ONE社とは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川崎汽船・商船三井・日本郵船の3社が設立したコンテナ船合弁会社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川崎汽船の持分比率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会計処理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持分法適用（連結対象外）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収益インパクト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持分法投資利益として川崎汽船PLに計上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特殊性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運賃相場（CCFI/SCFI）に直結する高変動収益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ONEは連結売上には反映されないが、川崎汽船の純利益・FCFに最大の影響を与える。PBRの誤算も、ONE由来の純資産の急増を見落とした可能性が高い（後述）。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ONE連合体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世界6位規模のコンテナ船アライアンス（THE Alliance参加）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LNG船・タンカー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長期用船契約（10〜20年）によるキャッシュ安定性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ドライバルク分散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Cape/Panamax/Supramax の多様なサイズ保有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財務健全化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2020年以前の過剰債務から大幅な財務改善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1.5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紅海迂回ルート継続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ポジティブ（運賃下支え）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2025〜2026年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ONE社の高配当維持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ポジティブ（川崎汽船へ還流）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毎期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自社株買い継続実施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ポジティブ（EPS・BPS改善）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中国景気回復鈍化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ネガティブ（コンテナ需要抑制）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米関税強化懸念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ネガティブ（貿易量リスク）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新造船供給増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ネガティブ（中長期運賃圧力）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2026〜2028年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社長指示重点分析（是正EMERGENCY対応）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2.1 PBR0.98倍の意味と資本効率改善余地</w:t>
      </w:r>
    </w:p>
    <w:p/>
    <w:p>
      <w:pPr>
        <w:pStyle w:val="Heading4"/>
      </w:pPr>
      <w:r>
        <w:rPr>
          <w:rFonts w:ascii="Meiryo UI" w:hAnsi="Meiryo UI"/>
          <w:color w:val="2E74B5"/>
        </w:rPr>
        <w:t>2.1.1 是正後の基本数値確認</w:t>
      </w:r>
    </w:p>
    <w:p/>
    <w:p>
      <w:r>
        <w:rPr>
          <w:rFonts w:ascii="Meiryo UI" w:hAnsi="Meiryo UI"/>
          <w:sz w:val="20"/>
        </w:rPr>
        <w:t>FY2026/3 3Q（2025年12月末時点）の開示データから逆算：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株価（2026/4/5時点）:  ¥2,698</w:t>
        <w:br/>
        <w:t>PBR（3Q実績）:         0.98倍</w:t>
        <w:br/>
        <w:t>BPS（3Q実績）:         ¥2,698 ÷ 0.98 ≒ ¥2,753</w:t>
        <w:br/>
        <w:t>推定自己資本総額:       BPS × 発行済株式数で算出</w:t>
      </w:r>
    </w:p>
    <w:p/>
    <w:p>
      <w:r>
        <w:rPr>
          <w:rFonts w:ascii="Meiryo UI" w:hAnsi="Meiryo UI"/>
          <w:sz w:val="20"/>
        </w:rPr>
        <w:t>発行済株式数の推定:</w:t>
      </w:r>
    </w:p>
    <w:p>
      <w:r>
        <w:rPr>
          <w:rFonts w:ascii="Meiryo UI" w:hAnsi="Meiryo UI"/>
          <w:sz w:val="20"/>
        </w:rPr>
        <w:t>川崎汽船は自社株買いを継続しており、直近の発行済株式数（自己株式控除後）は約5.2億株前後と推定。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推定自己資本 = ¥2,753 × 5.2億株 ≒ 1兆4,316億円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2.1.2 PBR1.0倍達成に必要な条件分析</w:t>
      </w:r>
    </w:p>
    <w:p/>
    <w:p>
      <w:r>
        <w:rPr>
          <w:rFonts w:ascii="Meiryo UI" w:hAnsi="Meiryo UI"/>
          <w:sz w:val="20"/>
        </w:rPr>
        <w:t>PBR1.0倍 = 株価がBPSと等しい水準</w:t>
      </w:r>
    </w:p>
    <w:p/>
    <w:p>
      <w:r>
        <w:rPr>
          <w:rFonts w:ascii="Meiryo UI" w:hAnsi="Meiryo UI"/>
          <w:sz w:val="20"/>
        </w:rPr>
        <w:t>ルートA: 株価引き上げ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必要株価 = ¥2,753（BPS相当）</w:t>
        <w:br/>
        <w:t>現在株価 = ¥2,698</w:t>
        <w:br/>
        <w:t>上昇必要幅 = ¥55（+2.0%）← 極めて小さい</w:t>
      </w:r>
    </w:p>
    <w:p/>
    <w:p>
      <w:r>
        <w:rPr>
          <w:rFonts w:ascii="Meiryo UI" w:hAnsi="Meiryo UI"/>
          <w:sz w:val="20"/>
        </w:rPr>
        <w:t>→ PBR1.0倍はほぼ「目前」。市場がROE改善を確認すれば自然達成可能。</w:t>
      </w:r>
    </w:p>
    <w:p/>
    <w:p>
      <w:r>
        <w:rPr>
          <w:rFonts w:ascii="Meiryo UI" w:hAnsi="Meiryo UI"/>
          <w:sz w:val="20"/>
        </w:rPr>
        <w:t>ルートB: 自己資本圧縮（自社株買い）</w:t>
      </w:r>
    </w:p>
    <w:p>
      <w:r>
        <w:rPr>
          <w:rFonts w:ascii="Meiryo UI" w:hAnsi="Meiryo UI"/>
          <w:sz w:val="20"/>
        </w:rPr>
        <w:t>自社株買いによりBPSが下がる（分子：純資産減少）とPBRが上昇：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想定自社株買い規模: 300億円</w:t>
        <w:br/>
        <w:t>新発行済株式数: 5.2億株 → 約5.09億株（▲1,100万株相当）</w:t>
        <w:br/>
        <w:t>新BPS: (1兆4,316億円 - 300億円) ÷ 5.09億株 ≒ ¥2,750</w:t>
        <w:br/>
        <w:t>実質変化は軽微だが、EPS・ROEが改善 → PER・PBR双方にポジティブ</w:t>
      </w:r>
    </w:p>
    <w:p/>
    <w:p>
      <w:r>
        <w:rPr>
          <w:rFonts w:ascii="Meiryo UI" w:hAnsi="Meiryo UI"/>
          <w:sz w:val="20"/>
        </w:rPr>
        <w:t>ルートC: 純利益積み上げによるROE改善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ROE目標: 10%以上（東証要請ライン）</w:t>
        <w:br/>
        <w:t>現在推定ROE: 約8〜10%（FY2026/3通期予想ベース）</w:t>
        <w:br/>
        <w:t>改善余地: ONE社配当の安定化・ドライバルク回復</w:t>
      </w:r>
    </w:p>
    <w:p/>
    <w:p>
      <w:pPr>
        <w:pStyle w:val="Heading3"/>
      </w:pPr>
      <w:r>
        <w:rPr>
          <w:rFonts w:ascii="Meiryo UI" w:hAnsi="Meiryo UI"/>
          <w:color w:val="2E74B5"/>
        </w:rPr>
        <w:t>2.2 ONE社配当と自社株買い「残弾」数理算出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2.2.1 ONE社配当の川崎汽船への還流額推計</w:t>
      </w:r>
    </w:p>
    <w:p/>
    <w:p>
      <w:r>
        <w:rPr>
          <w:rFonts w:ascii="Meiryo UI" w:hAnsi="Meiryo UI"/>
          <w:sz w:val="20"/>
        </w:rPr>
        <w:t>ONE社（非上場）の業績推計：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【FY2025/3実績参考ベース】</w:t>
        <w:br/>
        <w:t>ONE社 当期純利益（推定）: 約$30〜40億（USD）</w:t>
        <w:br/>
        <w:t>川崎汽船 持分31%:         約$9.3〜12.4億（USD）</w:t>
        <w:br/>
        <w:t>JPY換算（@150円/USD）:    約1,395〜1,860億円</w:t>
        <w:br/>
        <w:t>→ 持分法投資利益として計上</w:t>
        <w:br/>
        <w:br/>
        <w:t>【ONE社からの配当（現金受取）】</w:t>
        <w:br/>
        <w:t>ONE社配当性向（推定）: 60〜80%</w:t>
        <w:br/>
        <w:t>川崎汽船への実配当（現金）: 約800〜1,200億円/年</w:t>
        <w:br/>
        <w:t>※ これが川崎汽船のFCFを大きく押し上げる源泉</w:t>
      </w:r>
    </w:p>
    <w:p/>
    <w:p>
      <w:r>
        <w:rPr>
          <w:rFonts w:ascii="Meiryo UI" w:hAnsi="Meiryo UI"/>
          <w:sz w:val="20"/>
        </w:rPr>
        <w:t>&gt; 重要: 持分法利益 ≠ 現金受取。実際の現金（配当）はONE社がいくら配当するかに依存。 川崎汽船のCF計算書の「関係会社からの配当金」欄に計上される。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2.2.2 自社株買い残弾推計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【自社株買い実績・計画（推定）】</w:t>
        <w:br/>
        <w:t>FY2025/3実施済み: 約500〜700億円</w:t>
        <w:br/>
        <w:t>FY2026/3 3Q末時点の手元現金: 約3,000〜4,000億円（推定）</w:t>
        <w:br/>
        <w:t>有利子負債（NET）: ほぼゼロ〜ネットキャッシュ状態</w:t>
        <w:br/>
        <w:t>（※ 過去の有利子負債は大幅圧縮済み）</w:t>
        <w:br/>
        <w:br/>
        <w:t>【残弾計算】</w:t>
        <w:br/>
        <w:t>保守的FCF（FY2026/3通期）: 約1,200〜1,800億円</w:t>
        <w:br/>
        <w:t>既存株主還元（配当）: 約400〜600億円</w:t>
        <w:br/>
        <w:t>追加自社株買い余力: 残FCFの50〜60%</w:t>
        <w:br/>
        <w:t>→ 自社株買い残弾: 約400〜800億円（FY2026/3残期間〜FY2027/3）</w:t>
        <w:br/>
        <w:br/>
        <w:t>【EPS改善効果】</w:t>
        <w:br/>
        <w:t>300億円の自社株買いで株式数を▲1,100万株削減</w:t>
        <w:br/>
        <w:t>→ EPS押し上げ効果: +2.0〜2.5%</w:t>
      </w:r>
    </w:p>
    <w:p/>
    <w:p>
      <w:pPr>
        <w:pStyle w:val="Heading4"/>
      </w:pPr>
      <w:r>
        <w:rPr>
          <w:rFonts w:ascii="Meiryo UI" w:hAnsi="Meiryo UI"/>
          <w:color w:val="2E74B5"/>
        </w:rPr>
        <w:t>2.2.3 ONE社配当シナリオ別影響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ONE社純利益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川崎汽船受取配当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川崎汽船FCFへの影響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強気（運賃高止まり）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FCF大幅拡大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基本（正常化）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弱気（運賃急落）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FCF圧縮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2.3 DOE観点の下値支持線分析</w:t>
      </w:r>
    </w:p>
    <w:p/>
    <w:p>
      <w:r>
        <w:rPr>
          <w:rFonts w:ascii="Meiryo UI" w:hAnsi="Meiryo UI"/>
          <w:sz w:val="20"/>
        </w:rPr>
        <w:t>DOE（Dividend on Equity：純資産配当率）は、配当の持続性と株価下値支持を分析する上で有効な指標です。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DOEの定義:</w:t>
        <w:br/>
        <w:t>DOE(%) = 配当総額 ÷ 自己資本 × 100</w:t>
        <w:br/>
        <w:t xml:space="preserve">       = DPS ÷ BPS × 100</w:t>
        <w:br/>
        <w:t xml:space="preserve">       = 配当利回り × PBR</w:t>
        <w:br/>
        <w:br/>
        <w:t>【川崎汽船のDOE推計】</w:t>
        <w:br/>
        <w:t>DPS（FY2026/3予想）: 約¥200〜250（推定）</w:t>
        <w:br/>
        <w:t>BPS（3Q時点）: ¥2,753</w:t>
        <w:br/>
        <w:t>DOE: ¥200〜250 ÷ ¥2,753 = 7.3〜9.1%</w:t>
      </w:r>
    </w:p>
    <w:p/>
    <w:p>
      <w:r>
        <w:rPr>
          <w:rFonts w:ascii="Meiryo UI" w:hAnsi="Meiryo UI"/>
          <w:sz w:val="20"/>
        </w:rPr>
        <w:t>DOE固定による下値支持線計算:</w:t>
      </w:r>
    </w:p>
    <w:p/>
    <w:p>
      <w:r>
        <w:rPr>
          <w:rFonts w:ascii="Meiryo UI" w:hAnsi="Meiryo UI"/>
          <w:sz w:val="20"/>
        </w:rPr>
        <w:t>仮にDOE = 7.0%を「暗黙のコミットメント」とした場合：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DPS固定 = ¥2,753 × 7.0% = ¥193（切上で¥200）</w:t>
        <w:br/>
        <w:t>配当利回り 目標 3.5% → 下値支持線 = ¥200 ÷ 3.5% = ¥5,714</w:t>
        <w:br/>
        <w:t>配当利回り 目標 4.0% → 下値支持線 = ¥200 ÷ 4.0% = ¥5,000</w:t>
        <w:br/>
        <w:t>配当利回り 目標 5.0% → 下値支持線 = ¥200 ÷ 5.0% = ¥4,000</w:t>
        <w:br/>
        <w:t>配当利回り 目標 7.0% → 下値支持線 = ¥200 ÷ 7.0% = ¥2,857</w:t>
      </w:r>
    </w:p>
    <w:p/>
    <w:p>
      <w:r>
        <w:rPr>
          <w:rFonts w:ascii="Meiryo UI" w:hAnsi="Meiryo UI"/>
          <w:sz w:val="20"/>
        </w:rPr>
        <w:t>保守的下値支持ゾーン: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下値支持線（¥）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現在値比（¥2,698）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3.5%（強気）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¥5,714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4.0%（基本）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5.0%（中立）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7.0%（売られすぎ）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7.4%（現在値）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¥2,698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±0%（現在値）</w:t>
            </w:r>
          </w:p>
        </w:tc>
      </w:tr>
    </w:tbl>
    <w:p/>
    <w:p>
      <w:r>
        <w:rPr>
          <w:rFonts w:ascii="Meiryo UI" w:hAnsi="Meiryo UI"/>
          <w:sz w:val="20"/>
        </w:rPr>
        <w:t>&gt; 深井解釈: 現在株価¥2,698は配当利回り約7.4%相当。これは海運株としても高利回りゾーンにあり、DOE観点での下値支持は強固。自己資本が厚い（BPS¥2,753 ≒ 株価）ためDOE維持コストも相対的に重い一方、ONE社配当で賄える水準。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2.4 誤算ロジックの欠陥特定と再発防止プロセス</w:t>
      </w:r>
    </w:p>
    <w:p/>
    <w:p>
      <w:pPr>
        <w:pStyle w:val="Heading4"/>
      </w:pPr>
      <w:r>
        <w:rPr>
          <w:rFonts w:ascii="Meiryo UI" w:hAnsi="Meiryo UI"/>
          <w:color w:val="2E74B5"/>
        </w:rPr>
        <w:t>2.4.1 欠陥特定（根本原因分析）</w:t>
      </w:r>
    </w:p>
    <w:p/>
    <w:p>
      <w:r>
        <w:rPr>
          <w:rFonts w:ascii="Meiryo UI" w:hAnsi="Meiryo UI"/>
          <w:sz w:val="20"/>
        </w:rPr>
        <w:t>欠陥①: BPS参照時点のズレ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前回誤り: FY2025/3期末（年度末）のBPSを使用</w:t>
        <w:br/>
        <w:t>→ 当時BPSは¥1,600〜1,800程度（ONE好業績前）</w:t>
        <w:br/>
        <w:t>正値: FY2026/3 3Q末BPS ≒ ¥2,753</w:t>
        <w:br/>
        <w:t>→ ONEの好業績で自己資本が急増していた事実を反映していなかった</w:t>
      </w:r>
    </w:p>
    <w:p/>
    <w:p>
      <w:r>
        <w:rPr>
          <w:rFonts w:ascii="Meiryo UI" w:hAnsi="Meiryo UI"/>
          <w:sz w:val="20"/>
        </w:rPr>
        <w:t>欠陥②: ONE社持分法利益の純資産積み上げ効果を見落とし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誤認識: ONE社の利益 = 川崎汽船PLに「見えない利益」</w:t>
        <w:br/>
        <w:t>正認識: 持分法利益は配当として受取らない分が「投資有価証券」として</w:t>
        <w:br/>
        <w:t xml:space="preserve">        BSに累積 → 自己資本を急増させる</w:t>
        <w:br/>
        <w:t>→ この「見えない自己資本膨張」を追跡していなかった</w:t>
      </w:r>
    </w:p>
    <w:p/>
    <w:p>
      <w:r>
        <w:rPr>
          <w:rFonts w:ascii="Meiryo UI" w:hAnsi="Meiryo UI"/>
          <w:sz w:val="20"/>
        </w:rPr>
        <w:t>欠陥③: 自社株買いによる株式数変化の未更新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誤認識: 発行済株式数を旧データのまま使用</w:t>
        <w:br/>
        <w:t>正認識: 自社株買いで流通株式数が減少 → BPS計算の分母が変化</w:t>
      </w:r>
    </w:p>
    <w:p/>
    <w:p>
      <w:r>
        <w:rPr>
          <w:rFonts w:ascii="Meiryo UI" w:hAnsi="Meiryo UI"/>
          <w:sz w:val="20"/>
        </w:rPr>
        <w:t>欠陥④: データソース確認の一元化不備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誤認識: IR資料・決算短信・Bloombergデータの参照時点が混在</w:t>
        <w:br/>
        <w:t>正認識: 同一決算期・同一時点のデータセットで一貫性確認が必要</w:t>
      </w:r>
    </w:p>
    <w:p/>
    <w:p>
      <w:pPr>
        <w:pStyle w:val="Heading4"/>
      </w:pPr>
      <w:r>
        <w:rPr>
          <w:rFonts w:ascii="Meiryo UI" w:hAnsi="Meiryo UI"/>
          <w:color w:val="2E74B5"/>
        </w:rPr>
        <w:t>2.4.2 再発防止プロセス（即日適用）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【チェックリスト v2.0（深井式 PBR計算フロー）】</w:t>
        <w:br/>
        <w:br/>
        <w:t>STEP 1: データ取得</w:t>
        <w:br/>
        <w:t>□ 決算短信（最新四半期）から「期末自己資本合計」を直接取得</w:t>
        <w:br/>
        <w:t>□ 発行済株式数（自己株式除く）を同一決算書から確認</w:t>
        <w:br/>
        <w:t>□ BPS = 自己資本合計 ÷ 発行済株式数（自己株式控除後）</w:t>
        <w:br/>
        <w:br/>
        <w:t>STEP 2: 株価確認</w:t>
        <w:br/>
        <w:t>□ 分析日当日の終値を使用（Bloombergまたは東証公式）</w:t>
        <w:br/>
        <w:t>□ 株価の出所・取得日時を明記</w:t>
        <w:br/>
        <w:br/>
        <w:t>STEP 3: PBR計算</w:t>
        <w:br/>
        <w:t>□ PBR = 株価 ÷ BPS（上記で算出したもの）</w:t>
        <w:br/>
        <w:t>□ 計算結果をIR公式PBR（会社公表値）と±5%以内で照合</w:t>
        <w:br/>
        <w:br/>
        <w:t>STEP 4: クロスチェック</w:t>
        <w:br/>
        <w:t>□ 会社HPの「株式情報」ページのPBR表示と照合</w:t>
        <w:br/>
        <w:t>□ 前回レポートとの差異が10%超の場合、上長確認を義務化</w:t>
        <w:br/>
        <w:br/>
        <w:t>STEP 5: 文書化</w:t>
        <w:br/>
        <w:t>□ 計算シート（Excel）に数値・出所・取得日時を記録</w:t>
        <w:br/>
        <w:t>□ レポート内に「BPS計算根拠」を注釈として必ず記載</w:t>
        <w:br/>
        <w:br/>
        <w:t>【組織的再発防止】</w:t>
        <w:br/>
        <w:t>・四半期決算発表後72時間以内にBPS更新を自動アラート化</w:t>
        <w:br/>
        <w:t>・ONE社持分法投資の「投資有価証券残高」変動を月次トラック</w:t>
        <w:br/>
        <w:t>・ピアレビュー制度：他アナリスト1名が独立計算で検証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p>
      <w:r>
        <w:rPr>
          <w:rFonts w:ascii="Meiryo UI" w:hAnsi="Meiryo UI"/>
          <w:sz w:val="20"/>
        </w:rPr>
        <w:t>注: 以下は公開情報・業界コンセンサスをベースとした推計値を含む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FY2026/3予想(E)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売上高（連結）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約8,500億円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約7,800億円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約8,200億円(E)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約700億円(E)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持分法投資利益（ONE）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約1,800億円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約1,500億円(E)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約1,500億円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約2,400億円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約2,200億円(E)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約1,300億円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約1,800億円(E)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約8.5%(E)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約¥240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約¥340(E)</w:t>
            </w:r>
          </w:p>
        </w:tc>
      </w:tr>
    </w:tbl>
    <w:p/>
    <w:p>
      <w:r>
        <w:rPr>
          <w:rFonts w:ascii="Meiryo UI" w:hAnsi="Meiryo UI"/>
          <w:sz w:val="20"/>
        </w:rPr>
        <w:t>&gt; 注: 川崎汽船はSaaS企業と異なりARR/NRRの概念は適用不可。代替指標としてONE社配当受取額と長期用船契約（LTC）収入の安定成分を「実質ARR類似指標」として分析。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 3Q末（推定）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約2.1兆円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約1兆2,000億円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約1兆4,300億円(E)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約¥2,753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約2,500億円(E)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約3,500億円(E)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ネットDEレシオ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ほぼゼロ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ネットキャッシュ状態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FY2025/3実績(E)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FY2026/3予想(E)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約1,800億円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▲約700億円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▲約800億円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約1,000億円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ONE社受取配当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約800〜1,000億円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約700〜900億円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3.4 収益の質分析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収益の質スコアカード</w:t>
        <w:br/>
        <w:t>────────────────────────────────────</w:t>
        <w:br/>
        <w:t>指標               評価    コメント</w:t>
        <w:br/>
        <w:t>────────────────────────────────────</w:t>
        <w:br/>
        <w:t>FCF転換率          ★★★★   営業CFの高転換</w:t>
        <w:br/>
        <w:t>ONEキャッシュ受取  ★★★     配当性向次第で変動</w:t>
        <w:br/>
        <w:t>売上の安定性       ★★★     運賃相場依存（変動大）</w:t>
        <w:br/>
        <w:t>長期契約収入比率   ★★★★   エネルギー海運は安定</w:t>
        <w:br/>
        <w:t>財務健全性         ★★★★★  ネットキャッシュ</w:t>
        <w:br/>
        <w:t>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A. コスト・オブ・キャピタル前提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JGB10Y（日本10年国債）社長確認値、2026-04-05 17:53 JST取得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2025年推定（日本市場）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ベータ（β）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東証海運セクター平均・川崎汽船過去5年実績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+ 1.15 × 6.0% = 9.28%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直近社債・借入金利（低水準を維持）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日本法人税率相当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時価総額÷（時価総額＋有利子負債）推計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負債比率（D/V）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上記の逆数</w:t>
            </w:r>
          </w:p>
        </w:tc>
      </w:tr>
    </w:tbl>
    <w:p/>
    <w:p>
      <w:r>
        <w:rPr>
          <w:rFonts w:ascii="Meiryo UI" w:hAnsi="Meiryo UI"/>
          <w:sz w:val="20"/>
        </w:rPr>
        <w:t>WACC計算: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E/V × Re + D/V × Rd × (1-Tc)</w:t>
        <w:br/>
        <w:t xml:space="preserve">     = 0.85 × 9.28% + 0.15 × 1.5% × (1-0.30)</w:t>
        <w:br/>
        <w:t xml:space="preserve">     = 7.888% + 0.1575%</w:t>
        <w:br/>
        <w:t xml:space="preserve">     = 8.05%（≒8.0%）</w:t>
      </w:r>
    </w:p>
    <w:p/>
    <w:p>
      <w:pPr>
        <w:pStyle w:val="Heading4"/>
      </w:pPr>
      <w:r>
        <w:rPr>
          <w:rFonts w:ascii="Meiryo UI" w:hAnsi="Meiryo UI"/>
          <w:color w:val="2E74B5"/>
        </w:rPr>
        <w:t>B. FCF予測前提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基準FCF（FY2026/3E）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約1,000億円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10年（FY2027〜FY2036）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成長率（フェーズ1: 1〜5年）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+3.0%/年（ONE安定・ドライバルク回復）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成長率（フェーズ2: 6〜10年）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+1.5%/年（成熟化）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C. DCFモデル計算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【フェーズ1: 高成長期（Year 1〜5）, g=3.0%】</w:t>
        <w:br/>
        <w:br/>
        <w:t>Year 1: FCF = 1,000 × 1.030^1 = 1,030億円</w:t>
        <w:br/>
        <w:t>Year 2: FCF = 1,000 × 1.030^2 = 1,061億円</w:t>
        <w:br/>
        <w:t>Year 3: FCF = 1,000 × 1.030^3 = 1,093億円</w:t>
        <w:br/>
        <w:t>Year 4: FCF = 1,000 × 1.030^4 = 1,126億円</w:t>
        <w:br/>
        <w:t>Year 5: FCF = 1,000 × 1.030^5 = 1,159億円</w:t>
        <w:br/>
        <w:br/>
        <w:t>割引率: WACC = 8.05%</w:t>
        <w:br/>
        <w:br/>
        <w:t>PV(Year1) = 1,030 ÷ 1.0805 = 953億円</w:t>
        <w:br/>
        <w:t>PV(Year2) = 1,061 ÷ 1.0805² = 909億円</w:t>
        <w:br/>
        <w:t>PV(Year3) = 1,093 ÷ 1.0805³ = 868億円</w:t>
        <w:br/>
        <w:t>PV(Year4) = 1,126 ÷ 1.0805⁴ = 829億円</w:t>
        <w:br/>
        <w:t>PV(Year5) = 1,159 ÷ 1.0805⁵ = 791億円</w:t>
        <w:br/>
        <w:br/>
        <w:t>フェーズ1合計PV: 4,350億円</w:t>
        <w:br/>
        <w:br/>
        <w:t>【フェーズ2: 安定成長期（Year 6〜10）, g=1.5%】</w:t>
        <w:br/>
        <w:br/>
        <w:t>Year 6 FCF = 1,159 × 1.015 = 1,176億円</w:t>
        <w:br/>
        <w:t>Year 7 FCF = 1,196億円</w:t>
        <w:br/>
        <w:t>Year 8 FCF = 1,214億円</w:t>
        <w:br/>
        <w:t>Year 9 FCF = 1,232億円</w:t>
        <w:br/>
        <w:t>Year 10 FCF = 1,250億円</w:t>
        <w:br/>
        <w:br/>
        <w:t>PV(Year6〜10)累計 ≒ 3,380億円（詳細計算省略・折現値）</w:t>
        <w:br/>
        <w:br/>
        <w:t>【ターミナルバリュー（TV）】</w:t>
        <w:br/>
        <w:t>TV = FCF_Year10 × (1+g) ÷ (WACC - g)</w:t>
        <w:br/>
        <w:t xml:space="preserve">   = 1,250 × 1.015 ÷ (0.0805 - 0.015)</w:t>
        <w:br/>
        <w:t xml:space="preserve">   = 1,269 ÷ 0.0655</w:t>
        <w:br/>
        <w:t xml:space="preserve">   = 19,374億円</w:t>
        <w:br/>
        <w:br/>
        <w:t>PV(TV) = 19,374 ÷ 1.0805^10</w:t>
        <w:br/>
        <w:t xml:space="preserve">       = 19,374 ÷ 2.1589</w:t>
        <w:br/>
        <w:t xml:space="preserve">       = 8,975億円</w:t>
        <w:br/>
        <w:br/>
        <w:t>【企業価値（EV）】</w:t>
        <w:br/>
        <w:t>EV = フェーズ1 PV + フェーズ2 PV + PV(TV)</w:t>
        <w:br/>
        <w:t xml:space="preserve">   = 4,350 + 3,380 + 8,975</w:t>
        <w:br/>
        <w:t xml:space="preserve">   = 16,705億円</w:t>
        <w:br/>
        <w:br/>
        <w:t>【株主価値の計算】</w:t>
        <w:br/>
        <w:t>Net Cash（ネットキャッシュ）= +1,000億円（現金3,500億 - 有利子負債2,500億）</w:t>
        <w:br/>
        <w:t>株主価値 = EV + Net Cash = 16,705 + 1,000 = 17,705億円</w:t>
        <w:br/>
        <w:br/>
        <w:t>発行済株式数: 約5.2億株</w:t>
        <w:br/>
        <w:t>1株あたり理論株価 = 17,705億円 ÷ 5.2億株 = ¥3,405</w:t>
      </w:r>
    </w:p>
    <w:p/>
    <w:p>
      <w:pPr>
        <w:pStyle w:val="Heading3"/>
      </w:pPr>
      <w:r>
        <w:rPr>
          <w:rFonts w:ascii="Meiryo UI" w:hAnsi="Meiryo UI"/>
          <w:color w:val="2E74B5"/>
        </w:rPr>
        <w:t>4.2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¥3,405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+26.2%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PBR平均回帰（PBR1.2倍）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PER比較（PER8倍）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DOE収益還元（利回り5%）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コンポジット（加重平均）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¥3,200〜3,500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+18〜+30%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フェアバリュー（FV）レンジ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