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[9107] 川崎汽船 v3【完全再出力・途中断絶禁止】</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[9107] 川崎汽船 v3【完全再出力・途中断絶禁止】</w:t>
      </w:r>
    </w:p>
    <w:p>
      <w:r>
        <w:rPr>
          <w:rFonts w:ascii="Meiryo UI" w:hAnsi="Meiryo UI"/>
          <w:sz w:val="20"/>
        </w:rPr>
        <w:t>作成日: 2026-04-05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川崎汽船（9107）DeepResearch レポート v3</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分析日：2026-04-05｜基準株価：¥2,698｜PBR：0.98倍</w:t>
      </w:r>
    </w:p>
    <w:p/>
    <w:p>
      <w:r>
        <w:t>──────────────────────────────────────────────────</w:t>
      </w:r>
    </w:p>
    <w:p/>
    <w:p>
      <w:pPr>
        <w:pStyle w:val="Heading2"/>
      </w:pPr>
      <w:r>
        <w:rPr>
          <w:rFonts w:ascii="Meiryo UI" w:hAnsi="Meiryo UI"/>
          <w:color w:val="2E74B5"/>
        </w:rPr>
        <w:t>⚠️ 冒頭是正声明（社長是正命令 EMERGENCY v3 対応）</w:t>
      </w:r>
    </w:p>
    <w:p/>
    <w:p>
      <w:r>
        <w:rPr>
          <w:rFonts w:ascii="Meiryo UI" w:hAnsi="Meiryo UI"/>
          <w:sz w:val="20"/>
        </w:rPr>
        <w:t>前回v2は第5.1セクションで断絶、未提出に等しい失態であった。本v3は冒頭から結論・感応度テーブルまで一気通貫で完走する。途中停止は一切行わない。全セクションを網羅し、論理密度を維持したまま末尾まで到達することをここに宣言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社長指示重点分析（v3完全再出力指示への対応）</w:t>
      </w:r>
    </w:p>
    <w:p>
      <w:pPr>
        <w:pStyle w:val="ListNumber"/>
      </w:pPr>
      <w:r>
        <w:rPr>
          <w:rFonts w:ascii="Meiryo UI" w:hAnsi="Meiryo UI"/>
          <w:sz w:val="20"/>
        </w:rPr>
        <w:t>財務ハイライト（FY2026/3 3Q実績）</w:t>
      </w:r>
    </w:p>
    <w:p>
      <w:pPr>
        <w:pStyle w:val="ListNumber"/>
      </w:pPr>
      <w:r>
        <w:rPr>
          <w:rFonts w:ascii="Meiryo UI" w:hAnsi="Meiryo UI"/>
          <w:sz w:val="20"/>
        </w:rPr>
        <w:t>DCFバリュエーション（前提全明記）</w:t>
      </w:r>
    </w:p>
    <w:p>
      <w:pPr>
        <w:pStyle w:val="ListNumber"/>
      </w:pPr>
      <w:r>
        <w:rPr>
          <w:rFonts w:ascii="Meiryo UI" w:hAnsi="Meiryo UI"/>
          <w:sz w:val="20"/>
        </w:rPr>
        <w:t>理論株価と投資判断</w:t>
      </w:r>
    </w:p>
    <w:p>
      <w:pPr>
        <w:pStyle w:val="ListNumber"/>
      </w:pPr>
      <w:r>
        <w:rPr>
          <w:rFonts w:ascii="Meiryo UI" w:hAnsi="Meiryo UI"/>
          <w:sz w:val="20"/>
        </w:rPr>
        <w:t>PBR1.0倍超障壁：ROE乖離分析</w:t>
      </w:r>
    </w:p>
    <w:p>
      <w:pPr>
        <w:pStyle w:val="ListNumber"/>
      </w:pPr>
      <w:r>
        <w:rPr>
          <w:rFonts w:ascii="Meiryo UI" w:hAnsi="Meiryo UI"/>
          <w:sz w:val="20"/>
        </w:rPr>
        <w:t>資本政策定性変化（2Q→3Q）</w:t>
      </w:r>
    </w:p>
    <w:p>
      <w:pPr>
        <w:pStyle w:val="ListNumber"/>
      </w:pPr>
      <w:r>
        <w:rPr>
          <w:rFonts w:ascii="Meiryo UI" w:hAnsi="Meiryo UI"/>
          <w:sz w:val="20"/>
        </w:rPr>
        <w:t>自社株買い残弾数理算出</w:t>
      </w:r>
    </w:p>
    <w:p>
      <w:pPr>
        <w:pStyle w:val="ListNumber"/>
      </w:pPr>
      <w:r>
        <w:rPr>
          <w:rFonts w:ascii="Meiryo UI" w:hAnsi="Meiryo UI"/>
          <w:sz w:val="20"/>
        </w:rPr>
        <w:t>ONE配当還流額</w:t>
      </w:r>
    </w:p>
    <w:p>
      <w:pPr>
        <w:pStyle w:val="ListNumber"/>
      </w:pPr>
      <w:r>
        <w:rPr>
          <w:rFonts w:ascii="Meiryo UI" w:hAnsi="Meiryo UI"/>
          <w:sz w:val="20"/>
        </w:rPr>
        <w:t>DOE下値支持線</w:t>
      </w:r>
    </w:p>
    <w:p>
      <w:pPr>
        <w:pStyle w:val="ListNumber"/>
      </w:pPr>
      <w:r>
        <w:rPr>
          <w:rFonts w:ascii="Meiryo UI" w:hAnsi="Meiryo UI"/>
          <w:sz w:val="20"/>
        </w:rPr>
        <w:t>リスクシナリオ（紅海・運賃市況）</w:t>
      </w:r>
    </w:p>
    <w:p>
      <w:pPr>
        <w:pStyle w:val="ListNumber"/>
      </w:pPr>
      <w:r>
        <w:rPr>
          <w:rFonts w:ascii="Meiryo UI" w:hAnsi="Meiryo UI"/>
          <w:sz w:val="20"/>
        </w:rPr>
        <w:t>メインvs リスクシナリオ（強気/基本/弱気3ケース）</w:t>
      </w:r>
    </w:p>
    <w:p>
      <w:pPr>
        <w:pStyle w:val="ListNumber"/>
      </w:pPr>
      <w:r>
        <w:rPr>
          <w:rFonts w:ascii="Meiryo UI" w:hAnsi="Meiryo UI"/>
          <w:sz w:val="20"/>
        </w:rPr>
        <w:t>浅井速報との統合評価</w:t>
      </w:r>
    </w:p>
    <w:p>
      <w:pPr>
        <w:pStyle w:val="ListNumber"/>
      </w:pPr>
      <w:r>
        <w:rPr>
          <w:rFonts w:ascii="Meiryo UI" w:hAnsi="Meiryo UI"/>
          <w:sz w:val="20"/>
        </w:rPr>
        <w:t>感応度テーブル（Rf±変動）</w:t>
      </w:r>
    </w:p>
    <w:p>
      <w:pPr>
        <w:pStyle w:val="ListNumber"/>
      </w:pPr>
      <w:r>
        <w:rPr>
          <w:rFonts w:ascii="Meiryo UI" w:hAnsi="Meiryo UI"/>
          <w:sz w:val="20"/>
        </w:rPr>
        <w:t>社長推奨アクション</w:t>
      </w:r>
    </w:p>
    <w:p>
      <w:pPr>
        <w:pStyle w:val="ListNumber"/>
      </w:pPr>
      <w:r>
        <w:rPr>
          <w:rFonts w:ascii="Meiryo UI" w:hAnsi="Meiryo UI"/>
          <w:sz w:val="20"/>
        </w:rPr>
        <w:t>金利エビデンス</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基本プロファイル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川崎汽船株式会社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9107（東証プライム）</w:t>
            </w:r>
          </w:p>
        </w:tc>
      </w:tr>
      <w:tr>
        <w:tc>
          <w:tcPr>
            <w:tcW w:type="dxa" w:w="4703"/>
          </w:tcPr>
          <w:p>
            <w:r>
              <w:rPr>
                <w:rFonts w:ascii="Meiryo UI" w:hAnsi="Meiryo UI"/>
                <w:sz w:val="18"/>
              </w:rPr>
              <w:t>設立</w:t>
            </w:r>
          </w:p>
        </w:tc>
        <w:tc>
          <w:tcPr>
            <w:tcW w:type="dxa" w:w="4703"/>
          </w:tcPr>
          <w:p>
            <w:r>
              <w:rPr>
                <w:rFonts w:ascii="Meiryo UI" w:hAnsi="Meiryo UI"/>
                <w:sz w:val="18"/>
              </w:rPr>
              <w:t>1919年</w:t>
            </w:r>
          </w:p>
        </w:tc>
      </w:tr>
      <w:tr>
        <w:tc>
          <w:tcPr>
            <w:tcW w:type="dxa" w:w="4703"/>
            <w:shd w:val="clear" w:color="auto" w:fill="DDEBF7"/>
          </w:tcPr>
          <w:p>
            <w:r>
              <w:rPr>
                <w:rFonts w:ascii="Meiryo UI" w:hAnsi="Meiryo UI"/>
                <w:sz w:val="18"/>
              </w:rPr>
              <w:t>時価総額（基準）</w:t>
            </w:r>
          </w:p>
        </w:tc>
        <w:tc>
          <w:tcPr>
            <w:tcW w:type="dxa" w:w="4703"/>
            <w:shd w:val="clear" w:color="auto" w:fill="DDEBF7"/>
          </w:tcPr>
          <w:p>
            <w:r>
              <w:rPr>
                <w:rFonts w:ascii="Meiryo UI" w:hAnsi="Meiryo UI"/>
                <w:sz w:val="18"/>
              </w:rPr>
              <w:t>約¥4,620億（¥2,698×発行済株数約1.71億株）</w:t>
            </w:r>
          </w:p>
        </w:tc>
      </w:tr>
      <w:tr>
        <w:tc>
          <w:tcPr>
            <w:tcW w:type="dxa" w:w="4703"/>
          </w:tcPr>
          <w:p>
            <w:r>
              <w:rPr>
                <w:rFonts w:ascii="Meiryo UI" w:hAnsi="Meiryo UI"/>
                <w:sz w:val="18"/>
              </w:rPr>
              <w:t>決算期</w:t>
            </w:r>
          </w:p>
        </w:tc>
        <w:tc>
          <w:tcPr>
            <w:tcW w:type="dxa" w:w="4703"/>
          </w:tcPr>
          <w:p>
            <w:r>
              <w:rPr>
                <w:rFonts w:ascii="Meiryo UI" w:hAnsi="Meiryo UI"/>
                <w:sz w:val="18"/>
              </w:rPr>
              <w:t>3月末</w:t>
            </w:r>
          </w:p>
        </w:tc>
      </w:tr>
      <w:tr>
        <w:tc>
          <w:tcPr>
            <w:tcW w:type="dxa" w:w="4703"/>
            <w:shd w:val="clear" w:color="auto" w:fill="DDEBF7"/>
          </w:tcPr>
          <w:p>
            <w:r>
              <w:rPr>
                <w:rFonts w:ascii="Meiryo UI" w:hAnsi="Meiryo UI"/>
                <w:sz w:val="18"/>
              </w:rPr>
              <w:t>セクター</w:t>
            </w:r>
          </w:p>
        </w:tc>
        <w:tc>
          <w:tcPr>
            <w:tcW w:type="dxa" w:w="4703"/>
            <w:shd w:val="clear" w:color="auto" w:fill="DDEBF7"/>
          </w:tcPr>
          <w:p>
            <w:r>
              <w:rPr>
                <w:rFonts w:ascii="Meiryo UI" w:hAnsi="Meiryo UI"/>
                <w:sz w:val="18"/>
              </w:rPr>
              <w:t>海運（輸送）</w:t>
            </w:r>
          </w:p>
        </w:tc>
      </w:tr>
      <w:tr>
        <w:tc>
          <w:tcPr>
            <w:tcW w:type="dxa" w:w="4703"/>
          </w:tcPr>
          <w:p>
            <w:r>
              <w:rPr>
                <w:rFonts w:ascii="Meiryo UI" w:hAnsi="Meiryo UI"/>
                <w:sz w:val="18"/>
              </w:rPr>
              <w:t>主要格付</w:t>
            </w:r>
          </w:p>
        </w:tc>
        <w:tc>
          <w:tcPr>
            <w:tcW w:type="dxa" w:w="4703"/>
          </w:tcPr>
          <w:p>
            <w:r>
              <w:rPr>
                <w:rFonts w:ascii="Meiryo UI" w:hAnsi="Meiryo UI"/>
                <w:sz w:val="18"/>
              </w:rPr>
              <w:t>BBB+相当（JCR）</w:t>
            </w:r>
          </w:p>
        </w:tc>
      </w:tr>
    </w:tbl>
    <w:p/>
    <w:p>
      <w:pPr>
        <w:pStyle w:val="Heading3"/>
      </w:pPr>
      <w:r>
        <w:rPr>
          <w:rFonts w:ascii="Meiryo UI" w:hAnsi="Meiryo UI"/>
          <w:color w:val="2E74B5"/>
        </w:rPr>
        <w:t>1-2. セグメント構成（FY2026/3 3Q累計ベース推定）</w:t>
      </w:r>
    </w:p>
    <w:p/>
    <w:p>
      <w:pPr>
        <w:shd w:val="clear" w:color="auto" w:fill="F2F2F2"/>
      </w:pPr>
      <w:r>
        <w:rPr>
          <w:rFonts w:ascii="Courier New" w:hAnsi="Courier New"/>
          <w:sz w:val="16"/>
        </w:rPr>
        <w:t>【セグメント別売上比率（概算）】</w:t>
        <w:br/>
        <w:br/>
        <w:t>コンテナ船（ONE経由持分収益）  ───────────── 約55%</w:t>
        <w:br/>
        <w:t>ドライバルク                   ────────────   約20%</w:t>
        <w:br/>
        <w:t>エネルギー資源輸送（タンカー等）────────     約18%</w:t>
        <w:br/>
        <w:t>製品物流・その他               ──            約 7%</w:t>
      </w:r>
    </w:p>
    <w:p/>
    <w:p>
      <w:r>
        <w:rPr>
          <w:rFonts w:ascii="Meiryo UI" w:hAnsi="Meiryo UI"/>
          <w:sz w:val="20"/>
        </w:rPr>
        <w:t>コンテナ船は直接連結ではなく、Ocean Network Express（ONE）への持分法適用（持分比率31.5%）。ONEからの持分利益がKラインの収益の心臓部であり、運賃市況の変動が直撃する構造。</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ONEアライアンス</w:t>
            </w:r>
          </w:p>
        </w:tc>
        <w:tc>
          <w:tcPr>
            <w:tcW w:type="dxa" w:w="4703"/>
          </w:tcPr>
          <w:p>
            <w:r>
              <w:rPr>
                <w:rFonts w:ascii="Meiryo UI" w:hAnsi="Meiryo UI"/>
                <w:sz w:val="18"/>
              </w:rPr>
              <w:t>日本郵船・商船三井と共同出資。スケールメリットでコスト競争力を確保</w:t>
            </w:r>
          </w:p>
        </w:tc>
      </w:tr>
      <w:tr>
        <w:tc>
          <w:tcPr>
            <w:tcW w:type="dxa" w:w="4703"/>
            <w:shd w:val="clear" w:color="auto" w:fill="DDEBF7"/>
          </w:tcPr>
          <w:p>
            <w:r>
              <w:rPr>
                <w:rFonts w:ascii="Meiryo UI" w:hAnsi="Meiryo UI"/>
                <w:sz w:val="18"/>
              </w:rPr>
              <w:t>エネルギー輸送特化</w:t>
            </w:r>
          </w:p>
        </w:tc>
        <w:tc>
          <w:tcPr>
            <w:tcW w:type="dxa" w:w="4703"/>
            <w:shd w:val="clear" w:color="auto" w:fill="DDEBF7"/>
          </w:tcPr>
          <w:p>
            <w:r>
              <w:rPr>
                <w:rFonts w:ascii="Meiryo UI" w:hAnsi="Meiryo UI"/>
                <w:sz w:val="18"/>
              </w:rPr>
              <w:t>LNG船・VLCC等の長期用船契約により安定キャッシュフロー</w:t>
            </w:r>
          </w:p>
        </w:tc>
      </w:tr>
      <w:tr>
        <w:tc>
          <w:tcPr>
            <w:tcW w:type="dxa" w:w="4703"/>
          </w:tcPr>
          <w:p>
            <w:r>
              <w:rPr>
                <w:rFonts w:ascii="Meiryo UI" w:hAnsi="Meiryo UI"/>
                <w:sz w:val="18"/>
              </w:rPr>
              <w:t>ドライバルク多角化</w:t>
            </w:r>
          </w:p>
        </w:tc>
        <w:tc>
          <w:tcPr>
            <w:tcW w:type="dxa" w:w="4703"/>
          </w:tcPr>
          <w:p>
            <w:r>
              <w:rPr>
                <w:rFonts w:ascii="Meiryo UI" w:hAnsi="Meiryo UI"/>
                <w:sz w:val="18"/>
              </w:rPr>
              <w:t>穀物・石炭・鉄鉱石の分散でリスク平準化</w:t>
            </w:r>
          </w:p>
        </w:tc>
      </w:tr>
      <w:tr>
        <w:tc>
          <w:tcPr>
            <w:tcW w:type="dxa" w:w="4703"/>
            <w:shd w:val="clear" w:color="auto" w:fill="DDEBF7"/>
          </w:tcPr>
          <w:p>
            <w:r>
              <w:rPr>
                <w:rFonts w:ascii="Meiryo UI" w:hAnsi="Meiryo UI"/>
                <w:sz w:val="18"/>
              </w:rPr>
              <w:t>財務健全化済み</w:t>
            </w:r>
          </w:p>
        </w:tc>
        <w:tc>
          <w:tcPr>
            <w:tcW w:type="dxa" w:w="4703"/>
            <w:shd w:val="clear" w:color="auto" w:fill="DDEBF7"/>
          </w:tcPr>
          <w:p>
            <w:r>
              <w:rPr>
                <w:rFonts w:ascii="Meiryo UI" w:hAnsi="Meiryo UI"/>
                <w:sz w:val="18"/>
              </w:rPr>
              <w:t>ネットDEレシオ大幅改善、自己資本比率40%超</w:t>
            </w:r>
          </w:p>
        </w:tc>
      </w:tr>
    </w:tbl>
    <w:p/>
    <w:p>
      <w:pPr>
        <w:pStyle w:val="Heading3"/>
      </w:pPr>
      <w:r>
        <w:rPr>
          <w:rFonts w:ascii="Meiryo UI" w:hAnsi="Meiryo UI"/>
          <w:color w:val="2E74B5"/>
        </w:rPr>
        <w:t>1-4. 直近カタリスト</w:t>
      </w:r>
    </w:p>
    <w:p/>
    <w:p>
      <w:pPr>
        <w:pStyle w:val="ListBullet"/>
      </w:pPr>
      <w:r>
        <w:rPr>
          <w:rFonts w:ascii="Meiryo UI" w:hAnsi="Meiryo UI"/>
          <w:sz w:val="20"/>
        </w:rPr>
        <w:t>正: 紅海迂回長期化→距離増→実効供給削減→コンテナ運賃下支え</w:t>
      </w:r>
    </w:p>
    <w:p>
      <w:pPr>
        <w:pStyle w:val="ListBullet"/>
      </w:pPr>
      <w:r>
        <w:rPr>
          <w:rFonts w:ascii="Meiryo UI" w:hAnsi="Meiryo UI"/>
          <w:sz w:val="20"/>
        </w:rPr>
        <w:t>正: DOE（株主資本配当率）政策導入→配当の下値支持線が明確化</w:t>
      </w:r>
    </w:p>
    <w:p>
      <w:pPr>
        <w:pStyle w:val="ListBullet"/>
      </w:pPr>
      <w:r>
        <w:rPr>
          <w:rFonts w:ascii="Meiryo UI" w:hAnsi="Meiryo UI"/>
          <w:sz w:val="20"/>
        </w:rPr>
        <w:t>正: 自社株買い継続姿勢→需給改善・EPS押し上げ</w:t>
      </w:r>
    </w:p>
    <w:p>
      <w:pPr>
        <w:pStyle w:val="ListBullet"/>
      </w:pPr>
      <w:r>
        <w:rPr>
          <w:rFonts w:ascii="Meiryo UI" w:hAnsi="Meiryo UI"/>
          <w:sz w:val="20"/>
        </w:rPr>
        <w:t>負: 世界景気減速懸念→貿易量減少リスク</w:t>
      </w:r>
    </w:p>
    <w:p>
      <w:pPr>
        <w:pStyle w:val="ListBullet"/>
      </w:pPr>
      <w:r>
        <w:rPr>
          <w:rFonts w:ascii="Meiryo UI" w:hAnsi="Meiryo UI"/>
          <w:sz w:val="20"/>
        </w:rPr>
        <w:t>負: 新造船大量竣工（2025〜2026年）→需給緩和圧力</w:t>
      </w:r>
    </w:p>
    <w:p/>
    <w:p>
      <w:r>
        <w:t>──────────────────────────────────────────────────</w:t>
      </w:r>
    </w:p>
    <w:p/>
    <w:p>
      <w:pPr>
        <w:pStyle w:val="Heading2"/>
      </w:pPr>
      <w:r>
        <w:rPr>
          <w:rFonts w:ascii="Meiryo UI" w:hAnsi="Meiryo UI"/>
          <w:color w:val="2E74B5"/>
        </w:rPr>
        <w:t>2. 社長指示重点分析</w:t>
      </w:r>
    </w:p>
    <w:p/>
    <w:p>
      <w:pPr>
        <w:pStyle w:val="Heading3"/>
      </w:pPr>
      <w:r>
        <w:rPr>
          <w:rFonts w:ascii="Meiryo UI" w:hAnsi="Meiryo UI"/>
          <w:color w:val="2E74B5"/>
        </w:rPr>
        <w:t>社長指示原文</w:t>
      </w:r>
    </w:p>
    <w:p>
      <w:r>
        <w:rPr>
          <w:rFonts w:ascii="Meiryo UI" w:hAnsi="Meiryo UI"/>
          <w:sz w:val="20"/>
        </w:rPr>
        <w:t>&gt; v3完全再出力。途中断絶禁止。PBR0.98・¥2,698基準。簡潔鋭利で全項目網羅</w:t>
      </w:r>
    </w:p>
    <w:p/>
    <w:p>
      <w:pPr>
        <w:pStyle w:val="Heading3"/>
      </w:pPr>
      <w:r>
        <w:rPr>
          <w:rFonts w:ascii="Meiryo UI" w:hAnsi="Meiryo UI"/>
          <w:color w:val="2E74B5"/>
        </w:rPr>
        <w:t>深井対応方針</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指示要素</w:t>
            </w:r>
          </w:p>
        </w:tc>
        <w:tc>
          <w:tcPr>
            <w:tcW w:type="dxa" w:w="4703"/>
            <w:shd w:val="clear" w:color="auto" w:fill="2E74B5"/>
          </w:tcPr>
          <w:p>
            <w:r>
              <w:rPr>
                <w:rFonts w:ascii="Meiryo UI" w:hAnsi="Meiryo UI"/>
                <w:b/>
                <w:color w:val="FFFFFF"/>
                <w:sz w:val="18"/>
              </w:rPr>
              <w:t>対応内容</w:t>
            </w:r>
          </w:p>
        </w:tc>
      </w:tr>
      <w:tr>
        <w:tc>
          <w:tcPr>
            <w:tcW w:type="dxa" w:w="4703"/>
          </w:tcPr>
          <w:p>
            <w:r>
              <w:rPr>
                <w:rFonts w:ascii="Meiryo UI" w:hAnsi="Meiryo UI"/>
                <w:sz w:val="18"/>
              </w:rPr>
              <w:t>v3完全再出力</w:t>
            </w:r>
          </w:p>
        </w:tc>
        <w:tc>
          <w:tcPr>
            <w:tcW w:type="dxa" w:w="4703"/>
          </w:tcPr>
          <w:p>
            <w:r>
              <w:rPr>
                <w:rFonts w:ascii="Meiryo UI" w:hAnsi="Meiryo UI"/>
                <w:sz w:val="18"/>
              </w:rPr>
              <w:t>v1/v2の構造的欠陥（断絶・セクション欠落）を根本から再設計</w:t>
            </w:r>
          </w:p>
        </w:tc>
      </w:tr>
      <w:tr>
        <w:tc>
          <w:tcPr>
            <w:tcW w:type="dxa" w:w="4703"/>
            <w:shd w:val="clear" w:color="auto" w:fill="DDEBF7"/>
          </w:tcPr>
          <w:p>
            <w:r>
              <w:rPr>
                <w:rFonts w:ascii="Meiryo UI" w:hAnsi="Meiryo UI"/>
                <w:sz w:val="18"/>
              </w:rPr>
              <w:t>途中断絶禁止</w:t>
            </w:r>
          </w:p>
        </w:tc>
        <w:tc>
          <w:tcPr>
            <w:tcW w:type="dxa" w:w="4703"/>
            <w:shd w:val="clear" w:color="auto" w:fill="DDEBF7"/>
          </w:tcPr>
          <w:p>
            <w:r>
              <w:rPr>
                <w:rFonts w:ascii="Meiryo UI" w:hAnsi="Meiryo UI"/>
                <w:sz w:val="18"/>
              </w:rPr>
              <w:t>全15セクションを単一出力で完走。停止フラグなし</w:t>
            </w:r>
          </w:p>
        </w:tc>
      </w:tr>
      <w:tr>
        <w:tc>
          <w:tcPr>
            <w:tcW w:type="dxa" w:w="4703"/>
          </w:tcPr>
          <w:p>
            <w:r>
              <w:rPr>
                <w:rFonts w:ascii="Meiryo UI" w:hAnsi="Meiryo UI"/>
                <w:sz w:val="18"/>
              </w:rPr>
              <w:t>PBR0.98・¥2,698基準</w:t>
            </w:r>
          </w:p>
        </w:tc>
        <w:tc>
          <w:tcPr>
            <w:tcW w:type="dxa" w:w="4703"/>
          </w:tcPr>
          <w:p>
            <w:r>
              <w:rPr>
                <w:rFonts w:ascii="Meiryo UI" w:hAnsi="Meiryo UI"/>
                <w:sz w:val="18"/>
              </w:rPr>
              <w:t>全バリュエーションの起点をこの数値に固定</w:t>
            </w:r>
          </w:p>
        </w:tc>
      </w:tr>
      <w:tr>
        <w:tc>
          <w:tcPr>
            <w:tcW w:type="dxa" w:w="4703"/>
            <w:shd w:val="clear" w:color="auto" w:fill="DDEBF7"/>
          </w:tcPr>
          <w:p>
            <w:r>
              <w:rPr>
                <w:rFonts w:ascii="Meiryo UI" w:hAnsi="Meiryo UI"/>
                <w:sz w:val="18"/>
              </w:rPr>
              <w:t>簡潔鋭利</w:t>
            </w:r>
          </w:p>
        </w:tc>
        <w:tc>
          <w:tcPr>
            <w:tcW w:type="dxa" w:w="4703"/>
            <w:shd w:val="clear" w:color="auto" w:fill="DDEBF7"/>
          </w:tcPr>
          <w:p>
            <w:r>
              <w:rPr>
                <w:rFonts w:ascii="Meiryo UI" w:hAnsi="Meiryo UI"/>
                <w:sz w:val="18"/>
              </w:rPr>
              <w:t>冗長な前置き排除。数値・テーブル中心の情報密度重視</w:t>
            </w:r>
          </w:p>
        </w:tc>
      </w:tr>
      <w:tr>
        <w:tc>
          <w:tcPr>
            <w:tcW w:type="dxa" w:w="4703"/>
          </w:tcPr>
          <w:p>
            <w:r>
              <w:rPr>
                <w:rFonts w:ascii="Meiryo UI" w:hAnsi="Meiryo UI"/>
                <w:sz w:val="18"/>
              </w:rPr>
              <w:t>全項目網羅</w:t>
            </w:r>
          </w:p>
        </w:tc>
        <w:tc>
          <w:tcPr>
            <w:tcW w:type="dxa" w:w="4703"/>
          </w:tcPr>
          <w:p>
            <w:r>
              <w:rPr>
                <w:rFonts w:ascii="Meiryo UI" w:hAnsi="Meiryo UI"/>
                <w:sz w:val="18"/>
              </w:rPr>
              <w:t>目次に列挙した15セクションを漏れなく記載</w:t>
            </w:r>
          </w:p>
        </w:tc>
      </w:tr>
    </w:tbl>
    <w:p/>
    <w:p>
      <w:r>
        <w:rPr>
          <w:rFonts w:ascii="Meiryo UI" w:hAnsi="Meiryo UI"/>
          <w:sz w:val="20"/>
        </w:rPr>
        <w:t>核心論点：PBR0.98倍は純資産対比で市場が約2%のディスカウントを付けている状態。ROEが資本コスト（Re）を持続的に上回ると証明されれば、PBR1.0倍超への水準訂正は自然発生する。本レポートはその蓋然性を数値で検証する。</w:t>
      </w:r>
    </w:p>
    <w:p/>
    <w:p>
      <w:r>
        <w:t>──────────────────────────────────────────────────</w:t>
      </w:r>
    </w:p>
    <w:p/>
    <w:p>
      <w:pPr>
        <w:pStyle w:val="Heading2"/>
      </w:pPr>
      <w:r>
        <w:rPr>
          <w:rFonts w:ascii="Meiryo UI" w:hAnsi="Meiryo UI"/>
          <w:color w:val="2E74B5"/>
        </w:rPr>
        <w:t>3. 財務ハイライト（FY2026/3 3Q実績）</w:t>
      </w:r>
    </w:p>
    <w:p/>
    <w:p>
      <w:pPr>
        <w:pStyle w:val="Heading3"/>
      </w:pPr>
      <w:r>
        <w:rPr>
          <w:rFonts w:ascii="Meiryo UI" w:hAnsi="Meiryo UI"/>
          <w:color w:val="2E74B5"/>
        </w:rPr>
        <w:t>3-1. 損益計算書サマリー（3Q累計：2025年4月〜12月）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FY2026/3 3Q累計</w:t>
            </w:r>
          </w:p>
        </w:tc>
        <w:tc>
          <w:tcPr>
            <w:tcW w:type="dxa" w:w="2351"/>
            <w:shd w:val="clear" w:color="auto" w:fill="2E74B5"/>
          </w:tcPr>
          <w:p>
            <w:r>
              <w:rPr>
                <w:rFonts w:ascii="Meiryo UI" w:hAnsi="Meiryo UI"/>
                <w:b/>
                <w:color w:val="FFFFFF"/>
                <w:sz w:val="18"/>
              </w:rPr>
              <w:t>FY2025/3 通期実績</w:t>
            </w:r>
          </w:p>
        </w:tc>
        <w:tc>
          <w:tcPr>
            <w:tcW w:type="dxa" w:w="2351"/>
            <w:shd w:val="clear" w:color="auto" w:fill="2E74B5"/>
          </w:tcPr>
          <w:p>
            <w:r>
              <w:rPr>
                <w:rFonts w:ascii="Meiryo UI" w:hAnsi="Meiryo UI"/>
                <w:b/>
                <w:color w:val="FFFFFF"/>
                <w:sz w:val="18"/>
              </w:rPr>
              <w:t>前年同期比</w:t>
            </w:r>
          </w:p>
        </w:tc>
      </w:tr>
      <w:tr>
        <w:tc>
          <w:tcPr>
            <w:tcW w:type="dxa" w:w="2351"/>
          </w:tcPr>
          <w:p>
            <w:r>
              <w:rPr>
                <w:rFonts w:ascii="Meiryo UI" w:hAnsi="Meiryo UI"/>
                <w:sz w:val="18"/>
              </w:rPr>
              <w:t>売上高</w:t>
            </w:r>
          </w:p>
        </w:tc>
        <w:tc>
          <w:tcPr>
            <w:tcW w:type="dxa" w:w="2351"/>
          </w:tcPr>
          <w:p>
            <w:r>
              <w:rPr>
                <w:rFonts w:ascii="Meiryo UI" w:hAnsi="Meiryo UI"/>
                <w:sz w:val="18"/>
              </w:rPr>
              <w:t>約¥7,200億</w:t>
            </w:r>
          </w:p>
        </w:tc>
        <w:tc>
          <w:tcPr>
            <w:tcW w:type="dxa" w:w="2351"/>
          </w:tcPr>
          <w:p>
            <w:r>
              <w:rPr>
                <w:rFonts w:ascii="Meiryo UI" w:hAnsi="Meiryo UI"/>
                <w:sz w:val="18"/>
              </w:rPr>
              <w:t>¥9,213億</w:t>
            </w:r>
          </w:p>
        </w:tc>
        <w:tc>
          <w:tcPr>
            <w:tcW w:type="dxa" w:w="2351"/>
          </w:tcPr>
          <w:p>
            <w:r>
              <w:rPr>
                <w:rFonts w:ascii="Meiryo UI" w:hAnsi="Meiryo UI"/>
                <w:sz w:val="18"/>
              </w:rPr>
              <w:t>▲若干減</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約¥850億</w:t>
            </w:r>
          </w:p>
        </w:tc>
        <w:tc>
          <w:tcPr>
            <w:tcW w:type="dxa" w:w="2351"/>
            <w:shd w:val="clear" w:color="auto" w:fill="DDEBF7"/>
          </w:tcPr>
          <w:p>
            <w:r>
              <w:rPr>
                <w:rFonts w:ascii="Meiryo UI" w:hAnsi="Meiryo UI"/>
                <w:sz w:val="18"/>
              </w:rPr>
              <w:t>¥1,120億</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経常利益（持分益含）</w:t>
            </w:r>
          </w:p>
        </w:tc>
        <w:tc>
          <w:tcPr>
            <w:tcW w:type="dxa" w:w="2351"/>
          </w:tcPr>
          <w:p>
            <w:r>
              <w:rPr>
                <w:rFonts w:ascii="Meiryo UI" w:hAnsi="Meiryo UI"/>
                <w:sz w:val="18"/>
              </w:rPr>
              <w:t>約¥1,600億</w:t>
            </w:r>
          </w:p>
        </w:tc>
        <w:tc>
          <w:tcPr>
            <w:tcW w:type="dxa" w:w="2351"/>
          </w:tcPr>
          <w:p>
            <w:r>
              <w:rPr>
                <w:rFonts w:ascii="Meiryo UI" w:hAnsi="Meiryo UI"/>
                <w:sz w:val="18"/>
              </w:rPr>
              <w:t>¥2,100億</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約¥1,300億</w:t>
            </w:r>
          </w:p>
        </w:tc>
        <w:tc>
          <w:tcPr>
            <w:tcW w:type="dxa" w:w="2351"/>
            <w:shd w:val="clear" w:color="auto" w:fill="DDEBF7"/>
          </w:tcPr>
          <w:p>
            <w:r>
              <w:rPr>
                <w:rFonts w:ascii="Meiryo UI" w:hAnsi="Meiryo UI"/>
                <w:sz w:val="18"/>
              </w:rPr>
              <w:t>¥1,850億</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営業利益率</w:t>
            </w:r>
          </w:p>
        </w:tc>
        <w:tc>
          <w:tcPr>
            <w:tcW w:type="dxa" w:w="2351"/>
          </w:tcPr>
          <w:p>
            <w:r>
              <w:rPr>
                <w:rFonts w:ascii="Meiryo UI" w:hAnsi="Meiryo UI"/>
                <w:sz w:val="18"/>
              </w:rPr>
              <w:t>約11.8%</w:t>
            </w:r>
          </w:p>
        </w:tc>
        <w:tc>
          <w:tcPr>
            <w:tcW w:type="dxa" w:w="2351"/>
          </w:tcPr>
          <w:p>
            <w:r>
              <w:rPr>
                <w:rFonts w:ascii="Meiryo UI" w:hAnsi="Meiryo UI"/>
                <w:sz w:val="18"/>
              </w:rPr>
              <w:t>12.1%</w:t>
            </w:r>
          </w:p>
        </w:tc>
        <w:tc>
          <w:tcPr>
            <w:tcW w:type="dxa" w:w="2351"/>
          </w:tcPr>
          <w:p>
            <w:r>
              <w:rPr>
                <w:rFonts w:ascii="Meiryo UI" w:hAnsi="Meiryo UI"/>
                <w:sz w:val="18"/>
              </w:rPr>
              <w:t>微減</w:t>
            </w:r>
          </w:p>
        </w:tc>
      </w:tr>
    </w:tbl>
    <w:p/>
    <w:p>
      <w:r>
        <w:rPr>
          <w:rFonts w:ascii="Meiryo UI" w:hAnsi="Meiryo UI"/>
          <w:sz w:val="20"/>
        </w:rPr>
        <w:t>&gt; ※ ONEからの持分法投資利益は「経常利益」段階で計上。営業利益率単体では過小評価になることに注意。経常段階での実力を見ること。</w:t>
      </w:r>
    </w:p>
    <w:p/>
    <w:p>
      <w:pPr>
        <w:pStyle w:val="Heading3"/>
      </w:pPr>
      <w:r>
        <w:rPr>
          <w:rFonts w:ascii="Meiryo UI" w:hAnsi="Meiryo UI"/>
          <w:color w:val="2E74B5"/>
        </w:rPr>
        <w:t>3-2. 貸借対照表サマリー（FY2026/3 3Q末）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総資産</w:t>
            </w:r>
          </w:p>
        </w:tc>
        <w:tc>
          <w:tcPr>
            <w:tcW w:type="dxa" w:w="4703"/>
          </w:tcPr>
          <w:p>
            <w:r>
              <w:rPr>
                <w:rFonts w:ascii="Meiryo UI" w:hAnsi="Meiryo UI"/>
                <w:sz w:val="18"/>
              </w:rPr>
              <w:t>約¥1兆7,000億</w:t>
            </w:r>
          </w:p>
        </w:tc>
      </w:tr>
      <w:tr>
        <w:tc>
          <w:tcPr>
            <w:tcW w:type="dxa" w:w="4703"/>
            <w:shd w:val="clear" w:color="auto" w:fill="DDEBF7"/>
          </w:tcPr>
          <w:p>
            <w:r>
              <w:rPr>
                <w:rFonts w:ascii="Meiryo UI" w:hAnsi="Meiryo UI"/>
                <w:sz w:val="18"/>
              </w:rPr>
              <w:t>純資産（自己資本）</w:t>
            </w:r>
          </w:p>
        </w:tc>
        <w:tc>
          <w:tcPr>
            <w:tcW w:type="dxa" w:w="4703"/>
            <w:shd w:val="clear" w:color="auto" w:fill="DDEBF7"/>
          </w:tcPr>
          <w:p>
            <w:r>
              <w:rPr>
                <w:rFonts w:ascii="Meiryo UI" w:hAnsi="Meiryo UI"/>
                <w:sz w:val="18"/>
              </w:rPr>
              <w:t>約¥4,710億</w:t>
            </w:r>
          </w:p>
        </w:tc>
      </w:tr>
      <w:tr>
        <w:tc>
          <w:tcPr>
            <w:tcW w:type="dxa" w:w="4703"/>
          </w:tcPr>
          <w:p>
            <w:r>
              <w:rPr>
                <w:rFonts w:ascii="Meiryo UI" w:hAnsi="Meiryo UI"/>
                <w:sz w:val="18"/>
              </w:rPr>
              <w:t>有利子負債</w:t>
            </w:r>
          </w:p>
        </w:tc>
        <w:tc>
          <w:tcPr>
            <w:tcW w:type="dxa" w:w="4703"/>
          </w:tcPr>
          <w:p>
            <w:r>
              <w:rPr>
                <w:rFonts w:ascii="Meiryo UI" w:hAnsi="Meiryo UI"/>
                <w:sz w:val="18"/>
              </w:rPr>
              <w:t>約¥4,200億</w:t>
            </w:r>
          </w:p>
        </w:tc>
      </w:tr>
      <w:tr>
        <w:tc>
          <w:tcPr>
            <w:tcW w:type="dxa" w:w="4703"/>
            <w:shd w:val="clear" w:color="auto" w:fill="DDEBF7"/>
          </w:tcPr>
          <w:p>
            <w:r>
              <w:rPr>
                <w:rFonts w:ascii="Meiryo UI" w:hAnsi="Meiryo UI"/>
                <w:sz w:val="18"/>
              </w:rPr>
              <w:t>現預金</w:t>
            </w:r>
          </w:p>
        </w:tc>
        <w:tc>
          <w:tcPr>
            <w:tcW w:type="dxa" w:w="4703"/>
            <w:shd w:val="clear" w:color="auto" w:fill="DDEBF7"/>
          </w:tcPr>
          <w:p>
            <w:r>
              <w:rPr>
                <w:rFonts w:ascii="Meiryo UI" w:hAnsi="Meiryo UI"/>
                <w:sz w:val="18"/>
              </w:rPr>
              <w:t>約¥2,100億</w:t>
            </w:r>
          </w:p>
        </w:tc>
      </w:tr>
      <w:tr>
        <w:tc>
          <w:tcPr>
            <w:tcW w:type="dxa" w:w="4703"/>
          </w:tcPr>
          <w:p>
            <w:r>
              <w:rPr>
                <w:rFonts w:ascii="Meiryo UI" w:hAnsi="Meiryo UI"/>
                <w:sz w:val="18"/>
              </w:rPr>
              <w:t>ネット有利子負債</w:t>
            </w:r>
          </w:p>
        </w:tc>
        <w:tc>
          <w:tcPr>
            <w:tcW w:type="dxa" w:w="4703"/>
          </w:tcPr>
          <w:p>
            <w:r>
              <w:rPr>
                <w:rFonts w:ascii="Meiryo UI" w:hAnsi="Meiryo UI"/>
                <w:sz w:val="18"/>
              </w:rPr>
              <w:t>約¥2,100億</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約27.7%（グループ連結）</w:t>
            </w:r>
          </w:p>
        </w:tc>
      </w:tr>
      <w:tr>
        <w:tc>
          <w:tcPr>
            <w:tcW w:type="dxa" w:w="4703"/>
          </w:tcPr>
          <w:p>
            <w:r>
              <w:rPr>
                <w:rFonts w:ascii="Meiryo UI" w:hAnsi="Meiryo UI"/>
                <w:sz w:val="18"/>
              </w:rPr>
              <w:t>BPS（1株純資産）</w:t>
            </w:r>
          </w:p>
        </w:tc>
        <w:tc>
          <w:tcPr>
            <w:tcW w:type="dxa" w:w="4703"/>
          </w:tcPr>
          <w:p>
            <w:r>
              <w:rPr>
                <w:rFonts w:ascii="Meiryo UI" w:hAnsi="Meiryo UI"/>
                <w:sz w:val="18"/>
              </w:rPr>
              <w:t>約¥2,754（¥2,698÷0.98倍から逆算）</w:t>
            </w:r>
          </w:p>
        </w:tc>
      </w:tr>
    </w:tbl>
    <w:p/>
    <w:p>
      <w:r>
        <w:rPr>
          <w:rFonts w:ascii="Meiryo UI" w:hAnsi="Meiryo UI"/>
          <w:sz w:val="20"/>
        </w:rPr>
        <w:t>BPS逆算：PBR0.98倍・株価¥2,698 → BPS = ¥2,698 ÷ 0.98 = ¥2,753</w:t>
      </w:r>
    </w:p>
    <w:p/>
    <w:p>
      <w:pPr>
        <w:pStyle w:val="Heading3"/>
      </w:pPr>
      <w:r>
        <w:rPr>
          <w:rFonts w:ascii="Meiryo UI" w:hAnsi="Meiryo UI"/>
          <w:color w:val="2E74B5"/>
        </w:rPr>
        <w:t>3-3. キャッシュフロー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FY2026/3 3Q累計（推定）</w:t>
            </w:r>
          </w:p>
        </w:tc>
      </w:tr>
      <w:tr>
        <w:tc>
          <w:tcPr>
            <w:tcW w:type="dxa" w:w="4703"/>
          </w:tcPr>
          <w:p>
            <w:r>
              <w:rPr>
                <w:rFonts w:ascii="Meiryo UI" w:hAnsi="Meiryo UI"/>
                <w:sz w:val="18"/>
              </w:rPr>
              <w:t>営業CF</w:t>
            </w:r>
          </w:p>
        </w:tc>
        <w:tc>
          <w:tcPr>
            <w:tcW w:type="dxa" w:w="4703"/>
          </w:tcPr>
          <w:p>
            <w:r>
              <w:rPr>
                <w:rFonts w:ascii="Meiryo UI" w:hAnsi="Meiryo UI"/>
                <w:sz w:val="18"/>
              </w:rPr>
              <w:t>約＋¥1,500億</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約▲¥600億</w:t>
            </w:r>
          </w:p>
        </w:tc>
      </w:tr>
      <w:tr>
        <w:tc>
          <w:tcPr>
            <w:tcW w:type="dxa" w:w="4703"/>
          </w:tcPr>
          <w:p>
            <w:r>
              <w:rPr>
                <w:rFonts w:ascii="Meiryo UI" w:hAnsi="Meiryo UI"/>
                <w:sz w:val="18"/>
              </w:rPr>
              <w:t>FCF</w:t>
            </w:r>
          </w:p>
        </w:tc>
        <w:tc>
          <w:tcPr>
            <w:tcW w:type="dxa" w:w="4703"/>
          </w:tcPr>
          <w:p>
            <w:r>
              <w:rPr>
                <w:rFonts w:ascii="Meiryo UI" w:hAnsi="Meiryo UI"/>
                <w:sz w:val="18"/>
              </w:rPr>
              <w:t>約＋¥900億</w:t>
            </w:r>
          </w:p>
        </w:tc>
      </w:tr>
      <w:tr>
        <w:tc>
          <w:tcPr>
            <w:tcW w:type="dxa" w:w="4703"/>
            <w:shd w:val="clear" w:color="auto" w:fill="DDEBF7"/>
          </w:tcPr>
          <w:p>
            <w:r>
              <w:rPr>
                <w:rFonts w:ascii="Meiryo UI" w:hAnsi="Meiryo UI"/>
                <w:sz w:val="18"/>
              </w:rPr>
              <w:t>FCFマージン（売上比）</w:t>
            </w:r>
          </w:p>
        </w:tc>
        <w:tc>
          <w:tcPr>
            <w:tcW w:type="dxa" w:w="4703"/>
            <w:shd w:val="clear" w:color="auto" w:fill="DDEBF7"/>
          </w:tcPr>
          <w:p>
            <w:r>
              <w:rPr>
                <w:rFonts w:ascii="Meiryo UI" w:hAnsi="Meiryo UI"/>
                <w:sz w:val="18"/>
              </w:rPr>
              <w:t>約12.5%</w:t>
            </w:r>
          </w:p>
        </w:tc>
      </w:tr>
      <w:tr>
        <w:tc>
          <w:tcPr>
            <w:tcW w:type="dxa" w:w="4703"/>
          </w:tcPr>
          <w:p>
            <w:r>
              <w:rPr>
                <w:rFonts w:ascii="Meiryo UI" w:hAnsi="Meiryo UI"/>
                <w:sz w:val="18"/>
              </w:rPr>
              <w:t>財務CF（自社株買い・配当含）</w:t>
            </w:r>
          </w:p>
        </w:tc>
        <w:tc>
          <w:tcPr>
            <w:tcW w:type="dxa" w:w="4703"/>
          </w:tcPr>
          <w:p>
            <w:r>
              <w:rPr>
                <w:rFonts w:ascii="Meiryo UI" w:hAnsi="Meiryo UI"/>
                <w:sz w:val="18"/>
              </w:rPr>
              <w:t>約▲¥700億</w:t>
            </w:r>
          </w:p>
        </w:tc>
      </w:tr>
    </w:tbl>
    <w:p/>
    <w:p>
      <w:pPr>
        <w:pStyle w:val="Heading3"/>
      </w:pPr>
      <w:r>
        <w:rPr>
          <w:rFonts w:ascii="Meiryo UI" w:hAnsi="Meiryo UI"/>
          <w:color w:val="2E74B5"/>
        </w:rPr>
        <w:t>3-4. 収益性指標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FY2026/3予想（通期）</w:t>
            </w:r>
          </w:p>
        </w:tc>
        <w:tc>
          <w:tcPr>
            <w:tcW w:type="dxa" w:w="3135"/>
            <w:shd w:val="clear" w:color="auto" w:fill="2E74B5"/>
          </w:tcPr>
          <w:p>
            <w:r>
              <w:rPr>
                <w:rFonts w:ascii="Meiryo UI" w:hAnsi="Meiryo UI"/>
                <w:b/>
                <w:color w:val="FFFFFF"/>
                <w:sz w:val="18"/>
              </w:rPr>
              <w:t>FY2025/3実績</w:t>
            </w:r>
          </w:p>
        </w:tc>
      </w:tr>
      <w:tr>
        <w:tc>
          <w:tcPr>
            <w:tcW w:type="dxa" w:w="3135"/>
          </w:tcPr>
          <w:p>
            <w:r>
              <w:rPr>
                <w:rFonts w:ascii="Meiryo UI" w:hAnsi="Meiryo UI"/>
                <w:sz w:val="18"/>
              </w:rPr>
              <w:t>ROE</w:t>
            </w:r>
          </w:p>
        </w:tc>
        <w:tc>
          <w:tcPr>
            <w:tcW w:type="dxa" w:w="3135"/>
          </w:tcPr>
          <w:p>
            <w:r>
              <w:rPr>
                <w:rFonts w:ascii="Meiryo UI" w:hAnsi="Meiryo UI"/>
                <w:sz w:val="18"/>
              </w:rPr>
              <w:t>約28〜32%</w:t>
            </w:r>
          </w:p>
        </w:tc>
        <w:tc>
          <w:tcPr>
            <w:tcW w:type="dxa" w:w="3135"/>
          </w:tcPr>
          <w:p>
            <w:r>
              <w:rPr>
                <w:rFonts w:ascii="Meiryo UI" w:hAnsi="Meiryo UI"/>
                <w:sz w:val="18"/>
              </w:rPr>
              <w:t>約38.5%</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約7.5〜8.5%</w:t>
            </w:r>
          </w:p>
        </w:tc>
        <w:tc>
          <w:tcPr>
            <w:tcW w:type="dxa" w:w="3135"/>
            <w:shd w:val="clear" w:color="auto" w:fill="DDEBF7"/>
          </w:tcPr>
          <w:p>
            <w:r>
              <w:rPr>
                <w:rFonts w:ascii="Meiryo UI" w:hAnsi="Meiryo UI"/>
                <w:sz w:val="18"/>
              </w:rPr>
              <w:t>約10.2%</w:t>
            </w:r>
          </w:p>
        </w:tc>
      </w:tr>
      <w:tr>
        <w:tc>
          <w:tcPr>
            <w:tcW w:type="dxa" w:w="3135"/>
          </w:tcPr>
          <w:p>
            <w:r>
              <w:rPr>
                <w:rFonts w:ascii="Meiryo UI" w:hAnsi="Meiryo UI"/>
                <w:sz w:val="18"/>
              </w:rPr>
              <w:t>EPS</w:t>
            </w:r>
          </w:p>
        </w:tc>
        <w:tc>
          <w:tcPr>
            <w:tcW w:type="dxa" w:w="3135"/>
          </w:tcPr>
          <w:p>
            <w:r>
              <w:rPr>
                <w:rFonts w:ascii="Meiryo UI" w:hAnsi="Meiryo UI"/>
                <w:sz w:val="18"/>
              </w:rPr>
              <w:t>約¥760〜¥820</w:t>
            </w:r>
          </w:p>
        </w:tc>
        <w:tc>
          <w:tcPr>
            <w:tcW w:type="dxa" w:w="3135"/>
          </w:tcPr>
          <w:p>
            <w:r>
              <w:rPr>
                <w:rFonts w:ascii="Meiryo UI" w:hAnsi="Meiryo UI"/>
                <w:sz w:val="18"/>
              </w:rPr>
              <w:t>¥1,083</w:t>
            </w:r>
          </w:p>
        </w:tc>
      </w:tr>
      <w:tr>
        <w:tc>
          <w:tcPr>
            <w:tcW w:type="dxa" w:w="3135"/>
            <w:shd w:val="clear" w:color="auto" w:fill="DDEBF7"/>
          </w:tcPr>
          <w:p>
            <w:r>
              <w:rPr>
                <w:rFonts w:ascii="Meiryo UI" w:hAnsi="Meiryo UI"/>
                <w:sz w:val="18"/>
              </w:rPr>
              <w:t>DPS（予想）</w:t>
            </w:r>
          </w:p>
        </w:tc>
        <w:tc>
          <w:tcPr>
            <w:tcW w:type="dxa" w:w="3135"/>
            <w:shd w:val="clear" w:color="auto" w:fill="DDEBF7"/>
          </w:tcPr>
          <w:p>
            <w:r>
              <w:rPr>
                <w:rFonts w:ascii="Meiryo UI" w:hAnsi="Meiryo UI"/>
                <w:sz w:val="18"/>
              </w:rPr>
              <w:t>約¥300</w:t>
            </w:r>
          </w:p>
        </w:tc>
        <w:tc>
          <w:tcPr>
            <w:tcW w:type="dxa" w:w="3135"/>
            <w:shd w:val="clear" w:color="auto" w:fill="DDEBF7"/>
          </w:tcPr>
          <w:p>
            <w:r>
              <w:rPr>
                <w:rFonts w:ascii="Meiryo UI" w:hAnsi="Meiryo UI"/>
                <w:sz w:val="18"/>
              </w:rPr>
              <w:t>¥350</w:t>
            </w:r>
          </w:p>
        </w:tc>
      </w:tr>
      <w:tr>
        <w:tc>
          <w:tcPr>
            <w:tcW w:type="dxa" w:w="3135"/>
          </w:tcPr>
          <w:p>
            <w:r>
              <w:rPr>
                <w:rFonts w:ascii="Meiryo UI" w:hAnsi="Meiryo UI"/>
                <w:sz w:val="18"/>
              </w:rPr>
              <w:t>PER（¥2,698基準）</w:t>
            </w:r>
          </w:p>
        </w:tc>
        <w:tc>
          <w:tcPr>
            <w:tcW w:type="dxa" w:w="3135"/>
          </w:tcPr>
          <w:p>
            <w:r>
              <w:rPr>
                <w:rFonts w:ascii="Meiryo UI" w:hAnsi="Meiryo UI"/>
                <w:sz w:val="18"/>
              </w:rPr>
              <w:t>約3.3〜3.5倍</w:t>
            </w:r>
          </w:p>
        </w:tc>
        <w:tc>
          <w:tcPr>
            <w:tcW w:type="dxa" w:w="3135"/>
          </w:tcPr>
          <w:p>
            <w:r>
              <w:rPr>
                <w:rFonts w:ascii="Meiryo UI" w:hAnsi="Meiryo UI"/>
                <w:sz w:val="18"/>
              </w:rPr>
              <w:t>—</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WACC算出前提</w:t>
      </w:r>
    </w:p>
    <w:p/>
    <w:p>
      <w:pPr>
        <w:pStyle w:val="Heading4"/>
      </w:pPr>
      <w:r>
        <w:rPr>
          <w:rFonts w:ascii="Meiryo UI" w:hAnsi="Meiryo UI"/>
          <w:color w:val="2E74B5"/>
        </w:rPr>
        <w:t>① リスクフリーレート（絶対厳守）</w:t>
      </w:r>
    </w:p>
    <w:p>
      <w:pPr>
        <w:shd w:val="clear" w:color="auto" w:fill="F2F2F2"/>
      </w:pPr>
      <w:r>
        <w:rPr>
          <w:rFonts w:ascii="Courier New" w:hAnsi="Courier New"/>
          <w:sz w:val="16"/>
        </w:rPr>
        <w:t>Rf = 2.380%</w:t>
        <w:br/>
        <w:t>出典: 日本10年国債（JGB10Y）</w:t>
        <w:br/>
        <w:t>取得日時: 2026-04-05 18:02 JST（社長確認値）</w:t>
        <w:br/>
        <w:t>参照: https://jp.investing.com/rates-bonds/japan-10-year-bond-yield-streaming-chart</w:t>
      </w:r>
    </w:p>
    <w:p/>
    <w:p>
      <w:pPr>
        <w:pStyle w:val="Heading4"/>
      </w:pPr>
      <w:r>
        <w:rPr>
          <w:rFonts w:ascii="Meiryo UI" w:hAnsi="Meiryo UI"/>
          <w:color w:val="2E74B5"/>
        </w:rPr>
        <w:t>② 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JGB10Y（社長確認値）</w:t>
            </w:r>
          </w:p>
        </w:tc>
      </w:tr>
      <w:tr>
        <w:tc>
          <w:tcPr>
            <w:tcW w:type="dxa" w:w="3135"/>
            <w:shd w:val="clear" w:color="auto" w:fill="DDEBF7"/>
          </w:tcPr>
          <w:p>
            <w:r>
              <w:rPr>
                <w:rFonts w:ascii="Meiryo UI" w:hAnsi="Meiryo UI"/>
                <w:sz w:val="18"/>
              </w:rPr>
              <w:t>β（川崎汽船）</w:t>
            </w:r>
          </w:p>
        </w:tc>
        <w:tc>
          <w:tcPr>
            <w:tcW w:type="dxa" w:w="3135"/>
            <w:shd w:val="clear" w:color="auto" w:fill="DDEBF7"/>
          </w:tcPr>
          <w:p>
            <w:r>
              <w:rPr>
                <w:rFonts w:ascii="Meiryo UI" w:hAnsi="Meiryo UI"/>
                <w:sz w:val="18"/>
              </w:rPr>
              <w:t>1.30</w:t>
            </w:r>
          </w:p>
        </w:tc>
        <w:tc>
          <w:tcPr>
            <w:tcW w:type="dxa" w:w="3135"/>
            <w:shd w:val="clear" w:color="auto" w:fill="DDEBF7"/>
          </w:tcPr>
          <w:p>
            <w:r>
              <w:rPr>
                <w:rFonts w:ascii="Meiryo UI" w:hAnsi="Meiryo UI"/>
                <w:sz w:val="18"/>
              </w:rPr>
              <w:t>海運セクター平均。市況感応度高く1.2〜1.4レンジ中央</w:t>
            </w:r>
          </w:p>
        </w:tc>
      </w:tr>
      <w:tr>
        <w:tc>
          <w:tcPr>
            <w:tcW w:type="dxa" w:w="3135"/>
          </w:tcPr>
          <w:p>
            <w:r>
              <w:rPr>
                <w:rFonts w:ascii="Meiryo UI" w:hAnsi="Meiryo UI"/>
                <w:sz w:val="18"/>
              </w:rPr>
              <w:t>ERP（日本株）</w:t>
            </w:r>
          </w:p>
        </w:tc>
        <w:tc>
          <w:tcPr>
            <w:tcW w:type="dxa" w:w="3135"/>
          </w:tcPr>
          <w:p>
            <w:r>
              <w:rPr>
                <w:rFonts w:ascii="Meiryo UI" w:hAnsi="Meiryo UI"/>
                <w:sz w:val="18"/>
              </w:rPr>
              <w:t>5.50%</w:t>
            </w:r>
          </w:p>
        </w:tc>
        <w:tc>
          <w:tcPr>
            <w:tcW w:type="dxa" w:w="3135"/>
          </w:tcPr>
          <w:p>
            <w:r>
              <w:rPr>
                <w:rFonts w:ascii="Meiryo UI" w:hAnsi="Meiryo UI"/>
                <w:sz w:val="18"/>
              </w:rPr>
              <w:t>竹村TC標準。Damodaran参考・日本リスクプレミアム</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2.380% + 1.30×5.50% = 9.53%</w:t>
            </w:r>
          </w:p>
        </w:tc>
        <w:tc>
          <w:tcPr>
            <w:tcW w:type="dxa" w:w="3135"/>
            <w:shd w:val="clear" w:color="auto" w:fill="DDEBF7"/>
          </w:tcPr>
          <w:p>
            <w:r>
              <w:rPr>
                <w:rFonts w:ascii="Meiryo UI" w:hAnsi="Meiryo UI"/>
                <w:sz w:val="18"/>
              </w:rPr>
              <w:t>CAPMベース</w:t>
            </w:r>
          </w:p>
        </w:tc>
      </w:tr>
      <w:tr>
        <w:tc>
          <w:tcPr>
            <w:tcW w:type="dxa" w:w="3135"/>
          </w:tcPr>
          <w:p>
            <w:r>
              <w:rPr>
                <w:rFonts w:ascii="Meiryo UI" w:hAnsi="Meiryo UI"/>
                <w:sz w:val="18"/>
              </w:rPr>
              <w:t>Rd（負債コスト）</w:t>
            </w:r>
          </w:p>
        </w:tc>
        <w:tc>
          <w:tcPr>
            <w:tcW w:type="dxa" w:w="3135"/>
          </w:tcPr>
          <w:p>
            <w:r>
              <w:rPr>
                <w:rFonts w:ascii="Meiryo UI" w:hAnsi="Meiryo UI"/>
                <w:sz w:val="18"/>
              </w:rPr>
              <w:t>2.80%</w:t>
            </w:r>
          </w:p>
        </w:tc>
        <w:tc>
          <w:tcPr>
            <w:tcW w:type="dxa" w:w="3135"/>
          </w:tcPr>
          <w:p>
            <w:r>
              <w:rPr>
                <w:rFonts w:ascii="Meiryo UI" w:hAnsi="Meiryo UI"/>
                <w:sz w:val="18"/>
              </w:rPr>
              <w:t>格付BBB+相当・現行借入金利推定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日本法人標準</w:t>
            </w:r>
          </w:p>
        </w:tc>
      </w:tr>
      <w:tr>
        <w:tc>
          <w:tcPr>
            <w:tcW w:type="dxa" w:w="3135"/>
          </w:tcPr>
          <w:p>
            <w:r>
              <w:rPr>
                <w:rFonts w:ascii="Meiryo UI" w:hAnsi="Meiryo UI"/>
                <w:sz w:val="18"/>
              </w:rPr>
              <w:t>D/（D+E）（負債比率）</w:t>
            </w:r>
          </w:p>
        </w:tc>
        <w:tc>
          <w:tcPr>
            <w:tcW w:type="dxa" w:w="3135"/>
          </w:tcPr>
          <w:p>
            <w:r>
              <w:rPr>
                <w:rFonts w:ascii="Meiryo UI" w:hAnsi="Meiryo UI"/>
                <w:sz w:val="18"/>
              </w:rPr>
              <w:t>約31%</w:t>
            </w:r>
          </w:p>
        </w:tc>
        <w:tc>
          <w:tcPr>
            <w:tcW w:type="dxa" w:w="3135"/>
          </w:tcPr>
          <w:p>
            <w:r>
              <w:rPr>
                <w:rFonts w:ascii="Meiryo UI" w:hAnsi="Meiryo UI"/>
                <w:sz w:val="18"/>
              </w:rPr>
              <w:t>ネット有利子負債¥2,100億／総資本¥6,810億</w:t>
            </w:r>
          </w:p>
        </w:tc>
      </w:tr>
      <w:tr>
        <w:tc>
          <w:tcPr>
            <w:tcW w:type="dxa" w:w="3135"/>
            <w:shd w:val="clear" w:color="auto" w:fill="DDEBF7"/>
          </w:tcPr>
          <w:p>
            <w:r>
              <w:rPr>
                <w:rFonts w:ascii="Meiryo UI" w:hAnsi="Meiryo UI"/>
                <w:sz w:val="18"/>
              </w:rPr>
              <w:t>E/（D+E）（自己資本比率）</w:t>
            </w:r>
          </w:p>
        </w:tc>
        <w:tc>
          <w:tcPr>
            <w:tcW w:type="dxa" w:w="3135"/>
            <w:shd w:val="clear" w:color="auto" w:fill="DDEBF7"/>
          </w:tcPr>
          <w:p>
            <w:r>
              <w:rPr>
                <w:rFonts w:ascii="Meiryo UI" w:hAnsi="Meiryo UI"/>
                <w:sz w:val="18"/>
              </w:rPr>
              <w:t>約69%</w:t>
            </w:r>
          </w:p>
        </w:tc>
        <w:tc>
          <w:tcPr>
            <w:tcW w:type="dxa" w:w="3135"/>
            <w:shd w:val="clear" w:color="auto" w:fill="DDEBF7"/>
          </w:tcPr>
          <w:p>
            <w:r>
              <w:rPr>
                <w:rFonts w:ascii="Meiryo UI" w:hAnsi="Meiryo UI"/>
                <w:sz w:val="18"/>
              </w:rPr>
              <w:t>上記の残余</w:t>
            </w:r>
          </w:p>
        </w:tc>
      </w:tr>
    </w:tbl>
    <w:p/>
    <w:p>
      <w:pPr>
        <w:pStyle w:val="Heading4"/>
      </w:pPr>
      <w:r>
        <w:rPr>
          <w:rFonts w:ascii="Meiryo UI" w:hAnsi="Meiryo UI"/>
          <w:color w:val="2E74B5"/>
        </w:rPr>
        <w:t>③ WACC計算</w:t>
      </w:r>
    </w:p>
    <w:p/>
    <w:p>
      <w:pPr>
        <w:shd w:val="clear" w:color="auto" w:fill="F2F2F2"/>
      </w:pPr>
      <w:r>
        <w:rPr>
          <w:rFonts w:ascii="Courier New" w:hAnsi="Courier New"/>
          <w:sz w:val="16"/>
        </w:rPr>
        <w:t>WACC = [E/(D+E) × Re] + [D/(D+E) × Rd × (1-Tc)]</w:t>
        <w:br/>
        <w:t xml:space="preserve">     = [0.69 × 9.53%] + [0.31 × 2.80% × (1-0.30)]</w:t>
        <w:br/>
        <w:t xml:space="preserve">     = 6.576% + 0.607%</w:t>
        <w:br/>
        <w:t xml:space="preserve">     = 7.18%</w:t>
      </w:r>
    </w:p>
    <w:p/>
    <w:p>
      <w:r>
        <w:rPr>
          <w:rFonts w:ascii="Meiryo UI" w:hAnsi="Meiryo UI"/>
          <w:sz w:val="20"/>
        </w:rPr>
        <w:t>WACC = 7.18%</w:t>
      </w:r>
    </w:p>
    <w:p/>
    <w:p>
      <w:pPr>
        <w:pStyle w:val="Heading3"/>
      </w:pPr>
      <w:r>
        <w:rPr>
          <w:rFonts w:ascii="Meiryo UI" w:hAnsi="Meiryo UI"/>
          <w:color w:val="2E74B5"/>
        </w:rPr>
        <w:t>4-2. DCFモデル前提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フェーズ1（FY2027〜2030）</w:t>
            </w:r>
          </w:p>
        </w:tc>
        <w:tc>
          <w:tcPr>
            <w:tcW w:type="dxa" w:w="2351"/>
            <w:shd w:val="clear" w:color="auto" w:fill="2E74B5"/>
          </w:tcPr>
          <w:p>
            <w:r>
              <w:rPr>
                <w:rFonts w:ascii="Meiryo UI" w:hAnsi="Meiryo UI"/>
                <w:b/>
                <w:color w:val="FFFFFF"/>
                <w:sz w:val="18"/>
              </w:rPr>
              <w:t>フェーズ2（FY2031〜2035）</w:t>
            </w:r>
          </w:p>
        </w:tc>
        <w:tc>
          <w:tcPr>
            <w:tcW w:type="dxa" w:w="2351"/>
            <w:shd w:val="clear" w:color="auto" w:fill="2E74B5"/>
          </w:tcPr>
          <w:p>
            <w:r>
              <w:rPr>
                <w:rFonts w:ascii="Meiryo UI" w:hAnsi="Meiryo UI"/>
                <w:b/>
                <w:color w:val="FFFFFF"/>
                <w:sz w:val="18"/>
              </w:rPr>
              <w:t>ターミナル</w:t>
            </w:r>
          </w:p>
        </w:tc>
      </w:tr>
      <w:tr>
        <w:tc>
          <w:tcPr>
            <w:tcW w:type="dxa" w:w="2351"/>
          </w:tcPr>
          <w:p>
            <w:r>
              <w:rPr>
                <w:rFonts w:ascii="Meiryo UI" w:hAnsi="Meiryo UI"/>
                <w:sz w:val="18"/>
              </w:rPr>
              <w:t>FCF成長率</w:t>
            </w:r>
          </w:p>
        </w:tc>
        <w:tc>
          <w:tcPr>
            <w:tcW w:type="dxa" w:w="2351"/>
          </w:tcPr>
          <w:p>
            <w:r>
              <w:rPr>
                <w:rFonts w:ascii="Meiryo UI" w:hAnsi="Meiryo UI"/>
                <w:sz w:val="18"/>
              </w:rPr>
              <w:t>+3.0%</w:t>
            </w:r>
          </w:p>
        </w:tc>
        <w:tc>
          <w:tcPr>
            <w:tcW w:type="dxa" w:w="2351"/>
          </w:tcPr>
          <w:p>
            <w:r>
              <w:rPr>
                <w:rFonts w:ascii="Meiryo UI" w:hAnsi="Meiryo UI"/>
                <w:sz w:val="18"/>
              </w:rPr>
              <w:t>+1.5%</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想定FCF基点</w:t>
            </w:r>
          </w:p>
        </w:tc>
        <w:tc>
          <w:tcPr>
            <w:tcW w:type="dxa" w:w="2351"/>
            <w:shd w:val="clear" w:color="auto" w:fill="DDEBF7"/>
          </w:tcPr>
          <w:p>
            <w:r>
              <w:rPr>
                <w:rFonts w:ascii="Meiryo UI" w:hAnsi="Meiryo UI"/>
                <w:sz w:val="18"/>
              </w:rPr>
              <w:t>¥900億（3Q年率換算）</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永続成長率（g）</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7.18%</w:t>
            </w:r>
          </w:p>
        </w:tc>
        <w:tc>
          <w:tcPr>
            <w:tcW w:type="dxa" w:w="2351"/>
            <w:shd w:val="clear" w:color="auto" w:fill="DDEBF7"/>
          </w:tcPr>
          <w:p>
            <w:r>
              <w:rPr>
                <w:rFonts w:ascii="Meiryo UI" w:hAnsi="Meiryo UI"/>
                <w:sz w:val="18"/>
              </w:rPr>
              <w:t>7.18%</w:t>
            </w:r>
          </w:p>
        </w:tc>
        <w:tc>
          <w:tcPr>
            <w:tcW w:type="dxa" w:w="2351"/>
            <w:shd w:val="clear" w:color="auto" w:fill="DDEBF7"/>
          </w:tcPr>
          <w:p>
            <w:r>
              <w:rPr>
                <w:rFonts w:ascii="Meiryo UI" w:hAnsi="Meiryo UI"/>
                <w:sz w:val="18"/>
              </w:rPr>
              <w:t>7.18%</w:t>
            </w:r>
          </w:p>
        </w:tc>
      </w:tr>
    </w:tbl>
    <w:p/>
    <w:p>
      <w:r>
        <w:rPr>
          <w:rFonts w:ascii="Meiryo UI" w:hAnsi="Meiryo UI"/>
          <w:sz w:val="20"/>
        </w:rPr>
        <w:t>&gt; 永続成長率1.0%は日本の名目GDP成長率（実質0.5〜1.0%＋インフレ0.5〜1.0%）を保守的に設定。海運のシクリカル性を踏まえ強気な設定は排除。</w:t>
      </w:r>
    </w:p>
    <w:p/>
    <w:p>
      <w:pPr>
        <w:pStyle w:val="Heading3"/>
      </w:pPr>
      <w:r>
        <w:rPr>
          <w:rFonts w:ascii="Meiryo UI" w:hAnsi="Meiryo UI"/>
          <w:color w:val="2E74B5"/>
        </w:rPr>
        <w:t>4-3. DCF計算（5年明示期間＋TV）</w:t>
      </w:r>
    </w:p>
    <w:p/>
    <w:p>
      <w:pPr>
        <w:pStyle w:val="Heading4"/>
      </w:pPr>
      <w:r>
        <w:rPr>
          <w:rFonts w:ascii="Meiryo UI" w:hAnsi="Meiryo UI"/>
          <w:color w:val="2E74B5"/>
        </w:rPr>
        <w:t>フェーズ1 FCF系列（FY2027〜2031）</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割引係数（7.18%）</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w:t>
            </w:r>
          </w:p>
        </w:tc>
        <w:tc>
          <w:tcPr>
            <w:tcW w:type="dxa" w:w="2351"/>
          </w:tcPr>
          <w:p>
            <w:r>
              <w:rPr>
                <w:rFonts w:ascii="Meiryo UI" w:hAnsi="Meiryo UI"/>
                <w:sz w:val="18"/>
              </w:rPr>
              <w:t>927</w:t>
            </w:r>
          </w:p>
        </w:tc>
        <w:tc>
          <w:tcPr>
            <w:tcW w:type="dxa" w:w="2351"/>
          </w:tcPr>
          <w:p>
            <w:r>
              <w:rPr>
                <w:rFonts w:ascii="Meiryo UI" w:hAnsi="Meiryo UI"/>
                <w:sz w:val="18"/>
              </w:rPr>
              <w:t>0.9330</w:t>
            </w:r>
          </w:p>
        </w:tc>
        <w:tc>
          <w:tcPr>
            <w:tcW w:type="dxa" w:w="2351"/>
          </w:tcPr>
          <w:p>
            <w:r>
              <w:rPr>
                <w:rFonts w:ascii="Meiryo UI" w:hAnsi="Meiryo UI"/>
                <w:sz w:val="18"/>
              </w:rPr>
              <w:t>865</w:t>
            </w:r>
          </w:p>
        </w:tc>
      </w:tr>
      <w:tr>
        <w:tc>
          <w:tcPr>
            <w:tcW w:type="dxa" w:w="2351"/>
            <w:shd w:val="clear" w:color="auto" w:fill="DDEBF7"/>
          </w:tcPr>
          <w:p>
            <w:r>
              <w:rPr>
                <w:rFonts w:ascii="Meiryo UI" w:hAnsi="Meiryo UI"/>
                <w:sz w:val="18"/>
              </w:rPr>
              <w:t>FY2028</w:t>
            </w:r>
          </w:p>
        </w:tc>
        <w:tc>
          <w:tcPr>
            <w:tcW w:type="dxa" w:w="2351"/>
            <w:shd w:val="clear" w:color="auto" w:fill="DDEBF7"/>
          </w:tcPr>
          <w:p>
            <w:r>
              <w:rPr>
                <w:rFonts w:ascii="Meiryo UI" w:hAnsi="Meiryo UI"/>
                <w:sz w:val="18"/>
              </w:rPr>
              <w:t>955</w:t>
            </w:r>
          </w:p>
        </w:tc>
        <w:tc>
          <w:tcPr>
            <w:tcW w:type="dxa" w:w="2351"/>
            <w:shd w:val="clear" w:color="auto" w:fill="DDEBF7"/>
          </w:tcPr>
          <w:p>
            <w:r>
              <w:rPr>
                <w:rFonts w:ascii="Meiryo UI" w:hAnsi="Meiryo UI"/>
                <w:sz w:val="18"/>
              </w:rPr>
              <w:t>0.8704</w:t>
            </w:r>
          </w:p>
        </w:tc>
        <w:tc>
          <w:tcPr>
            <w:tcW w:type="dxa" w:w="2351"/>
            <w:shd w:val="clear" w:color="auto" w:fill="DDEBF7"/>
          </w:tcPr>
          <w:p>
            <w:r>
              <w:rPr>
                <w:rFonts w:ascii="Meiryo UI" w:hAnsi="Meiryo UI"/>
                <w:sz w:val="18"/>
              </w:rPr>
              <w:t>831</w:t>
            </w:r>
          </w:p>
        </w:tc>
      </w:tr>
      <w:tr>
        <w:tc>
          <w:tcPr>
            <w:tcW w:type="dxa" w:w="2351"/>
          </w:tcPr>
          <w:p>
            <w:r>
              <w:rPr>
                <w:rFonts w:ascii="Meiryo UI" w:hAnsi="Meiryo UI"/>
                <w:sz w:val="18"/>
              </w:rPr>
              <w:t>FY2029</w:t>
            </w:r>
          </w:p>
        </w:tc>
        <w:tc>
          <w:tcPr>
            <w:tcW w:type="dxa" w:w="2351"/>
          </w:tcPr>
          <w:p>
            <w:r>
              <w:rPr>
                <w:rFonts w:ascii="Meiryo UI" w:hAnsi="Meiryo UI"/>
                <w:sz w:val="18"/>
              </w:rPr>
              <w:t>984</w:t>
            </w:r>
          </w:p>
        </w:tc>
        <w:tc>
          <w:tcPr>
            <w:tcW w:type="dxa" w:w="2351"/>
          </w:tcPr>
          <w:p>
            <w:r>
              <w:rPr>
                <w:rFonts w:ascii="Meiryo UI" w:hAnsi="Meiryo UI"/>
                <w:sz w:val="18"/>
              </w:rPr>
              <w:t>0.8120</w:t>
            </w:r>
          </w:p>
        </w:tc>
        <w:tc>
          <w:tcPr>
            <w:tcW w:type="dxa" w:w="2351"/>
          </w:tcPr>
          <w:p>
            <w:r>
              <w:rPr>
                <w:rFonts w:ascii="Meiryo UI" w:hAnsi="Meiryo UI"/>
                <w:sz w:val="18"/>
              </w:rPr>
              <w:t>799</w:t>
            </w:r>
          </w:p>
        </w:tc>
      </w:tr>
      <w:tr>
        <w:tc>
          <w:tcPr>
            <w:tcW w:type="dxa" w:w="2351"/>
            <w:shd w:val="clear" w:color="auto" w:fill="DDEBF7"/>
          </w:tcPr>
          <w:p>
            <w:r>
              <w:rPr>
                <w:rFonts w:ascii="Meiryo UI" w:hAnsi="Meiryo UI"/>
                <w:sz w:val="18"/>
              </w:rPr>
              <w:t>FY2030</w:t>
            </w:r>
          </w:p>
        </w:tc>
        <w:tc>
          <w:tcPr>
            <w:tcW w:type="dxa" w:w="2351"/>
            <w:shd w:val="clear" w:color="auto" w:fill="DDEBF7"/>
          </w:tcPr>
          <w:p>
            <w:r>
              <w:rPr>
                <w:rFonts w:ascii="Meiryo UI" w:hAnsi="Meiryo UI"/>
                <w:sz w:val="18"/>
              </w:rPr>
              <w:t>1,013</w:t>
            </w:r>
          </w:p>
        </w:tc>
        <w:tc>
          <w:tcPr>
            <w:tcW w:type="dxa" w:w="2351"/>
            <w:shd w:val="clear" w:color="auto" w:fill="DDEBF7"/>
          </w:tcPr>
          <w:p>
            <w:r>
              <w:rPr>
                <w:rFonts w:ascii="Meiryo UI" w:hAnsi="Meiryo UI"/>
                <w:sz w:val="18"/>
              </w:rPr>
              <w:t>0.7576</w:t>
            </w:r>
          </w:p>
        </w:tc>
        <w:tc>
          <w:tcPr>
            <w:tcW w:type="dxa" w:w="2351"/>
            <w:shd w:val="clear" w:color="auto" w:fill="DDEBF7"/>
          </w:tcPr>
          <w:p>
            <w:r>
              <w:rPr>
                <w:rFonts w:ascii="Meiryo UI" w:hAnsi="Meiryo UI"/>
                <w:sz w:val="18"/>
              </w:rPr>
              <w:t>768</w:t>
            </w:r>
          </w:p>
        </w:tc>
      </w:tr>
      <w:tr>
        <w:tc>
          <w:tcPr>
            <w:tcW w:type="dxa" w:w="2351"/>
          </w:tcPr>
          <w:p>
            <w:r>
              <w:rPr>
                <w:rFonts w:ascii="Meiryo UI" w:hAnsi="Meiryo UI"/>
                <w:sz w:val="18"/>
              </w:rPr>
              <w:t>FY2031</w:t>
            </w:r>
          </w:p>
        </w:tc>
        <w:tc>
          <w:tcPr>
            <w:tcW w:type="dxa" w:w="2351"/>
          </w:tcPr>
          <w:p>
            <w:r>
              <w:rPr>
                <w:rFonts w:ascii="Meiryo UI" w:hAnsi="Meiryo UI"/>
                <w:sz w:val="18"/>
              </w:rPr>
              <w:t>1,044</w:t>
            </w:r>
          </w:p>
        </w:tc>
        <w:tc>
          <w:tcPr>
            <w:tcW w:type="dxa" w:w="2351"/>
          </w:tcPr>
          <w:p>
            <w:r>
              <w:rPr>
                <w:rFonts w:ascii="Meiryo UI" w:hAnsi="Meiryo UI"/>
                <w:sz w:val="18"/>
              </w:rPr>
              <w:t>0.7069</w:t>
            </w:r>
          </w:p>
        </w:tc>
        <w:tc>
          <w:tcPr>
            <w:tcW w:type="dxa" w:w="2351"/>
          </w:tcPr>
          <w:p>
            <w:r>
              <w:rPr>
                <w:rFonts w:ascii="Meiryo UI" w:hAnsi="Meiryo UI"/>
                <w:sz w:val="18"/>
              </w:rPr>
              <w:t>738</w:t>
            </w:r>
          </w:p>
        </w:tc>
      </w:tr>
      <w:tr>
        <w:tc>
          <w:tcPr>
            <w:tcW w:type="dxa" w:w="2351"/>
            <w:shd w:val="clear" w:color="auto" w:fill="DDEBF7"/>
          </w:tcPr>
          <w:p>
            <w:r>
              <w:rPr>
                <w:rFonts w:ascii="Meiryo UI" w:hAnsi="Meiryo UI"/>
                <w:sz w:val="18"/>
              </w:rPr>
              <w:t>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4,001</w:t>
            </w:r>
          </w:p>
        </w:tc>
      </w:tr>
    </w:tbl>
    <w:p/>
    <w:p>
      <w:pPr>
        <w:pStyle w:val="Heading4"/>
      </w:pPr>
      <w:r>
        <w:rPr>
          <w:rFonts w:ascii="Meiryo UI" w:hAnsi="Meiryo UI"/>
          <w:color w:val="2E74B5"/>
        </w:rPr>
        <w:t>ターミナルバリュー（TV）</w:t>
      </w:r>
    </w:p>
    <w:p/>
    <w:p>
      <w:pPr>
        <w:shd w:val="clear" w:color="auto" w:fill="F2F2F2"/>
      </w:pPr>
      <w:r>
        <w:rPr>
          <w:rFonts w:ascii="Courier New" w:hAnsi="Courier New"/>
          <w:sz w:val="16"/>
        </w:rPr>
        <w:t>TV = FCF_2032 × (1+g) / (WACC - g)</w:t>
        <w:br/>
        <w:t xml:space="preserve">   = 1,044 × 1.01 / (0.0718 - 0.01)</w:t>
        <w:br/>
        <w:t xml:space="preserve">   = 1,054.4 / 0.0618</w:t>
        <w:br/>
        <w:t xml:space="preserve">   = ¥17,061億</w:t>
        <w:br/>
        <w:br/>
        <w:t>TV の現在価値 = ¥17,061億 × 0.7069 = ¥12,063億</w:t>
      </w:r>
    </w:p>
    <w:p/>
    <w:p>
      <w:pPr>
        <w:pStyle w:val="Heading4"/>
      </w:pPr>
      <w:r>
        <w:rPr>
          <w:rFonts w:ascii="Meiryo UI" w:hAnsi="Meiryo UI"/>
          <w:color w:val="2E74B5"/>
        </w:rPr>
        <w:t>企業価値（EV）</w:t>
      </w:r>
    </w:p>
    <w:p/>
    <w:p>
      <w:pPr>
        <w:shd w:val="clear" w:color="auto" w:fill="F2F2F2"/>
      </w:pPr>
      <w:r>
        <w:rPr>
          <w:rFonts w:ascii="Courier New" w:hAnsi="Courier New"/>
          <w:sz w:val="16"/>
        </w:rPr>
        <w:t>EV（事業価値） = PV合計 + TV現在価値</w:t>
        <w:br/>
        <w:t xml:space="preserve">               = ¥4,001億 + ¥12,063億</w:t>
        <w:br/>
        <w:t xml:space="preserve">               = ¥16,064億</w:t>
        <w:br/>
        <w:br/>
        <w:t>株主価値 = EV - ネット有利子負債</w:t>
        <w:br/>
        <w:t xml:space="preserve">          = ¥16,064億 - ¥2,100億</w:t>
        <w:br/>
        <w:t xml:space="preserve">          = ¥13,964億</w:t>
        <w:br/>
        <w:br/>
        <w:t>発行済株数（自社株買い考慮後） ≒ 1.71億株</w:t>
        <w:br/>
        <w:br/>
        <w:t>理論株価（DCFベース）= ¥13,964億 ÷ 1.71億株</w:t>
        <w:br/>
        <w:t xml:space="preserve">                    = ¥8,166</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現在株価（¥2,698）比</w:t>
            </w:r>
          </w:p>
        </w:tc>
        <w:tc>
          <w:tcPr>
            <w:tcW w:type="dxa" w:w="2351"/>
            <w:shd w:val="clear" w:color="auto" w:fill="2E74B5"/>
          </w:tcPr>
          <w:p>
            <w:r>
              <w:rPr>
                <w:rFonts w:ascii="Meiryo UI" w:hAnsi="Meiryo UI"/>
                <w:b/>
                <w:color w:val="FFFFFF"/>
                <w:sz w:val="18"/>
              </w:rPr>
              <w:t>乖離率</w:t>
            </w:r>
          </w:p>
        </w:tc>
      </w:tr>
      <w:tr>
        <w:tc>
          <w:tcPr>
            <w:tcW w:type="dxa" w:w="2351"/>
          </w:tcPr>
          <w:p>
            <w:r>
              <w:rPr>
                <w:rFonts w:ascii="Meiryo UI" w:hAnsi="Meiryo UI"/>
                <w:sz w:val="18"/>
              </w:rPr>
              <w:t>DCF（基本シナリオ）</w:t>
            </w:r>
          </w:p>
        </w:tc>
        <w:tc>
          <w:tcPr>
            <w:tcW w:type="dxa" w:w="2351"/>
          </w:tcPr>
          <w:p>
            <w:r>
              <w:rPr>
                <w:rFonts w:ascii="Meiryo UI" w:hAnsi="Meiryo UI"/>
                <w:sz w:val="18"/>
              </w:rPr>
              <w:t>¥8,166</w:t>
            </w:r>
          </w:p>
        </w:tc>
        <w:tc>
          <w:tcPr>
            <w:tcW w:type="dxa" w:w="2351"/>
          </w:tcPr>
          <w:p>
            <w:r>
              <w:rPr>
                <w:rFonts w:ascii="Meiryo UI" w:hAnsi="Meiryo UI"/>
                <w:sz w:val="18"/>
              </w:rPr>
              <w:t>+¥5,468</w:t>
            </w:r>
          </w:p>
        </w:tc>
        <w:tc>
          <w:tcPr>
            <w:tcW w:type="dxa" w:w="2351"/>
          </w:tcPr>
          <w:p>
            <w:r>
              <w:rPr>
                <w:rFonts w:ascii="Meiryo UI" w:hAnsi="Meiryo UI"/>
                <w:sz w:val="18"/>
              </w:rPr>
              <w:t>+202.7%</w:t>
            </w:r>
          </w:p>
        </w:tc>
      </w:tr>
      <w:tr>
        <w:tc>
          <w:tcPr>
            <w:tcW w:type="dxa" w:w="2351"/>
            <w:shd w:val="clear" w:color="auto" w:fill="DDEBF7"/>
          </w:tcPr>
          <w:p>
            <w:r>
              <w:rPr>
                <w:rFonts w:ascii="Meiryo UI" w:hAnsi="Meiryo UI"/>
                <w:sz w:val="18"/>
              </w:rPr>
              <w:t>PBR1.0倍換算</w:t>
            </w:r>
          </w:p>
        </w:tc>
        <w:tc>
          <w:tcPr>
            <w:tcW w:type="dxa" w:w="2351"/>
            <w:shd w:val="clear" w:color="auto" w:fill="DDEBF7"/>
          </w:tcPr>
          <w:p>
            <w:r>
              <w:rPr>
                <w:rFonts w:ascii="Meiryo UI" w:hAnsi="Meiryo UI"/>
                <w:sz w:val="18"/>
              </w:rPr>
              <w:t>¥2,753</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PER4.0倍（EPS¥780）</w:t>
            </w:r>
          </w:p>
        </w:tc>
        <w:tc>
          <w:tcPr>
            <w:tcW w:type="dxa" w:w="2351"/>
          </w:tcPr>
          <w:p>
            <w:r>
              <w:rPr>
                <w:rFonts w:ascii="Meiryo UI" w:hAnsi="Meiryo UI"/>
                <w:sz w:val="18"/>
              </w:rPr>
              <w:t>¥3,120</w:t>
            </w:r>
          </w:p>
        </w:tc>
        <w:tc>
          <w:tcPr>
            <w:tcW w:type="dxa" w:w="2351"/>
          </w:tcPr>
          <w:p>
            <w:r>
              <w:rPr>
                <w:rFonts w:ascii="Meiryo UI" w:hAnsi="Meiryo UI"/>
                <w:sz w:val="18"/>
              </w:rPr>
              <w:t>+¥422</w:t>
            </w:r>
          </w:p>
        </w:tc>
        <w:tc>
          <w:tcPr>
            <w:tcW w:type="dxa" w:w="2351"/>
          </w:tcPr>
          <w:p>
            <w:r>
              <w:rPr>
                <w:rFonts w:ascii="Meiryo UI" w:hAnsi="Meiryo UI"/>
                <w:sz w:val="18"/>
              </w:rPr>
              <w:t>+15.6%</w:t>
            </w:r>
          </w:p>
        </w:tc>
      </w:tr>
      <w:tr>
        <w:tc>
          <w:tcPr>
            <w:tcW w:type="dxa" w:w="2351"/>
            <w:shd w:val="clear" w:color="auto" w:fill="DDEBF7"/>
          </w:tcPr>
          <w:p>
            <w:r>
              <w:rPr>
                <w:rFonts w:ascii="Meiryo UI" w:hAnsi="Meiryo UI"/>
                <w:sz w:val="18"/>
              </w:rPr>
              <w:t>PER5.0倍</w:t>
            </w:r>
          </w:p>
        </w:tc>
        <w:tc>
          <w:tcPr>
            <w:tcW w:type="dxa" w:w="2351"/>
            <w:shd w:val="clear" w:color="auto" w:fill="DDEBF7"/>
          </w:tcPr>
          <w:p>
            <w:r>
              <w:rPr>
                <w:rFonts w:ascii="Meiryo UI" w:hAnsi="Meiryo UI"/>
                <w:sz w:val="18"/>
              </w:rPr>
              <w:t>¥3,900</w:t>
            </w:r>
          </w:p>
        </w:tc>
        <w:tc>
          <w:tcPr>
            <w:tcW w:type="dxa" w:w="2351"/>
            <w:shd w:val="clear" w:color="auto" w:fill="DDEBF7"/>
          </w:tcPr>
          <w:p>
            <w:r>
              <w:rPr>
                <w:rFonts w:ascii="Meiryo UI" w:hAnsi="Meiryo UI"/>
                <w:sz w:val="18"/>
              </w:rPr>
              <w:t>+¥1,202</w:t>
            </w:r>
          </w:p>
        </w:tc>
        <w:tc>
          <w:tcPr>
            <w:tcW w:type="dxa" w:w="2351"/>
            <w:shd w:val="clear" w:color="auto" w:fill="DDEBF7"/>
          </w:tcPr>
          <w:p>
            <w:r>
              <w:rPr>
                <w:rFonts w:ascii="Meiryo UI" w:hAnsi="Meiryo UI"/>
                <w:sz w:val="18"/>
              </w:rPr>
              <w:t>+44.6%</w:t>
            </w:r>
          </w:p>
        </w:tc>
      </w:tr>
      <w:tr>
        <w:tc>
          <w:tcPr>
            <w:tcW w:type="dxa" w:w="2351"/>
          </w:tcPr>
          <w:p>
            <w:r>
              <w:rPr>
                <w:rFonts w:ascii="Meiryo UI" w:hAnsi="Meiryo UI"/>
                <w:sz w:val="18"/>
              </w:rPr>
              <w:t>DCF保守（弱気）</w:t>
            </w:r>
          </w:p>
        </w:tc>
        <w:tc>
          <w:tcPr>
            <w:tcW w:type="dxa" w:w="2351"/>
          </w:tcPr>
          <w:p>
            <w:r>
              <w:rPr>
                <w:rFonts w:ascii="Meiryo UI" w:hAnsi="Meiryo UI"/>
                <w:sz w:val="18"/>
              </w:rPr>
              <w:t>¥5,100</w:t>
            </w:r>
          </w:p>
        </w:tc>
        <w:tc>
          <w:tcPr>
            <w:tcW w:type="dxa" w:w="2351"/>
          </w:tcPr>
          <w:p>
            <w:r>
              <w:rPr>
                <w:rFonts w:ascii="Meiryo UI" w:hAnsi="Meiryo UI"/>
                <w:sz w:val="18"/>
              </w:rPr>
              <w:t>+¥2,402</w:t>
            </w:r>
          </w:p>
        </w:tc>
        <w:tc>
          <w:tcPr>
            <w:tcW w:type="dxa" w:w="2351"/>
          </w:tcPr>
          <w:p>
            <w:r>
              <w:rPr>
                <w:rFonts w:ascii="Meiryo UI" w:hAnsi="Meiryo UI"/>
                <w:sz w:val="18"/>
              </w:rPr>
              <w:t>+89.0%</w:t>
            </w:r>
          </w:p>
        </w:tc>
      </w:tr>
    </w:tbl>
    <w:p/>
    <w:p>
      <w:pPr>
        <w:pStyle w:val="Heading3"/>
      </w:pPr>
      <w:r>
        <w:rPr>
          <w:rFonts w:ascii="Meiryo UI" w:hAnsi="Meiryo UI"/>
          <w:color w:val="2E74B5"/>
        </w:rPr>
        <w:t>5-2. マージン・オブ・セーフティ</w:t>
      </w:r>
    </w:p>
    <w:p/>
    <w:p>
      <w:pPr>
        <w:shd w:val="clear" w:color="auto" w:fill="F2F2F2"/>
      </w:pPr>
      <w:r>
        <w:rPr>
          <w:rFonts w:ascii="Courier New" w:hAnsi="Courier New"/>
          <w:sz w:val="16"/>
        </w:rPr>
        <w:t>DCF基本値：¥8,166</w:t>
        <w:br/>
        <w:t>30%安全域適用：¥8,166 × 0.70 = ¥5,716</w:t>
        <w:br/>
        <w:t>50%安全域適用：¥8,166 × 0.50 = ¥4,083</w:t>
        <w:br/>
        <w:br/>
        <w:t>→ 現在株価¥2,698は50%安全域（¥4,083）をさらに34%下回る水準</w:t>
        <w:br/>
        <w:t>→ バリュエーション的な下値リスクは極めて限定的</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投資判断：【強い買い（STRONG BUY）】 ║</w:t>
        <w:br/>
        <w:t>║  目標株価（12ヶ月）：¥3,500〜¥4,500  ║</w:t>
        <w:br/>
        <w:t>║  DCF本源価値：¥8,166（保守¥5,100）   ║</w:t>
        <w:br/>
        <w:t>║  損切りライン：¥2,200（▲18.5%）     ║</w:t>
        <w:br/>
        <w:t>╚════════════════════════════════════╝</w:t>
      </w:r>
    </w:p>
    <w:p/>
    <w:p>
      <w:r>
        <w:rPr>
          <w:rFonts w:ascii="Meiryo UI" w:hAnsi="Meiryo UI"/>
          <w:sz w:val="20"/>
        </w:rPr>
        <w:t>判断根拠：</w:t>
      </w:r>
    </w:p>
    <w:p>
      <w:pPr>
        <w:pStyle w:val="ListBullet"/>
      </w:pPr>
      <w:r>
        <w:rPr>
          <w:rFonts w:ascii="Meiryo UI" w:hAnsi="Meiryo UI"/>
          <w:sz w:val="20"/>
        </w:rPr>
        <w:t>DCF本源価値（¥8,166）対比で現在株価は▲67%ディスカウント</w:t>
      </w:r>
    </w:p>
    <w:p>
      <w:pPr>
        <w:pStyle w:val="ListBullet"/>
      </w:pPr>
      <w:r>
        <w:rPr>
          <w:rFonts w:ascii="Meiryo UI" w:hAnsi="Meiryo UI"/>
          <w:sz w:val="20"/>
        </w:rPr>
        <w:t>超低PER（3.3〜3.5倍）は海運シクリカル割引を過剰に織り込んでいる</w:t>
      </w:r>
    </w:p>
    <w:p>
      <w:pPr>
        <w:pStyle w:val="ListBullet"/>
      </w:pPr>
      <w:r>
        <w:rPr>
          <w:rFonts w:ascii="Meiryo UI" w:hAnsi="Meiryo UI"/>
          <w:sz w:val="20"/>
        </w:rPr>
        <w:t>ROE（28〜32%）がWACC（7.18%）を大幅超過→ 価値創造企業であることは明確</w:t>
      </w:r>
    </w:p>
    <w:p/>
    <w:p>
      <w:r>
        <w:t>──────────────────────────────────────────────────</w:t>
      </w:r>
    </w:p>
    <w:p/>
    <w:p>
      <w:pPr>
        <w:pStyle w:val="Heading2"/>
      </w:pPr>
      <w:r>
        <w:rPr>
          <w:rFonts w:ascii="Meiryo UI" w:hAnsi="Meiryo UI"/>
          <w:color w:val="2E74B5"/>
        </w:rPr>
        <w:t>6. PBR1.0倍超障壁：ROE乖離分析</w:t>
      </w:r>
    </w:p>
    <w:p/>
    <w:p>
      <w:pPr>
        <w:pStyle w:val="Heading3"/>
      </w:pPr>
      <w:r>
        <w:rPr>
          <w:rFonts w:ascii="Meiryo UI" w:hAnsi="Meiryo UI"/>
          <w:color w:val="2E74B5"/>
        </w:rPr>
        <w:t>6-1. PBRとROEの関係式</w:t>
      </w:r>
    </w:p>
    <w:p/>
    <w:p>
      <w:pPr>
        <w:shd w:val="clear" w:color="auto" w:fill="F2F2F2"/>
      </w:pPr>
      <w:r>
        <w:rPr>
          <w:rFonts w:ascii="Courier New" w:hAnsi="Courier New"/>
          <w:sz w:val="16"/>
        </w:rPr>
        <w:t>PBR = ROE / Re（持続的均衡の場合）</w:t>
        <w:br/>
        <w:br/>
        <w:t>現在のPBR0.98倍が示す市場の暗示ROE：</w:t>
        <w:br/>
        <w:t>0.98 = 暗示ROE / 9.53%</w:t>
        <w:br/>
        <w:t>暗示ROE = 0.98 × 9.53% = 9.34%</w:t>
        <w:br/>
        <w:br/>
        <w:t>実際のROE（FY2026/3予想）：約28〜32%</w:t>
        <w:br/>
        <w:br/>
        <w:t>乖離 = 実際ROE(30%) - 暗示ROE(9.34%) = +20.66%ポイント</w:t>
      </w:r>
    </w:p>
    <w:p/>
    <w:p>
      <w:pPr>
        <w:pStyle w:val="Heading3"/>
      </w:pPr>
      <w:r>
        <w:rPr>
          <w:rFonts w:ascii="Meiryo UI" w:hAnsi="Meiryo UI"/>
          <w:color w:val="2E74B5"/>
        </w:rPr>
        <w:t>6-2. なぜPBR1.0倍超に届かないか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阻害要因</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① 利益の持続性懸念</w:t>
            </w:r>
          </w:p>
        </w:tc>
        <w:tc>
          <w:tcPr>
            <w:tcW w:type="dxa" w:w="4703"/>
          </w:tcPr>
          <w:p>
            <w:r>
              <w:rPr>
                <w:rFonts w:ascii="Meiryo UI" w:hAnsi="Meiryo UI"/>
                <w:sz w:val="18"/>
              </w:rPr>
              <w:t>ONE運賃市況は不可逆的に高水準ではないとの市場認識</w:t>
            </w:r>
          </w:p>
        </w:tc>
      </w:tr>
      <w:tr>
        <w:tc>
          <w:tcPr>
            <w:tcW w:type="dxa" w:w="4703"/>
            <w:shd w:val="clear" w:color="auto" w:fill="DDEBF7"/>
          </w:tcPr>
          <w:p>
            <w:r>
              <w:rPr>
                <w:rFonts w:ascii="Meiryo UI" w:hAnsi="Meiryo UI"/>
                <w:sz w:val="18"/>
              </w:rPr>
              <w:t>② シクリカル株ペナルティ</w:t>
            </w:r>
          </w:p>
        </w:tc>
        <w:tc>
          <w:tcPr>
            <w:tcW w:type="dxa" w:w="4703"/>
            <w:shd w:val="clear" w:color="auto" w:fill="DDEBF7"/>
          </w:tcPr>
          <w:p>
            <w:r>
              <w:rPr>
                <w:rFonts w:ascii="Meiryo UI" w:hAnsi="Meiryo UI"/>
                <w:sz w:val="18"/>
              </w:rPr>
              <w:t>海運株は「ピーク値では買えない」慣行的割引</w:t>
            </w:r>
          </w:p>
        </w:tc>
      </w:tr>
      <w:tr>
        <w:tc>
          <w:tcPr>
            <w:tcW w:type="dxa" w:w="4703"/>
          </w:tcPr>
          <w:p>
            <w:r>
              <w:rPr>
                <w:rFonts w:ascii="Meiryo UI" w:hAnsi="Meiryo UI"/>
                <w:sz w:val="18"/>
              </w:rPr>
              <w:t>③ ONE非連結リスク</w:t>
            </w:r>
          </w:p>
        </w:tc>
        <w:tc>
          <w:tcPr>
            <w:tcW w:type="dxa" w:w="4703"/>
          </w:tcPr>
          <w:p>
            <w:r>
              <w:rPr>
                <w:rFonts w:ascii="Meiryo UI" w:hAnsi="Meiryo UI"/>
                <w:sz w:val="18"/>
              </w:rPr>
              <w:t>持分法のため利益の質（可視性）が低いと見なされる</w:t>
            </w:r>
          </w:p>
        </w:tc>
      </w:tr>
      <w:tr>
        <w:tc>
          <w:tcPr>
            <w:tcW w:type="dxa" w:w="4703"/>
            <w:shd w:val="clear" w:color="auto" w:fill="DDEBF7"/>
          </w:tcPr>
          <w:p>
            <w:r>
              <w:rPr>
                <w:rFonts w:ascii="Meiryo UI" w:hAnsi="Meiryo UI"/>
                <w:sz w:val="18"/>
              </w:rPr>
              <w:t>④ 地政学プレミアム</w:t>
            </w:r>
          </w:p>
        </w:tc>
        <w:tc>
          <w:tcPr>
            <w:tcW w:type="dxa" w:w="4703"/>
            <w:shd w:val="clear" w:color="auto" w:fill="DDEBF7"/>
          </w:tcPr>
          <w:p>
            <w:r>
              <w:rPr>
                <w:rFonts w:ascii="Meiryo UI" w:hAnsi="Meiryo UI"/>
                <w:sz w:val="18"/>
              </w:rPr>
              <w:t>紅海リスク・中国景気・米中貿易戦争の不確実性</w:t>
            </w:r>
          </w:p>
        </w:tc>
      </w:tr>
      <w:tr>
        <w:tc>
          <w:tcPr>
            <w:tcW w:type="dxa" w:w="4703"/>
          </w:tcPr>
          <w:p>
            <w:r>
              <w:rPr>
                <w:rFonts w:ascii="Meiryo UI" w:hAnsi="Meiryo UI"/>
                <w:sz w:val="18"/>
              </w:rPr>
              <w:t>⑤ 金利上昇局面</w:t>
            </w:r>
          </w:p>
        </w:tc>
        <w:tc>
          <w:tcPr>
            <w:tcW w:type="dxa" w:w="4703"/>
          </w:tcPr>
          <w:p>
            <w:r>
              <w:rPr>
                <w:rFonts w:ascii="Meiryo UI" w:hAnsi="Meiryo UI"/>
                <w:sz w:val="18"/>
              </w:rPr>
              <w:t>Rf上昇→ Re上昇→ 理論PBR低下圧力（後述感応度参照）</w:t>
            </w:r>
          </w:p>
        </w:tc>
      </w:tr>
    </w:tbl>
    <w:p/>
    <w:p>
      <w:pPr>
        <w:pStyle w:val="Heading3"/>
      </w:pPr>
      <w:r>
        <w:rPr>
          <w:rFonts w:ascii="Meiryo UI" w:hAnsi="Meiryo UI"/>
          <w:color w:val="2E74B5"/>
        </w:rPr>
        <w:t>6-3. PBR1.0倍超の条件</w:t>
      </w:r>
    </w:p>
    <w:p/>
    <w:p>
      <w:pPr>
        <w:shd w:val="clear" w:color="auto" w:fill="F2F2F2"/>
      </w:pPr>
      <w:r>
        <w:rPr>
          <w:rFonts w:ascii="Courier New" w:hAnsi="Courier New"/>
          <w:sz w:val="16"/>
        </w:rPr>
        <w:t>PBR &gt; 1.0 の条件：ROE &gt; Re（=9.53%）</w:t>
        <w:br/>
        <w:br/>
        <w:t>FY2026/3 ROE予想30%超 → 条件は充足</w:t>
        <w:br/>
        <w:t>問題は「持続性の信頼」</w:t>
        <w:br/>
        <w:br/>
        <w:t>PBR1.5倍達成には：市場が「ROE 15%以上が3〜5年持続」と確信することが必要</w:t>
        <w:br/>
        <w:t>→ 自社株買い・DOE政策・ONE安定配当が証明手段</w:t>
      </w:r>
    </w:p>
    <w:p/>
    <w:p>
      <w:r>
        <w:t>──────────────────────────────────────────────────</w:t>
      </w:r>
    </w:p>
    <w:p/>
    <w:p>
      <w:pPr>
        <w:pStyle w:val="Heading2"/>
      </w:pPr>
      <w:r>
        <w:rPr>
          <w:rFonts w:ascii="Meiryo UI" w:hAnsi="Meiryo UI"/>
          <w:color w:val="2E74B5"/>
        </w:rPr>
        <w:t>7. 資本政策定性変化（2Q→3Q）</w:t>
      </w:r>
    </w:p>
    <w:p/>
    <w:p>
      <w:pPr>
        <w:pStyle w:val="Heading3"/>
      </w:pPr>
      <w:r>
        <w:rPr>
          <w:rFonts w:ascii="Meiryo UI" w:hAnsi="Meiryo UI"/>
          <w:color w:val="2E74B5"/>
        </w:rPr>
        <w:t>7-1. 変化の軸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2Q（〜2025年9月）</w:t>
            </w:r>
          </w:p>
        </w:tc>
        <w:tc>
          <w:tcPr>
            <w:tcW w:type="dxa" w:w="2351"/>
            <w:shd w:val="clear" w:color="auto" w:fill="2E74B5"/>
          </w:tcPr>
          <w:p>
            <w:r>
              <w:rPr>
                <w:rFonts w:ascii="Meiryo UI" w:hAnsi="Meiryo UI"/>
                <w:b/>
                <w:color w:val="FFFFFF"/>
                <w:sz w:val="18"/>
              </w:rPr>
              <w:t>3Q（〜2025年12月）</w:t>
            </w:r>
          </w:p>
        </w:tc>
        <w:tc>
          <w:tcPr>
            <w:tcW w:type="dxa" w:w="2351"/>
            <w:shd w:val="clear" w:color="auto" w:fill="2E74B5"/>
          </w:tcPr>
          <w:p>
            <w:r>
              <w:rPr>
                <w:rFonts w:ascii="Meiryo UI" w:hAnsi="Meiryo UI"/>
                <w:b/>
                <w:color w:val="FFFFFF"/>
                <w:sz w:val="18"/>
              </w:rPr>
              <w:t>方向性</w:t>
            </w:r>
          </w:p>
        </w:tc>
      </w:tr>
      <w:tr>
        <w:tc>
          <w:tcPr>
            <w:tcW w:type="dxa" w:w="2351"/>
          </w:tcPr>
          <w:p>
            <w:r>
              <w:rPr>
                <w:rFonts w:ascii="Meiryo UI" w:hAnsi="Meiryo UI"/>
                <w:sz w:val="18"/>
              </w:rPr>
              <w:t>自社株買い</w:t>
            </w:r>
          </w:p>
        </w:tc>
        <w:tc>
          <w:tcPr>
            <w:tcW w:type="dxa" w:w="2351"/>
          </w:tcPr>
          <w:p>
            <w:r>
              <w:rPr>
                <w:rFonts w:ascii="Meiryo UI" w:hAnsi="Meiryo UI"/>
                <w:sz w:val="18"/>
              </w:rPr>
              <w:t>継続実施中</w:t>
            </w:r>
          </w:p>
        </w:tc>
        <w:tc>
          <w:tcPr>
            <w:tcW w:type="dxa" w:w="2351"/>
          </w:tcPr>
          <w:p>
            <w:r>
              <w:rPr>
                <w:rFonts w:ascii="Meiryo UI" w:hAnsi="Meiryo UI"/>
                <w:sz w:val="18"/>
              </w:rPr>
              <w:t>追加枠設定の示唆</w:t>
            </w:r>
          </w:p>
        </w:tc>
        <w:tc>
          <w:tcPr>
            <w:tcW w:type="dxa" w:w="2351"/>
          </w:tcPr>
          <w:p>
            <w:r>
              <w:rPr>
                <w:rFonts w:ascii="Meiryo UI" w:hAnsi="Meiryo UI"/>
                <w:sz w:val="18"/>
              </w:rPr>
              <w:t>加速↑</w:t>
            </w:r>
          </w:p>
        </w:tc>
      </w:tr>
      <w:tr>
        <w:tc>
          <w:tcPr>
            <w:tcW w:type="dxa" w:w="2351"/>
            <w:shd w:val="clear" w:color="auto" w:fill="DDEBF7"/>
          </w:tcPr>
          <w:p>
            <w:r>
              <w:rPr>
                <w:rFonts w:ascii="Meiryo UI" w:hAnsi="Meiryo UI"/>
                <w:sz w:val="18"/>
              </w:rPr>
              <w:t>DOE政策</w:t>
            </w:r>
          </w:p>
        </w:tc>
        <w:tc>
          <w:tcPr>
            <w:tcW w:type="dxa" w:w="2351"/>
            <w:shd w:val="clear" w:color="auto" w:fill="DDEBF7"/>
          </w:tcPr>
          <w:p>
            <w:r>
              <w:rPr>
                <w:rFonts w:ascii="Meiryo UI" w:hAnsi="Meiryo UI"/>
                <w:sz w:val="18"/>
              </w:rPr>
              <w:t>導入検討段階</w:t>
            </w:r>
          </w:p>
        </w:tc>
        <w:tc>
          <w:tcPr>
            <w:tcW w:type="dxa" w:w="2351"/>
            <w:shd w:val="clear" w:color="auto" w:fill="DDEBF7"/>
          </w:tcPr>
          <w:p>
            <w:r>
              <w:rPr>
                <w:rFonts w:ascii="Meiryo UI" w:hAnsi="Meiryo UI"/>
                <w:sz w:val="18"/>
              </w:rPr>
              <w:t>具体的水準提示へ移行</w:t>
            </w:r>
          </w:p>
        </w:tc>
        <w:tc>
          <w:tcPr>
            <w:tcW w:type="dxa" w:w="2351"/>
            <w:shd w:val="clear" w:color="auto" w:fill="DDEBF7"/>
          </w:tcPr>
          <w:p>
            <w:r>
              <w:rPr>
                <w:rFonts w:ascii="Meiryo UI" w:hAnsi="Meiryo UI"/>
                <w:sz w:val="18"/>
              </w:rPr>
              <w:t>明確化↑</w:t>
            </w:r>
          </w:p>
        </w:tc>
      </w:tr>
      <w:tr>
        <w:tc>
          <w:tcPr>
            <w:tcW w:type="dxa" w:w="2351"/>
          </w:tcPr>
          <w:p>
            <w:r>
              <w:rPr>
                <w:rFonts w:ascii="Meiryo UI" w:hAnsi="Meiryo UI"/>
                <w:sz w:val="18"/>
              </w:rPr>
              <w:t>配当方針</w:t>
            </w:r>
          </w:p>
        </w:tc>
        <w:tc>
          <w:tcPr>
            <w:tcW w:type="dxa" w:w="2351"/>
          </w:tcPr>
          <w:p>
            <w:r>
              <w:rPr>
                <w:rFonts w:ascii="Meiryo UI" w:hAnsi="Meiryo UI"/>
                <w:sz w:val="18"/>
              </w:rPr>
              <w:t>業績連動重視</w:t>
            </w:r>
          </w:p>
        </w:tc>
        <w:tc>
          <w:tcPr>
            <w:tcW w:type="dxa" w:w="2351"/>
          </w:tcPr>
          <w:p>
            <w:r>
              <w:rPr>
                <w:rFonts w:ascii="Meiryo UI" w:hAnsi="Meiryo UI"/>
                <w:sz w:val="18"/>
              </w:rPr>
              <w:t>DOE下限設定で安定性強調</w:t>
            </w:r>
          </w:p>
        </w:tc>
        <w:tc>
          <w:tcPr>
            <w:tcW w:type="dxa" w:w="2351"/>
          </w:tcPr>
          <w:p>
            <w:r>
              <w:rPr>
                <w:rFonts w:ascii="Meiryo UI" w:hAnsi="Meiryo UI"/>
                <w:sz w:val="18"/>
              </w:rPr>
              <w:t>安定化↑</w:t>
            </w:r>
          </w:p>
        </w:tc>
      </w:tr>
      <w:tr>
        <w:tc>
          <w:tcPr>
            <w:tcW w:type="dxa" w:w="2351"/>
            <w:shd w:val="clear" w:color="auto" w:fill="DDEBF7"/>
          </w:tcPr>
          <w:p>
            <w:r>
              <w:rPr>
                <w:rFonts w:ascii="Meiryo UI" w:hAnsi="Meiryo UI"/>
                <w:sz w:val="18"/>
              </w:rPr>
              <w:t>IRコミュニケーション</w:t>
            </w:r>
          </w:p>
        </w:tc>
        <w:tc>
          <w:tcPr>
            <w:tcW w:type="dxa" w:w="2351"/>
            <w:shd w:val="clear" w:color="auto" w:fill="DDEBF7"/>
          </w:tcPr>
          <w:p>
            <w:r>
              <w:rPr>
                <w:rFonts w:ascii="Meiryo UI" w:hAnsi="Meiryo UI"/>
                <w:sz w:val="18"/>
              </w:rPr>
              <w:t>定量説明</w:t>
            </w:r>
          </w:p>
        </w:tc>
        <w:tc>
          <w:tcPr>
            <w:tcW w:type="dxa" w:w="2351"/>
            <w:shd w:val="clear" w:color="auto" w:fill="DDEBF7"/>
          </w:tcPr>
          <w:p>
            <w:r>
              <w:rPr>
                <w:rFonts w:ascii="Meiryo UI" w:hAnsi="Meiryo UI"/>
                <w:sz w:val="18"/>
              </w:rPr>
              <w:t>資本コスト意識の明示</w:t>
            </w:r>
          </w:p>
        </w:tc>
        <w:tc>
          <w:tcPr>
            <w:tcW w:type="dxa" w:w="2351"/>
            <w:shd w:val="clear" w:color="auto" w:fill="DDEBF7"/>
          </w:tcPr>
          <w:p>
            <w:r>
              <w:rPr>
                <w:rFonts w:ascii="Meiryo UI" w:hAnsi="Meiryo UI"/>
                <w:sz w:val="18"/>
              </w:rPr>
              <w:t>深化↑</w:t>
            </w:r>
          </w:p>
        </w:tc>
      </w:tr>
      <w:tr>
        <w:tc>
          <w:tcPr>
            <w:tcW w:type="dxa" w:w="2351"/>
          </w:tcPr>
          <w:p>
            <w:r>
              <w:rPr>
                <w:rFonts w:ascii="Meiryo UI" w:hAnsi="Meiryo UI"/>
                <w:sz w:val="18"/>
              </w:rPr>
              <w:t>PBR1.0倍コミットメント</w:t>
            </w:r>
          </w:p>
        </w:tc>
        <w:tc>
          <w:tcPr>
            <w:tcW w:type="dxa" w:w="2351"/>
          </w:tcPr>
          <w:p>
            <w:r>
              <w:rPr>
                <w:rFonts w:ascii="Meiryo UI" w:hAnsi="Meiryo UI"/>
                <w:sz w:val="18"/>
              </w:rPr>
              <w:t>言及なし</w:t>
            </w:r>
          </w:p>
        </w:tc>
        <w:tc>
          <w:tcPr>
            <w:tcW w:type="dxa" w:w="2351"/>
          </w:tcPr>
          <w:p>
            <w:r>
              <w:rPr>
                <w:rFonts w:ascii="Meiryo UI" w:hAnsi="Meiryo UI"/>
                <w:sz w:val="18"/>
              </w:rPr>
              <w:t>中期計画で目標化</w:t>
            </w:r>
          </w:p>
        </w:tc>
        <w:tc>
          <w:tcPr>
            <w:tcW w:type="dxa" w:w="2351"/>
          </w:tcPr>
          <w:p>
            <w:r>
              <w:rPr>
                <w:rFonts w:ascii="Meiryo UI" w:hAnsi="Meiryo UI"/>
                <w:sz w:val="18"/>
              </w:rPr>
              <w:t>新規↑</w:t>
            </w:r>
          </w:p>
        </w:tc>
      </w:tr>
    </w:tbl>
    <w:p/>
    <w:p>
      <w:pPr>
        <w:pStyle w:val="Heading3"/>
      </w:pPr>
      <w:r>
        <w:rPr>
          <w:rFonts w:ascii="Meiryo UI" w:hAnsi="Meiryo UI"/>
          <w:color w:val="2E74B5"/>
        </w:rPr>
        <w:t>7-2. 定性評価</w:t>
      </w:r>
    </w:p>
    <w:p/>
    <w:p>
      <w:r>
        <w:rPr>
          <w:rFonts w:ascii="Meiryo UI" w:hAnsi="Meiryo UI"/>
          <w:sz w:val="20"/>
        </w:rPr>
        <w:t>2Q→3Qにかけて「利益還元の量的拡大」から「還元の持続性・予見可能性の向上」にシフト。これはROEの持続性懸念を払拭する行動面の証拠であり、PBR1.0倍超への橋渡しとなる。機関投資家の保有意欲向上→需給改善に直結。</w:t>
      </w:r>
    </w:p>
    <w:p/>
    <w:p>
      <w:r>
        <w:t>──────────────────────────────────────────────────</w:t>
      </w:r>
    </w:p>
    <w:p/>
    <w:p>
      <w:pPr>
        <w:pStyle w:val="Heading2"/>
      </w:pPr>
      <w:r>
        <w:rPr>
          <w:rFonts w:ascii="Meiryo UI" w:hAnsi="Meiryo UI"/>
          <w:color w:val="2E74B5"/>
        </w:rPr>
        <w:t>8. 自社株買い残弾数理算出</w:t>
      </w:r>
    </w:p>
    <w:p/>
    <w:p>
      <w:pPr>
        <w:pStyle w:val="Heading3"/>
      </w:pPr>
      <w:r>
        <w:rPr>
          <w:rFonts w:ascii="Meiryo UI" w:hAnsi="Meiryo UI"/>
          <w:color w:val="2E74B5"/>
        </w:rPr>
        <w:t>8-1. 前提データ</w:t>
      </w:r>
    </w:p>
    <w:p/>
    <w:p>
      <w:pPr>
        <w:shd w:val="clear" w:color="auto" w:fill="F2F2F2"/>
      </w:pPr>
      <w:r>
        <w:rPr>
          <w:rFonts w:ascii="Courier New" w:hAnsi="Courier New"/>
          <w:sz w:val="16"/>
        </w:rPr>
        <w:t>・自社株買い上限枠（直近公表）：¥200億</w:t>
        <w:br/>
        <w:t>・3Q末時点での実施済み額：推定¥80〜100億</w:t>
        <w:br/>
        <w:t>・残弾（未実施分）：約¥100〜120億</w:t>
        <w:br/>
        <w:t>・現在株価：¥2,698</w:t>
        <w:br/>
        <w:t>・残弾での買取可能株数：¥110億 ÷ ¥2,698 ≒ 407万株</w:t>
        <w:br/>
        <w:t>・発行済株数（約1.71億株）比：約2.4%</w:t>
      </w:r>
    </w:p>
    <w:p/>
    <w:p>
      <w:pPr>
        <w:pStyle w:val="Heading3"/>
      </w:pPr>
      <w:r>
        <w:rPr>
          <w:rFonts w:ascii="Meiryo UI" w:hAnsi="Meiryo UI"/>
          <w:color w:val="2E74B5"/>
        </w:rPr>
        <w:t>8-2. EPS押し上げ効果</w:t>
      </w:r>
    </w:p>
    <w:p/>
    <w:p>
      <w:pPr>
        <w:shd w:val="clear" w:color="auto" w:fill="F2F2F2"/>
      </w:pPr>
      <w:r>
        <w:rPr>
          <w:rFonts w:ascii="Courier New" w:hAnsi="Courier New"/>
          <w:sz w:val="16"/>
        </w:rPr>
        <w:t>全残弾実施後の発行済株数：1.71億株 - 407万株 = 約1.669億株</w:t>
        <w:br/>
        <w:br/>
        <w:t>EPS押し上げ率 = 407万株 / 1.669億株 ≒ +2.4%</w:t>
        <w:br/>
        <w:br/>
        <w:t>EPS¥780 × 1.024 = ¥799（自社株買い完了後）</w:t>
        <w:br/>
        <w:t>→ 目標株価の微上昇要因</w:t>
      </w:r>
    </w:p>
    <w:p/>
    <w:p>
      <w:pPr>
        <w:pStyle w:val="Heading3"/>
      </w:pPr>
      <w:r>
        <w:rPr>
          <w:rFonts w:ascii="Meiryo UI" w:hAnsi="Meiryo UI"/>
          <w:color w:val="2E74B5"/>
        </w:rPr>
        <w:t>8-3. 追加枠設定余地</w:t>
      </w:r>
    </w:p>
    <w:p/>
    <w:p>
      <w:pPr>
        <w:shd w:val="clear" w:color="auto" w:fill="F2F2F2"/>
      </w:pPr>
      <w:r>
        <w:rPr>
          <w:rFonts w:ascii="Courier New" w:hAnsi="Courier New"/>
          <w:sz w:val="16"/>
        </w:rPr>
        <w:t>純資産¥4,710億 × 5% = ¥235億（業界慣行上限目安）</w:t>
        <w:br/>
        <w:t>現行枠¥200億は純資産比4.2% → 追加¥35〜100億の余地</w:t>
      </w:r>
    </w:p>
    <w:p/>
    <w:p>
      <w:r>
        <w:rPr>
          <w:rFonts w:ascii="Meiryo UI" w:hAnsi="Meiryo UI"/>
          <w:sz w:val="20"/>
        </w:rPr>
        <w:t>残弾は限定的だが、心理的な買い支え・EPS改善効果は実質的。追加枠発表がポジティブサプライズになり得る。</w:t>
      </w:r>
    </w:p>
    <w:p/>
    <w:p>
      <w:r>
        <w:t>──────────────────────────────────────────────────</w:t>
      </w:r>
    </w:p>
    <w:p/>
    <w:p>
      <w:pPr>
        <w:pStyle w:val="Heading2"/>
      </w:pPr>
      <w:r>
        <w:rPr>
          <w:rFonts w:ascii="Meiryo UI" w:hAnsi="Meiryo UI"/>
          <w:color w:val="2E74B5"/>
        </w:rPr>
        <w:t>9. ONE配当還流額</w:t>
      </w:r>
    </w:p>
    <w:p/>
    <w:p>
      <w:pPr>
        <w:pStyle w:val="Heading3"/>
      </w:pPr>
      <w:r>
        <w:rPr>
          <w:rFonts w:ascii="Meiryo UI" w:hAnsi="Meiryo UI"/>
          <w:color w:val="2E74B5"/>
        </w:rPr>
        <w:t>9-1. ONE（Ocean Network Express）の利益構造</w:t>
      </w:r>
    </w:p>
    <w:p/>
    <w:p>
      <w:pPr>
        <w:shd w:val="clear" w:color="auto" w:fill="F2F2F2"/>
      </w:pPr>
      <w:r>
        <w:rPr>
          <w:rFonts w:ascii="Courier New" w:hAnsi="Courier New"/>
          <w:sz w:val="16"/>
        </w:rPr>
        <w:t>・ONE持分比率：川崎汽船 31.5%、日本郵船 38.0%、商船三井 30.5%</w:t>
        <w:br/>
        <w:t>・FY2026/3 ONE純利益（推定）：約$35〜45億（¥5,000〜6,500億）</w:t>
        <w:br/>
        <w:t>・川崎汽船への持分利益：¥1,575〜2,048億（31.5%×¥5,000〜6,500億）</w:t>
      </w:r>
    </w:p>
    <w:p/>
    <w:p>
      <w:pPr>
        <w:pStyle w:val="Heading3"/>
      </w:pPr>
      <w:r>
        <w:rPr>
          <w:rFonts w:ascii="Meiryo UI" w:hAnsi="Meiryo UI"/>
          <w:color w:val="2E74B5"/>
        </w:rPr>
        <w:t>9-2. ONE→川崎汽船への配当還流</w:t>
      </w:r>
    </w:p>
    <w:p/>
    <w:p>
      <w:pPr>
        <w:shd w:val="clear" w:color="auto" w:fill="F2F2F2"/>
      </w:pPr>
      <w:r>
        <w:rPr>
          <w:rFonts w:ascii="Courier New" w:hAnsi="Courier New"/>
          <w:sz w:val="16"/>
        </w:rPr>
        <w:t>ONEが利益の60〜70%を配当に回すと仮定：</w:t>
        <w:br/>
        <w:t>ONE配当総額：¥3,000〜4,550億</w:t>
        <w:br/>
        <w:t>川崎汽船受取配当（31.5%）：¥945〜1,433億</w:t>
        <w:br/>
        <w:br/>
        <w:t>→ この配当受取が川崎汽船の自社株買い・株主配当の実弾</w:t>
        <w:br/>
        <w:t>→ 3Q時点での受取済み配当累計：推定¥700〜900億</w:t>
      </w:r>
    </w:p>
    <w:p/>
    <w:p>
      <w:pPr>
        <w:pStyle w:val="Heading3"/>
      </w:pPr>
      <w:r>
        <w:rPr>
          <w:rFonts w:ascii="Meiryo UI" w:hAnsi="Meiryo UI"/>
          <w:color w:val="2E74B5"/>
        </w:rPr>
        <w:t>9-3. 配当還流の重要性</w:t>
      </w:r>
    </w:p>
    <w:p/>
    <w:p>
      <w:r>
        <w:rPr>
          <w:rFonts w:ascii="Meiryo UI" w:hAnsi="Meiryo UI"/>
          <w:sz w:val="20"/>
        </w:rPr>
        <w:t>ONEは「見えない金庫」。持分法会計では利益は見えても、現金は「配当受取時」に初めてKラインに流入する。この配当還流額が資本政策の最大の弾薬であり、DOE政策・自社株買いの持続性を担保する。</w:t>
      </w:r>
    </w:p>
    <w:p/>
    <w:p>
      <w:r>
        <w:t>──────────────────────────────────────────────────</w:t>
      </w:r>
    </w:p>
    <w:p/>
    <w:p>
      <w:pPr>
        <w:pStyle w:val="Heading2"/>
      </w:pPr>
      <w:r>
        <w:rPr>
          <w:rFonts w:ascii="Meiryo UI" w:hAnsi="Meiryo UI"/>
          <w:color w:val="2E74B5"/>
        </w:rPr>
        <w:t>10. DOE下値支持線</w:t>
      </w:r>
    </w:p>
    <w:p/>
    <w:p>
      <w:pPr>
        <w:pStyle w:val="Heading3"/>
      </w:pPr>
      <w:r>
        <w:rPr>
          <w:rFonts w:ascii="Meiryo UI" w:hAnsi="Meiryo UI"/>
          <w:color w:val="2E74B5"/>
        </w:rPr>
        <w:t>10-1. DOE政策の枠組み</w:t>
      </w:r>
    </w:p>
    <w:p/>
    <w:p>
      <w:pPr>
        <w:shd w:val="clear" w:color="auto" w:fill="F2F2F2"/>
      </w:pPr>
      <w:r>
        <w:rPr>
          <w:rFonts w:ascii="Courier New" w:hAnsi="Courier New"/>
          <w:sz w:val="16"/>
        </w:rPr>
        <w:t>DOE（Dividend on Equity）= DPS / BPS × 100</w:t>
        <w:br/>
        <w:br/>
        <w:t>BPS：¥2,753（PBR0.98倍・株価¥2,698から逆算）</w:t>
      </w:r>
    </w:p>
    <w:p/>
    <w:p>
      <w:pPr>
        <w:pStyle w:val="Heading3"/>
      </w:pPr>
      <w:r>
        <w:rPr>
          <w:rFonts w:ascii="Meiryo UI" w:hAnsi="Meiryo UI"/>
          <w:color w:val="2E74B5"/>
        </w:rPr>
        <w:t>10-2. DOE水準別 DPS・配当利回り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DOE水準</w:t>
            </w:r>
          </w:p>
        </w:tc>
        <w:tc>
          <w:tcPr>
            <w:tcW w:type="dxa" w:w="2351"/>
            <w:shd w:val="clear" w:color="auto" w:fill="2E74B5"/>
          </w:tcPr>
          <w:p>
            <w:r>
              <w:rPr>
                <w:rFonts w:ascii="Meiryo UI" w:hAnsi="Meiryo UI"/>
                <w:b/>
                <w:color w:val="FFFFFF"/>
                <w:sz w:val="18"/>
              </w:rPr>
              <w:t>DPS（計算値）</w:t>
            </w:r>
          </w:p>
        </w:tc>
        <w:tc>
          <w:tcPr>
            <w:tcW w:type="dxa" w:w="2351"/>
            <w:shd w:val="clear" w:color="auto" w:fill="2E74B5"/>
          </w:tcPr>
          <w:p>
            <w:r>
              <w:rPr>
                <w:rFonts w:ascii="Meiryo UI" w:hAnsi="Meiryo UI"/>
                <w:b/>
                <w:color w:val="FFFFFF"/>
                <w:sz w:val="18"/>
              </w:rPr>
              <w:t>配当利回り（¥2,698ベース）</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DOE 3.0%</w:t>
            </w:r>
          </w:p>
        </w:tc>
        <w:tc>
          <w:tcPr>
            <w:tcW w:type="dxa" w:w="2351"/>
          </w:tcPr>
          <w:p>
            <w:r>
              <w:rPr>
                <w:rFonts w:ascii="Meiryo UI" w:hAnsi="Meiryo UI"/>
                <w:sz w:val="18"/>
              </w:rPr>
              <w:t>¥83</w:t>
            </w:r>
          </w:p>
        </w:tc>
        <w:tc>
          <w:tcPr>
            <w:tcW w:type="dxa" w:w="2351"/>
          </w:tcPr>
          <w:p>
            <w:r>
              <w:rPr>
                <w:rFonts w:ascii="Meiryo UI" w:hAnsi="Meiryo UI"/>
                <w:sz w:val="18"/>
              </w:rPr>
              <w:t>3.07%</w:t>
            </w:r>
          </w:p>
        </w:tc>
        <w:tc>
          <w:tcPr>
            <w:tcW w:type="dxa" w:w="2351"/>
          </w:tcPr>
          <w:p>
            <w:r>
              <w:rPr>
                <w:rFonts w:ascii="Meiryo UI" w:hAnsi="Meiryo UI"/>
                <w:sz w:val="18"/>
              </w:rPr>
              <w:t>最低ライン</w:t>
            </w:r>
          </w:p>
        </w:tc>
      </w:tr>
      <w:tr>
        <w:tc>
          <w:tcPr>
            <w:tcW w:type="dxa" w:w="2351"/>
            <w:shd w:val="clear" w:color="auto" w:fill="DDEBF7"/>
          </w:tcPr>
          <w:p>
            <w:r>
              <w:rPr>
                <w:rFonts w:ascii="Meiryo UI" w:hAnsi="Meiryo UI"/>
                <w:sz w:val="18"/>
              </w:rPr>
              <w:t>DOE 4.0%</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4.08%</w:t>
            </w:r>
          </w:p>
        </w:tc>
        <w:tc>
          <w:tcPr>
            <w:tcW w:type="dxa" w:w="2351"/>
            <w:shd w:val="clear" w:color="auto" w:fill="DDEBF7"/>
          </w:tcPr>
          <w:p>
            <w:r>
              <w:rPr>
                <w:rFonts w:ascii="Meiryo UI" w:hAnsi="Meiryo UI"/>
                <w:sz w:val="18"/>
              </w:rPr>
              <w:t>保守的下限</w:t>
            </w:r>
          </w:p>
        </w:tc>
      </w:tr>
      <w:tr>
        <w:tc>
          <w:tcPr>
            <w:tcW w:type="dxa" w:w="2351"/>
          </w:tcPr>
          <w:p>
            <w:r>
              <w:rPr>
                <w:rFonts w:ascii="Meiryo UI" w:hAnsi="Meiryo UI"/>
                <w:sz w:val="18"/>
              </w:rPr>
              <w:t>DOE 5.0%</w:t>
            </w:r>
          </w:p>
        </w:tc>
        <w:tc>
          <w:tcPr>
            <w:tcW w:type="dxa" w:w="2351"/>
          </w:tcPr>
          <w:p>
            <w:r>
              <w:rPr>
                <w:rFonts w:ascii="Meiryo UI" w:hAnsi="Meiryo UI"/>
                <w:sz w:val="18"/>
              </w:rPr>
              <w:t>¥138</w:t>
            </w:r>
          </w:p>
        </w:tc>
        <w:tc>
          <w:tcPr>
            <w:tcW w:type="dxa" w:w="2351"/>
          </w:tcPr>
          <w:p>
            <w:r>
              <w:rPr>
                <w:rFonts w:ascii="Meiryo UI" w:hAnsi="Meiryo UI"/>
                <w:sz w:val="18"/>
              </w:rPr>
              <w:t>5.11%</w:t>
            </w:r>
          </w:p>
        </w:tc>
        <w:tc>
          <w:tcPr>
            <w:tcW w:type="dxa" w:w="2351"/>
          </w:tcPr>
          <w:p>
            <w:r>
              <w:rPr>
                <w:rFonts w:ascii="Meiryo UI" w:hAnsi="Meiryo UI"/>
                <w:sz w:val="18"/>
              </w:rPr>
              <w:t>現実的下限</w:t>
            </w:r>
          </w:p>
        </w:tc>
      </w:tr>
      <w:tr>
        <w:tc>
          <w:tcPr>
            <w:tcW w:type="dxa" w:w="2351"/>
            <w:shd w:val="clear" w:color="auto" w:fill="DDEBF7"/>
          </w:tcPr>
          <w:p>
            <w:r>
              <w:rPr>
                <w:rFonts w:ascii="Meiryo UI" w:hAnsi="Meiryo UI"/>
                <w:sz w:val="18"/>
              </w:rPr>
              <w:t>DOE 6.0%</w:t>
            </w:r>
          </w:p>
        </w:tc>
        <w:tc>
          <w:tcPr>
            <w:tcW w:type="dxa" w:w="2351"/>
            <w:shd w:val="clear" w:color="auto" w:fill="DDEBF7"/>
          </w:tcPr>
          <w:p>
            <w:r>
              <w:rPr>
                <w:rFonts w:ascii="Meiryo UI" w:hAnsi="Meiryo UI"/>
                <w:sz w:val="18"/>
              </w:rPr>
              <w:t>¥165</w:t>
            </w:r>
          </w:p>
        </w:tc>
        <w:tc>
          <w:tcPr>
            <w:tcW w:type="dxa" w:w="2351"/>
            <w:shd w:val="clear" w:color="auto" w:fill="DDEBF7"/>
          </w:tcPr>
          <w:p>
            <w:r>
              <w:rPr>
                <w:rFonts w:ascii="Meiryo UI" w:hAnsi="Meiryo UI"/>
                <w:sz w:val="18"/>
              </w:rPr>
              <w:t>6.12%</w:t>
            </w:r>
          </w:p>
        </w:tc>
        <w:tc>
          <w:tcPr>
            <w:tcW w:type="dxa" w:w="2351"/>
            <w:shd w:val="clear" w:color="auto" w:fill="DDEBF7"/>
          </w:tcPr>
          <w:p>
            <w:r>
              <w:rPr>
                <w:rFonts w:ascii="Meiryo UI" w:hAnsi="Meiryo UI"/>
                <w:sz w:val="18"/>
              </w:rPr>
              <w:t>中期目標水準</w:t>
            </w:r>
          </w:p>
        </w:tc>
      </w:tr>
      <w:tr>
        <w:tc>
          <w:tcPr>
            <w:tcW w:type="dxa" w:w="2351"/>
          </w:tcPr>
          <w:p>
            <w:r>
              <w:rPr>
                <w:rFonts w:ascii="Meiryo UI" w:hAnsi="Meiryo UI"/>
                <w:sz w:val="18"/>
              </w:rPr>
              <w:t>DOE 7.0%</w:t>
            </w:r>
          </w:p>
        </w:tc>
        <w:tc>
          <w:tcPr>
            <w:tcW w:type="dxa" w:w="2351"/>
          </w:tcPr>
          <w:p>
            <w:r>
              <w:rPr>
                <w:rFonts w:ascii="Meiryo UI" w:hAnsi="Meiryo UI"/>
                <w:sz w:val="18"/>
              </w:rPr>
              <w:t>¥193</w:t>
            </w:r>
          </w:p>
        </w:tc>
        <w:tc>
          <w:tcPr>
            <w:tcW w:type="dxa" w:w="2351"/>
          </w:tcPr>
          <w:p>
            <w:r>
              <w:rPr>
                <w:rFonts w:ascii="Meiryo UI" w:hAnsi="Meiryo UI"/>
                <w:sz w:val="18"/>
              </w:rPr>
              <w:t>7.15%</w:t>
            </w:r>
          </w:p>
        </w:tc>
        <w:tc>
          <w:tcPr>
            <w:tcW w:type="dxa" w:w="2351"/>
          </w:tcPr>
          <w:p>
            <w:r>
              <w:rPr>
                <w:rFonts w:ascii="Meiryo UI" w:hAnsi="Meiryo UI"/>
                <w:sz w:val="18"/>
              </w:rPr>
              <w:t>強気水準</w:t>
            </w:r>
          </w:p>
        </w:tc>
      </w:tr>
      <w:tr>
        <w:tc>
          <w:tcPr>
            <w:tcW w:type="dxa" w:w="2351"/>
            <w:shd w:val="clear" w:color="auto" w:fill="DDEBF7"/>
          </w:tcPr>
          <w:p>
            <w:r>
              <w:rPr>
                <w:rFonts w:ascii="Meiryo UI" w:hAnsi="Meiryo UI"/>
                <w:sz w:val="18"/>
              </w:rPr>
              <w:t>現行DPS¥300</w:t>
            </w:r>
          </w:p>
        </w:tc>
        <w:tc>
          <w:tcPr>
            <w:tcW w:type="dxa" w:w="2351"/>
            <w:shd w:val="clear" w:color="auto" w:fill="DDEBF7"/>
          </w:tcPr>
          <w:p>
            <w:r>
              <w:rPr>
                <w:rFonts w:ascii="Meiryo UI" w:hAnsi="Meiryo UI"/>
                <w:sz w:val="18"/>
              </w:rPr>
              <w:t>DOE換算</w:t>
            </w:r>
          </w:p>
        </w:tc>
        <w:tc>
          <w:tcPr>
            <w:tcW w:type="dxa" w:w="2351"/>
            <w:shd w:val="clear" w:color="auto" w:fill="DDEBF7"/>
          </w:tcPr>
          <w:p>
            <w:r>
              <w:rPr>
                <w:rFonts w:ascii="Meiryo UI" w:hAnsi="Meiryo UI"/>
                <w:sz w:val="18"/>
              </w:rPr>
              <w:t>10.9%</w:t>
            </w:r>
          </w:p>
        </w:tc>
        <w:tc>
          <w:tcPr>
            <w:tcW w:type="dxa" w:w="2351"/>
            <w:shd w:val="clear" w:color="auto" w:fill="DDEBF7"/>
          </w:tcPr>
          <w:p>
            <w:r>
              <w:rPr>
                <w:rFonts w:ascii="Meiryo UI" w:hAnsi="Meiryo UI"/>
                <w:sz w:val="18"/>
              </w:rPr>
              <w:t>現在は高水準</w:t>
            </w:r>
          </w:p>
        </w:tc>
      </w:tr>
    </w:tbl>
    <w:p/>
    <w:p>
      <w:pPr>
        <w:pStyle w:val="Heading3"/>
      </w:pPr>
      <w:r>
        <w:rPr>
          <w:rFonts w:ascii="Meiryo UI" w:hAnsi="Meiryo UI"/>
          <w:color w:val="2E74B5"/>
        </w:rPr>
        <w:t>10-3. 下値支持線の解釈</w:t>
      </w:r>
    </w:p>
    <w:p/>
    <w:p>
      <w:pPr>
        <w:shd w:val="clear" w:color="auto" w:fill="F2F2F2"/>
      </w:pPr>
      <w:r>
        <w:rPr>
          <w:rFonts w:ascii="Courier New" w:hAnsi="Courier New"/>
          <w:sz w:val="16"/>
        </w:rPr>
        <w:t>仮にDOE5.0%を下限として設定した場合：</w:t>
        <w:br/>
        <w:t>→ DPS≥¥138が保証される</w:t>
        <w:br/>
        <w:t>→ 配当利回り5.11%が株価下値支持として機能</w:t>
        <w:br/>
        <w:t>→ 配当利回り5%水準の株価：¥138÷5% = ¥2,760（現在株価¥2,698に近い）</w:t>
        <w:br/>
        <w:br/>
        <w:t>DOE5%設定はPBR0.98倍・¥2,698近辺に強い配当サポートを形成</w:t>
      </w:r>
    </w:p>
    <w:p/>
    <w:p>
      <w:r>
        <w:rPr>
          <w:rFonts w:ascii="Meiryo UI" w:hAnsi="Meiryo UI"/>
          <w:sz w:val="20"/>
        </w:rPr>
        <w:t>DOE政策の明示は、市場に「BPSが下がっても配当水準が連動して下がる」という透明性を与え、過剰な悲観売りを抑制する。¥2,698近辺が配当利回り面でも底値圏であることを示す。</w:t>
      </w:r>
    </w:p>
    <w:p/>
    <w:p>
      <w:r>
        <w:t>──────────────────────────────────────────────────</w:t>
      </w:r>
    </w:p>
    <w:p/>
    <w:p>
      <w:pPr>
        <w:pStyle w:val="Heading2"/>
      </w:pPr>
      <w:r>
        <w:rPr>
          <w:rFonts w:ascii="Meiryo UI" w:hAnsi="Meiryo UI"/>
          <w:color w:val="2E74B5"/>
        </w:rPr>
        <w:t>11. リスクシナリオ（紅海・運賃市況）</w:t>
      </w:r>
    </w:p>
    <w:p/>
    <w:p>
      <w:pPr>
        <w:pStyle w:val="Heading3"/>
      </w:pPr>
      <w:r>
        <w:rPr>
          <w:rFonts w:ascii="Meiryo UI" w:hAnsi="Meiryo UI"/>
          <w:color w:val="2E74B5"/>
        </w:rPr>
        <w:t>11-1. 紅海リスク（地政学）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ONE収益影響</w:t>
            </w:r>
          </w:p>
        </w:tc>
        <w:tc>
          <w:tcPr>
            <w:tcW w:type="dxa" w:w="2351"/>
            <w:shd w:val="clear" w:color="auto" w:fill="2E74B5"/>
          </w:tcPr>
          <w:p>
            <w:r>
              <w:rPr>
                <w:rFonts w:ascii="Meiryo UI" w:hAnsi="Meiryo UI"/>
                <w:b/>
                <w:color w:val="FFFFFF"/>
                <w:sz w:val="18"/>
              </w:rPr>
              <w:t>Kライン株価影響</w:t>
            </w:r>
          </w:p>
        </w:tc>
      </w:tr>
      <w:tr>
        <w:tc>
          <w:tcPr>
            <w:tcW w:type="dxa" w:w="2351"/>
          </w:tcPr>
          <w:p>
            <w:r>
              <w:rPr>
                <w:rFonts w:ascii="Meiryo UI" w:hAnsi="Meiryo UI"/>
                <w:sz w:val="18"/>
              </w:rPr>
              <w:t>現状維持（紅海迂回継続）</w:t>
            </w:r>
          </w:p>
        </w:tc>
        <w:tc>
          <w:tcPr>
            <w:tcW w:type="dxa" w:w="2351"/>
          </w:tcPr>
          <w:p>
            <w:r>
              <w:rPr>
                <w:rFonts w:ascii="Meiryo UI" w:hAnsi="Meiryo UI"/>
                <w:sz w:val="18"/>
              </w:rPr>
              <w:t>フーシ派攻撃継続・スエズ回避</w:t>
            </w:r>
          </w:p>
        </w:tc>
        <w:tc>
          <w:tcPr>
            <w:tcW w:type="dxa" w:w="2351"/>
          </w:tcPr>
          <w:p>
            <w:r>
              <w:rPr>
                <w:rFonts w:ascii="Meiryo UI" w:hAnsi="Meiryo UI"/>
                <w:sz w:val="18"/>
              </w:rPr>
              <w:t>±0（現状織込み済み）</w:t>
            </w:r>
          </w:p>
        </w:tc>
        <w:tc>
          <w:tcPr>
            <w:tcW w:type="dxa" w:w="2351"/>
          </w:tcPr>
          <w:p>
            <w:r>
              <w:rPr>
                <w:rFonts w:ascii="Meiryo UI" w:hAnsi="Meiryo UI"/>
                <w:sz w:val="18"/>
              </w:rPr>
              <w:t>±0</w:t>
            </w:r>
          </w:p>
        </w:tc>
      </w:tr>
      <w:tr>
        <w:tc>
          <w:tcPr>
            <w:tcW w:type="dxa" w:w="2351"/>
            <w:shd w:val="clear" w:color="auto" w:fill="DDEBF7"/>
          </w:tcPr>
          <w:p>
            <w:r>
              <w:rPr>
                <w:rFonts w:ascii="Meiryo UI" w:hAnsi="Meiryo UI"/>
                <w:sz w:val="18"/>
              </w:rPr>
              <w:t>紅海正常化（急速）</w:t>
            </w:r>
          </w:p>
        </w:tc>
        <w:tc>
          <w:tcPr>
            <w:tcW w:type="dxa" w:w="2351"/>
            <w:shd w:val="clear" w:color="auto" w:fill="DDEBF7"/>
          </w:tcPr>
          <w:p>
            <w:r>
              <w:rPr>
                <w:rFonts w:ascii="Meiryo UI" w:hAnsi="Meiryo UI"/>
                <w:sz w:val="18"/>
              </w:rPr>
              <w:t>地政学緩和・スエズ再開</w:t>
            </w:r>
          </w:p>
        </w:tc>
        <w:tc>
          <w:tcPr>
            <w:tcW w:type="dxa" w:w="2351"/>
            <w:shd w:val="clear" w:color="auto" w:fill="DDEBF7"/>
          </w:tcPr>
          <w:p>
            <w:r>
              <w:rPr>
                <w:rFonts w:ascii="Meiryo UI" w:hAnsi="Meiryo UI"/>
                <w:sz w:val="18"/>
              </w:rPr>
              <w:t>▲15〜25%（距離減→運賃下落）</w:t>
            </w:r>
          </w:p>
        </w:tc>
        <w:tc>
          <w:tcPr>
            <w:tcW w:type="dxa" w:w="2351"/>
            <w:shd w:val="clear" w:color="auto" w:fill="DDEBF7"/>
          </w:tcPr>
          <w:p>
            <w:r>
              <w:rPr>
                <w:rFonts w:ascii="Meiryo UI" w:hAnsi="Meiryo UI"/>
                <w:sz w:val="18"/>
              </w:rPr>
              <w:t>▲¥200〜400</w:t>
            </w:r>
          </w:p>
        </w:tc>
      </w:tr>
      <w:tr>
        <w:tc>
          <w:tcPr>
            <w:tcW w:type="dxa" w:w="2351"/>
          </w:tcPr>
          <w:p>
            <w:r>
              <w:rPr>
                <w:rFonts w:ascii="Meiryo UI" w:hAnsi="Meiryo UI"/>
                <w:sz w:val="18"/>
              </w:rPr>
              <w:t>紅海さらに悪化</w:t>
            </w:r>
          </w:p>
        </w:tc>
        <w:tc>
          <w:tcPr>
            <w:tcW w:type="dxa" w:w="2351"/>
          </w:tcPr>
          <w:p>
            <w:r>
              <w:rPr>
                <w:rFonts w:ascii="Meiryo UI" w:hAnsi="Meiryo UI"/>
                <w:sz w:val="18"/>
              </w:rPr>
              <w:t>紅海全面封鎖・ホルムズ波及</w:t>
            </w:r>
          </w:p>
        </w:tc>
        <w:tc>
          <w:tcPr>
            <w:tcW w:type="dxa" w:w="2351"/>
          </w:tcPr>
          <w:p>
            <w:r>
              <w:rPr>
                <w:rFonts w:ascii="Meiryo UI" w:hAnsi="Meiryo UI"/>
                <w:sz w:val="18"/>
              </w:rPr>
              <w:t>+10〜20%</w:t>
            </w:r>
          </w:p>
        </w:tc>
        <w:tc>
          <w:tcPr>
            <w:tcW w:type="dxa" w:w="2351"/>
          </w:tcPr>
          <w:p>
            <w:r>
              <w:rPr>
                <w:rFonts w:ascii="Meiryo UI" w:hAnsi="Meiryo UI"/>
                <w:sz w:val="18"/>
              </w:rPr>
              <w:t>+¥200〜500</w:t>
            </w:r>
          </w:p>
        </w:tc>
      </w:tr>
    </w:tbl>
    <w:p/>
    <w:p>
      <w:r>
        <w:rPr>
          <w:rFonts w:ascii="Meiryo UI" w:hAnsi="Meiryo UI"/>
          <w:sz w:val="20"/>
        </w:rPr>
        <w:t>リスクの非対称性：正常化は▲だが、「迂回コスト＋運賃高止まり」の現状が基本シナリオに織り込まれているため、正常化時の下落は限定的（コスト削減で相殺）。</w:t>
      </w:r>
    </w:p>
    <w:p/>
    <w:p>
      <w:pPr>
        <w:pStyle w:val="Heading3"/>
      </w:pPr>
      <w:r>
        <w:rPr>
          <w:rFonts w:ascii="Meiryo UI" w:hAnsi="Meiryo UI"/>
          <w:color w:val="2E74B5"/>
        </w:rPr>
        <w:t>11-2. コンテナ運賃市況リスク</w:t>
      </w:r>
    </w:p>
    <w:p/>
    <w:p>
      <w:pPr>
        <w:shd w:val="clear" w:color="auto" w:fill="F2F2F2"/>
      </w:pPr>
      <w:r>
        <w:rPr>
          <w:rFonts w:ascii="Courier New" w:hAnsi="Courier New"/>
          <w:sz w:val="16"/>
        </w:rPr>
        <w:t>【SCFI（上海コンテナ運賃指数）感応度】</w:t>
        <w:br/>
        <w:br/>
        <w:t>SCFI -30%（急落シナリオ）：</w:t>
        <w:br/>
        <w:t>→ ONE純利益▲40〜50% → Kライン持分益▲¥500〜650億</w:t>
        <w:br/>
        <w:t>→ EPS: ¥780 → ¥400〜500</w:t>
        <w:br/>
        <w:t>→ 株価（PER4倍）：¥1,600〜2,000</w:t>
        <w:br/>
        <w:t>→ ただしDOE下値支持（¥2,700近辺）が緩衝材</w:t>
        <w:br/>
        <w:br/>
        <w:t>SCFI -50%（暴落・2023年水準回帰）：</w:t>
        <w:br/>
        <w:t>→ ONE損益分岐点割れリスク</w:t>
        <w:br/>
        <w:t>→ EPS: ¥200〜300</w:t>
        <w:br/>
        <w:t>→ 株価：¥1,200〜1,500（DOE支持線も機能不全）</w:t>
      </w:r>
    </w:p>
    <w:p/>
    <w:p>
      <w:pPr>
        <w:pStyle w:val="Heading3"/>
      </w:pPr>
      <w:r>
        <w:rPr>
          <w:rFonts w:ascii="Meiryo UI" w:hAnsi="Meiryo UI"/>
          <w:color w:val="2E74B5"/>
        </w:rPr>
        <w:t>11-3. ドライバルク・タンカー市況</w:t>
      </w:r>
    </w:p>
    <w:p/>
    <w:p>
      <w:pPr>
        <w:shd w:val="clear" w:color="auto" w:fill="F2F2F2"/>
      </w:pPr>
      <w:r>
        <w:rPr>
          <w:rFonts w:ascii="Courier New" w:hAnsi="Courier New"/>
          <w:sz w:val="16"/>
        </w:rPr>
        <w:t>BDI（バルチック海運指数）+20%上昇：→ 営業利益+¥50〜80億</w:t>
        <w:br/>
        <w:t>BDI -30%下落：→ 営業利益▲¥70〜100億</w:t>
        <w:br/>
        <w:t>（コンテナ比率が高いため影響は限定的）</w:t>
      </w:r>
    </w:p>
    <w:p/>
    <w:p>
      <w:r>
        <w:t>──────────────────────────────────────────────────</w:t>
      </w:r>
    </w:p>
    <w:p/>
    <w:p>
      <w:pPr>
        <w:pStyle w:val="Heading2"/>
      </w:pPr>
      <w:r>
        <w:rPr>
          <w:rFonts w:ascii="Meiryo UI" w:hAnsi="Meiryo UI"/>
          <w:color w:val="2E74B5"/>
        </w:rPr>
        <w:t>12. メインvs リスクシナリオ（強気/基本/弱気）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コンテナ運賃</w:t>
            </w:r>
          </w:p>
        </w:tc>
        <w:tc>
          <w:tcPr>
            <w:tcW w:type="dxa" w:w="2351"/>
          </w:tcPr>
          <w:p>
            <w:r>
              <w:rPr>
                <w:rFonts w:ascii="Meiryo UI" w:hAnsi="Meiryo UI"/>
                <w:sz w:val="18"/>
              </w:rPr>
              <w:t>高止まり持続</w:t>
            </w:r>
          </w:p>
        </w:tc>
        <w:tc>
          <w:tcPr>
            <w:tcW w:type="dxa" w:w="2351"/>
          </w:tcPr>
          <w:p>
            <w:r>
              <w:rPr>
                <w:rFonts w:ascii="Meiryo UI" w:hAnsi="Meiryo UI"/>
                <w:sz w:val="18"/>
              </w:rPr>
              <w:t>緩やかに軟化</w:t>
            </w:r>
          </w:p>
        </w:tc>
        <w:tc>
          <w:tcPr>
            <w:tcW w:type="dxa" w:w="2351"/>
          </w:tcPr>
          <w:p>
            <w:r>
              <w:rPr>
                <w:rFonts w:ascii="Meiryo UI" w:hAnsi="Meiryo UI"/>
                <w:sz w:val="18"/>
              </w:rPr>
              <w:t>急落（SCFI -40%）</w:t>
            </w:r>
          </w:p>
        </w:tc>
      </w:tr>
      <w:tr>
        <w:tc>
          <w:tcPr>
            <w:tcW w:type="dxa" w:w="2351"/>
            <w:shd w:val="clear" w:color="auto" w:fill="DDEBF7"/>
          </w:tcPr>
          <w:p>
            <w:r>
              <w:rPr>
                <w:rFonts w:ascii="Meiryo UI" w:hAnsi="Meiryo UI"/>
                <w:sz w:val="18"/>
              </w:rPr>
              <w:t>ONE純利益</w:t>
            </w:r>
          </w:p>
        </w:tc>
        <w:tc>
          <w:tcPr>
            <w:tcW w:type="dxa" w:w="2351"/>
            <w:shd w:val="clear" w:color="auto" w:fill="DDEBF7"/>
          </w:tcPr>
          <w:p>
            <w:r>
              <w:rPr>
                <w:rFonts w:ascii="Meiryo UI" w:hAnsi="Meiryo UI"/>
                <w:sz w:val="18"/>
              </w:rPr>
              <w:t>$50億超</w:t>
            </w:r>
          </w:p>
        </w:tc>
        <w:tc>
          <w:tcPr>
            <w:tcW w:type="dxa" w:w="2351"/>
            <w:shd w:val="clear" w:color="auto" w:fill="DDEBF7"/>
          </w:tcPr>
          <w:p>
            <w:r>
              <w:rPr>
                <w:rFonts w:ascii="Meiryo UI" w:hAnsi="Meiryo UI"/>
                <w:sz w:val="18"/>
              </w:rPr>
              <w:t>$35〜45億</w:t>
            </w:r>
          </w:p>
        </w:tc>
        <w:tc>
          <w:tcPr>
            <w:tcW w:type="dxa" w:w="2351"/>
            <w:shd w:val="clear" w:color="auto" w:fill="DDEBF7"/>
          </w:tcPr>
          <w:p>
            <w:r>
              <w:rPr>
                <w:rFonts w:ascii="Meiryo UI" w:hAnsi="Meiryo UI"/>
                <w:sz w:val="18"/>
              </w:rPr>
              <w:t>$15〜25億</w:t>
            </w:r>
          </w:p>
        </w:tc>
      </w:tr>
      <w:tr>
        <w:tc>
          <w:tcPr>
            <w:tcW w:type="dxa" w:w="2351"/>
          </w:tcPr>
          <w:p>
            <w:r>
              <w:rPr>
                <w:rFonts w:ascii="Meiryo UI" w:hAnsi="Meiryo UI"/>
                <w:sz w:val="18"/>
              </w:rPr>
              <w:t>FCF（年間）</w:t>
            </w:r>
          </w:p>
        </w:tc>
        <w:tc>
          <w:tcPr>
            <w:tcW w:type="dxa" w:w="2351"/>
          </w:tcPr>
          <w:p>
            <w:r>
              <w:rPr>
                <w:rFonts w:ascii="Meiryo UI" w:hAnsi="Meiryo UI"/>
                <w:sz w:val="18"/>
              </w:rPr>
              <w:t>¥1,400億</w:t>
            </w:r>
          </w:p>
        </w:tc>
        <w:tc>
          <w:tcPr>
            <w:tcW w:type="dxa" w:w="2351"/>
          </w:tcPr>
          <w:p>
            <w:r>
              <w:rPr>
                <w:rFonts w:ascii="Meiryo UI" w:hAnsi="Meiryo UI"/>
                <w:sz w:val="18"/>
              </w:rPr>
              <w:t>¥900〜1,000億</w:t>
            </w:r>
          </w:p>
        </w:tc>
        <w:tc>
          <w:tcPr>
            <w:tcW w:type="dxa" w:w="2351"/>
          </w:tcPr>
          <w:p>
            <w:r>
              <w:rPr>
                <w:rFonts w:ascii="Meiryo UI" w:hAnsi="Meiryo UI"/>
                <w:sz w:val="18"/>
              </w:rPr>
              <w:t>¥350〜500億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¥1,000〜1,200</w:t>
            </w:r>
          </w:p>
        </w:tc>
        <w:tc>
          <w:tcPr>
            <w:tcW w:type="dxa" w:w="2351"/>
            <w:shd w:val="clear" w:color="auto" w:fill="DDEBF7"/>
          </w:tcPr>
          <w:p>
            <w:r>
              <w:rPr>
                <w:rFonts w:ascii="Meiryo UI" w:hAnsi="Meiryo UI"/>
                <w:sz w:val="18"/>
              </w:rPr>
              <w:t>¥760〜820</w:t>
            </w:r>
          </w:p>
        </w:tc>
        <w:tc>
          <w:tcPr>
            <w:tcW w:type="dxa" w:w="2351"/>
            <w:shd w:val="clear" w:color="auto" w:fill="DDEBF7"/>
          </w:tcPr>
          <w:p>
            <w:r>
              <w:rPr>
                <w:rFonts w:ascii="Meiryo UI" w:hAnsi="Meiryo UI"/>
                <w:sz w:val="18"/>
              </w:rPr>
              <w:t>¥300〜450</w:t>
            </w:r>
          </w:p>
        </w:tc>
      </w:tr>
      <w:tr>
        <w:tc>
          <w:tcPr>
            <w:tcW w:type="dxa" w:w="2351"/>
          </w:tcPr>
          <w:p>
            <w:r>
              <w:rPr>
                <w:rFonts w:ascii="Meiryo UI" w:hAnsi="Meiryo UI"/>
                <w:sz w:val="18"/>
              </w:rPr>
              <w:t>DPS</w:t>
            </w:r>
          </w:p>
        </w:tc>
        <w:tc>
          <w:tcPr>
            <w:tcW w:type="dxa" w:w="2351"/>
          </w:tcPr>
          <w:p>
            <w:r>
              <w:rPr>
                <w:rFonts w:ascii="Meiryo UI" w:hAnsi="Meiryo UI"/>
                <w:sz w:val="18"/>
              </w:rPr>
              <w:t>¥400〜450</w:t>
            </w:r>
          </w:p>
        </w:tc>
        <w:tc>
          <w:tcPr>
            <w:tcW w:type="dxa" w:w="2351"/>
          </w:tcPr>
          <w:p>
            <w:r>
              <w:rPr>
                <w:rFonts w:ascii="Meiryo UI" w:hAnsi="Meiryo UI"/>
                <w:sz w:val="18"/>
              </w:rPr>
              <w:t>¥280〜320</w:t>
            </w:r>
          </w:p>
        </w:tc>
        <w:tc>
          <w:tcPr>
            <w:tcW w:type="dxa" w:w="2351"/>
          </w:tcPr>
          <w:p>
            <w:r>
              <w:rPr>
                <w:rFonts w:ascii="Meiryo UI" w:hAnsi="Meiryo UI"/>
                <w:sz w:val="18"/>
              </w:rPr>
              <w:t>¥150〜200</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7.18%</w:t>
            </w:r>
          </w:p>
        </w:tc>
        <w:tc>
          <w:tcPr>
            <w:tcW w:type="dxa" w:w="2351"/>
            <w:shd w:val="clear" w:color="auto" w:fill="DDEBF7"/>
          </w:tcPr>
          <w:p>
            <w:r>
              <w:rPr>
                <w:rFonts w:ascii="Meiryo UI" w:hAnsi="Meiryo UI"/>
                <w:sz w:val="18"/>
              </w:rPr>
              <w:t>7.18%</w:t>
            </w:r>
          </w:p>
        </w:tc>
        <w:tc>
          <w:tcPr>
            <w:tcW w:type="dxa" w:w="2351"/>
            <w:shd w:val="clear" w:color="auto" w:fill="DDEBF7"/>
          </w:tcPr>
          <w:p>
            <w:r>
              <w:rPr>
                <w:rFonts w:ascii="Meiryo UI" w:hAnsi="Meiryo UI"/>
                <w:sz w:val="18"/>
              </w:rPr>
              <w:t>7.18%</w:t>
            </w:r>
          </w:p>
        </w:tc>
      </w:tr>
      <w:tr>
        <w:tc>
          <w:tcPr>
            <w:tcW w:type="dxa" w:w="2351"/>
          </w:tcPr>
          <w:p>
            <w:r>
              <w:rPr>
                <w:rFonts w:ascii="Meiryo UI" w:hAnsi="Meiryo UI"/>
                <w:sz w:val="18"/>
              </w:rPr>
              <w:t>理論株価（DCF）</w:t>
            </w:r>
          </w:p>
        </w:tc>
        <w:tc>
          <w:tcPr>
            <w:tcW w:type="dxa" w:w="2351"/>
          </w:tcPr>
          <w:p>
            <w:r>
              <w:rPr>
                <w:rFonts w:ascii="Meiryo UI" w:hAnsi="Meiryo UI"/>
                <w:sz w:val="18"/>
              </w:rPr>
              <w:t>¥11,000〜13,000</w:t>
            </w:r>
          </w:p>
        </w:tc>
        <w:tc>
          <w:tcPr>
            <w:tcW w:type="dxa" w:w="2351"/>
          </w:tcPr>
          <w:p>
            <w:r>
              <w:rPr>
                <w:rFonts w:ascii="Meiryo UI" w:hAnsi="Meiryo UI"/>
                <w:sz w:val="18"/>
              </w:rPr>
              <w:t>¥7,500〜8,500</w:t>
            </w:r>
          </w:p>
        </w:tc>
        <w:tc>
          <w:tcPr>
            <w:tcW w:type="dxa" w:w="2351"/>
          </w:tcPr>
          <w:p>
            <w:r>
              <w:rPr>
                <w:rFonts w:ascii="Meiryo UI" w:hAnsi="Meiryo UI"/>
                <w:sz w:val="18"/>
              </w:rPr>
              <w:t>¥3,500〜4,500</w:t>
            </w:r>
          </w:p>
        </w:tc>
      </w:tr>
      <w:tr>
        <w:tc>
          <w:tcPr>
            <w:tcW w:type="dxa" w:w="2351"/>
            <w:shd w:val="clear" w:color="auto" w:fill="DDEBF7"/>
          </w:tcPr>
          <w:p>
            <w:r>
              <w:rPr>
                <w:rFonts w:ascii="Meiryo UI" w:hAnsi="Meiryo UI"/>
                <w:sz w:val="18"/>
              </w:rPr>
              <w:t>目標株価（12M）</w:t>
            </w:r>
          </w:p>
        </w:tc>
        <w:tc>
          <w:tcPr>
            <w:tcW w:type="dxa" w:w="2351"/>
            <w:shd w:val="clear" w:color="auto" w:fill="DDEBF7"/>
          </w:tcPr>
          <w:p>
            <w:r>
              <w:rPr>
                <w:rFonts w:ascii="Meiryo UI" w:hAnsi="Meiryo UI"/>
                <w:sz w:val="18"/>
              </w:rPr>
              <w:t>¥4,500〜5,500</w:t>
            </w:r>
          </w:p>
        </w:tc>
        <w:tc>
          <w:tcPr>
            <w:tcW w:type="dxa" w:w="2351"/>
            <w:shd w:val="clear" w:color="auto" w:fill="DDEBF7"/>
          </w:tcPr>
          <w:p>
            <w:r>
              <w:rPr>
                <w:rFonts w:ascii="Meiryo UI" w:hAnsi="Meiryo UI"/>
                <w:sz w:val="18"/>
              </w:rPr>
              <w:t>¥3,500〜4,500</w:t>
            </w:r>
          </w:p>
        </w:tc>
        <w:tc>
          <w:tcPr>
            <w:tcW w:type="dxa" w:w="2351"/>
            <w:shd w:val="clear" w:color="auto" w:fill="DDEBF7"/>
          </w:tcPr>
          <w:p>
            <w:r>
              <w:rPr>
                <w:rFonts w:ascii="Meiryo UI" w:hAnsi="Meiryo UI"/>
                <w:sz w:val="18"/>
              </w:rPr>
              <w:t>¥2,000〜2,500</w:t>
            </w:r>
          </w:p>
        </w:tc>
      </w:tr>
      <w:tr>
        <w:tc>
          <w:tcPr>
            <w:tcW w:type="dxa" w:w="2351"/>
          </w:tcPr>
          <w:p>
            <w:r>
              <w:rPr>
                <w:rFonts w:ascii="Meiryo UI" w:hAnsi="Meiryo UI"/>
                <w:sz w:val="18"/>
              </w:rPr>
              <w:t>確率ウェイト</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bl>
    <w:p/>
    <w:p>
      <w:pPr>
        <w:shd w:val="clear" w:color="auto" w:fill="F2F2F2"/>
      </w:pPr>
      <w:r>
        <w:rPr>
          <w:rFonts w:ascii="Courier New" w:hAnsi="Courier New"/>
          <w:sz w:val="16"/>
        </w:rPr>
        <w:t>加重平均目標株価：</w:t>
        <w:br/>
        <w:t>= ¥5,000 × 25% + ¥4,000 × 55% + ¥2,250 × 20%</w:t>
        <w:br/>
        <w:t>= ¥1,250 + ¥2,200 + ¥450</w:t>
        <w:br/>
        <w:t>= ¥3,900</w:t>
        <w:br/>
        <w:br/>
        <w:t>→ 加重平均目標株価：¥3,900（現在株価比+44.6%）</w:t>
      </w:r>
    </w:p>
    <w:p/>
    <w:p>
      <w:r>
        <w:t>──────────────────────────────────────────────────</w:t>
      </w:r>
    </w:p>
    <w:p/>
    <w:p>
      <w:pPr>
        <w:pStyle w:val="Heading2"/>
      </w:pPr>
      <w:r>
        <w:rPr>
          <w:rFonts w:ascii="Meiryo UI" w:hAnsi="Meiryo UI"/>
          <w:color w:val="2E74B5"/>
        </w:rPr>
        <w:t>13. 浅井速報との統合評価</w:t>
      </w:r>
    </w:p>
    <w:p/>
    <w:p>
      <w:pPr>
        <w:pStyle w:val="Heading3"/>
      </w:pPr>
      <w:r>
        <w:rPr>
          <w:rFonts w:ascii="Meiryo UI" w:hAnsi="Meiryo UI"/>
          <w:color w:val="2E74B5"/>
        </w:rPr>
        <w:t>13-1. 浅井速報スコア</w:t>
      </w:r>
    </w:p>
    <w:p/>
    <w:p>
      <w:pPr>
        <w:shd w:val="clear" w:color="auto" w:fill="F2F2F2"/>
      </w:pPr>
      <w:r>
        <w:rPr>
          <w:rFonts w:ascii="Courier New" w:hAnsi="Courier New"/>
          <w:sz w:val="16"/>
        </w:rPr>
        <w:t>浅井速報スコア：+0（BUY）</w:t>
        <w:br/>
        <w:t>浅井コメント：株価¥2,698・PBR0.98倍・FY2026/3 3Q</w:t>
      </w:r>
    </w:p>
    <w:p/>
    <w:p>
      <w:pPr>
        <w:pStyle w:val="Heading3"/>
      </w:pPr>
      <w:r>
        <w:rPr>
          <w:rFonts w:ascii="Meiryo UI" w:hAnsi="Meiryo UI"/>
          <w:color w:val="2E74B5"/>
        </w:rPr>
        <w:t>13-2. 深井DCF評価との統合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センチメント</w:t>
            </w:r>
          </w:p>
        </w:tc>
        <w:tc>
          <w:tcPr>
            <w:tcW w:type="dxa" w:w="2351"/>
          </w:tcPr>
          <w:p>
            <w:r>
              <w:rPr>
                <w:rFonts w:ascii="Meiryo UI" w:hAnsi="Meiryo UI"/>
                <w:sz w:val="18"/>
              </w:rPr>
              <w:t>強気（BUY）</w:t>
            </w:r>
          </w:p>
        </w:tc>
        <w:tc>
          <w:tcPr>
            <w:tcW w:type="dxa" w:w="2351"/>
          </w:tcPr>
          <w:p>
            <w:r>
              <w:rPr>
                <w:rFonts w:ascii="Meiryo UI" w:hAnsi="Meiryo UI"/>
                <w:sz w:val="18"/>
              </w:rPr>
              <w:t>—</w:t>
            </w:r>
          </w:p>
        </w:tc>
        <w:tc>
          <w:tcPr>
            <w:tcW w:type="dxa" w:w="2351"/>
          </w:tcPr>
          <w:p>
            <w:r>
              <w:rPr>
                <w:rFonts w:ascii="Meiryo UI" w:hAnsi="Meiryo UI"/>
                <w:sz w:val="18"/>
              </w:rPr>
              <w:t>需給面でサポート</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¥8,166（基本）</w:t>
            </w:r>
          </w:p>
        </w:tc>
        <w:tc>
          <w:tcPr>
            <w:tcW w:type="dxa" w:w="2351"/>
            <w:shd w:val="clear" w:color="auto" w:fill="DDEBF7"/>
          </w:tcPr>
          <w:p>
            <w:r>
              <w:rPr>
                <w:rFonts w:ascii="Meiryo UI" w:hAnsi="Meiryo UI"/>
                <w:sz w:val="18"/>
              </w:rPr>
              <w:t>大幅割安</w:t>
            </w:r>
          </w:p>
        </w:tc>
      </w:tr>
      <w:tr>
        <w:tc>
          <w:tcPr>
            <w:tcW w:type="dxa" w:w="2351"/>
          </w:tcPr>
          <w:p>
            <w:r>
              <w:rPr>
                <w:rFonts w:ascii="Meiryo UI" w:hAnsi="Meiryo UI"/>
                <w:sz w:val="18"/>
              </w:rPr>
              <w:t>PBR乖離</w:t>
            </w:r>
          </w:p>
        </w:tc>
        <w:tc>
          <w:tcPr>
            <w:tcW w:type="dxa" w:w="2351"/>
          </w:tcPr>
          <w:p>
            <w:r>
              <w:rPr>
                <w:rFonts w:ascii="Meiryo UI" w:hAnsi="Meiryo UI"/>
                <w:sz w:val="18"/>
              </w:rPr>
              <w:t>PBR0.98倍（割安示唆）</w:t>
            </w:r>
          </w:p>
        </w:tc>
        <w:tc>
          <w:tcPr>
            <w:tcW w:type="dxa" w:w="2351"/>
          </w:tcPr>
          <w:p>
            <w:r>
              <w:rPr>
                <w:rFonts w:ascii="Meiryo UI" w:hAnsi="Meiryo UI"/>
                <w:sz w:val="18"/>
              </w:rPr>
              <w:t>PBR適正1.5〜2.0倍</w:t>
            </w:r>
          </w:p>
        </w:tc>
        <w:tc>
          <w:tcPr>
            <w:tcW w:type="dxa" w:w="2351"/>
          </w:tcPr>
          <w:p>
            <w:r>
              <w:rPr>
                <w:rFonts w:ascii="Meiryo UI" w:hAnsi="Meiryo UI"/>
                <w:sz w:val="18"/>
              </w:rPr>
              <w:t>一致：割安</w:t>
            </w:r>
          </w:p>
        </w:tc>
      </w:tr>
      <w:tr>
        <w:tc>
          <w:tcPr>
            <w:tcW w:type="dxa" w:w="2351"/>
            <w:shd w:val="clear" w:color="auto" w:fill="DDEBF7"/>
          </w:tcPr>
          <w:p>
            <w:r>
              <w:rPr>
                <w:rFonts w:ascii="Meiryo UI" w:hAnsi="Meiryo UI"/>
                <w:sz w:val="18"/>
              </w:rPr>
              <w:t>運賃市況見通し</w:t>
            </w:r>
          </w:p>
        </w:tc>
        <w:tc>
          <w:tcPr>
            <w:tcW w:type="dxa" w:w="2351"/>
            <w:shd w:val="clear" w:color="auto" w:fill="DDEBF7"/>
          </w:tcPr>
          <w:p>
            <w:r>
              <w:rPr>
                <w:rFonts w:ascii="Meiryo UI" w:hAnsi="Meiryo UI"/>
                <w:sz w:val="18"/>
              </w:rPr>
              <w:t>楽観的</w:t>
            </w:r>
          </w:p>
        </w:tc>
        <w:tc>
          <w:tcPr>
            <w:tcW w:type="dxa" w:w="2351"/>
            <w:shd w:val="clear" w:color="auto" w:fill="DDEBF7"/>
          </w:tcPr>
          <w:p>
            <w:r>
              <w:rPr>
                <w:rFonts w:ascii="Meiryo UI" w:hAnsi="Meiryo UI"/>
                <w:sz w:val="18"/>
              </w:rPr>
              <w:t>中立（基本シナリオ）</w:t>
            </w:r>
          </w:p>
        </w:tc>
        <w:tc>
          <w:tcPr>
            <w:tcW w:type="dxa" w:w="2351"/>
            <w:shd w:val="clear" w:color="auto" w:fill="DDEBF7"/>
          </w:tcPr>
          <w:p>
            <w:r>
              <w:rPr>
                <w:rFonts w:ascii="Meiryo UI" w:hAnsi="Meiryo UI"/>
                <w:sz w:val="18"/>
              </w:rPr>
              <w:t>若干ギャップ</w:t>
            </w:r>
          </w:p>
        </w:tc>
      </w:tr>
      <w:tr>
        <w:tc>
          <w:tcPr>
            <w:tcW w:type="dxa" w:w="2351"/>
          </w:tcPr>
          <w:p>
            <w:r>
              <w:rPr>
                <w:rFonts w:ascii="Meiryo UI" w:hAnsi="Meiryo UI"/>
                <w:sz w:val="18"/>
              </w:rPr>
              <w:t>投資判断</w:t>
            </w:r>
          </w:p>
        </w:tc>
        <w:tc>
          <w:tcPr>
            <w:tcW w:type="dxa" w:w="2351"/>
          </w:tcPr>
          <w:p>
            <w:r>
              <w:rPr>
                <w:rFonts w:ascii="Meiryo UI" w:hAnsi="Meiryo UI"/>
                <w:sz w:val="18"/>
              </w:rPr>
              <w:t>BUY</w:t>
            </w:r>
          </w:p>
        </w:tc>
        <w:tc>
          <w:tcPr>
            <w:tcW w:type="dxa" w:w="2351"/>
          </w:tcPr>
          <w:p>
            <w:r>
              <w:rPr>
                <w:rFonts w:ascii="Meiryo UI" w:hAnsi="Meiryo UI"/>
                <w:sz w:val="18"/>
              </w:rPr>
              <w:t>STRONG BUY</w:t>
            </w:r>
          </w:p>
        </w:tc>
        <w:tc>
          <w:tcPr>
            <w:tcW w:type="dxa" w:w="2351"/>
          </w:tcPr>
          <w:p>
            <w:r>
              <w:rPr>
                <w:rFonts w:ascii="Meiryo UI" w:hAnsi="Meiryo UI"/>
                <w:sz w:val="18"/>
              </w:rPr>
              <w:t>STRONG BUY</w:t>
            </w:r>
          </w:p>
        </w:tc>
      </w:tr>
    </w:tbl>
    <w:p/>
    <w:p>
      <w:pPr>
        <w:pStyle w:val="Heading3"/>
      </w:pPr>
      <w:r>
        <w:rPr>
          <w:rFonts w:ascii="Meiryo UI" w:hAnsi="Meiryo UI"/>
          <w:color w:val="2E74B5"/>
        </w:rPr>
        <w:t>13-3. センチメント vs 本源的価値のギャップ</w:t>
      </w:r>
    </w:p>
    <w:p/>
    <w:p>
      <w:pPr>
        <w:shd w:val="clear" w:color="auto" w:fill="F2F2F2"/>
      </w:pPr>
      <w:r>
        <w:rPr>
          <w:rFonts w:ascii="Courier New" w:hAnsi="Courier New"/>
          <w:sz w:val="16"/>
        </w:rPr>
        <w:t>【ギャップの原因】</w:t>
        <w:br/>
        <w:t>市場センチメント（¥2,698）vs DCF本源価値（¥8,166）の乖離：▲67%</w:t>
        <w:br/>
        <w:br/>
        <w:t>主因：</w:t>
        <w:br/>
        <w:t>① 海運シクリカル株の構造的な割引（P/B&lt;1は業界慣行）</w:t>
        <w:br/>
        <w:t>② ONEの持分法会計による「利益の視認性の低さ」</w:t>
        <w:br/>
        <w:t>③ 中国景気・紅海の先行き不透明感</w:t>
        <w:br/>
        <w:t>④ Rf上昇局面での高β株への売り圧力</w:t>
        <w:br/>
        <w:br/>
        <w:t>【正常化の条件】</w:t>
        <w:br/>
        <w:t>① ONE連続配当実績の積み上げ（3〜5年）</w:t>
        <w:br/>
        <w:t>② DOE政策の明文化と実行</w:t>
        <w:br/>
        <w:t>③ 世界貿易量の安定回復</w:t>
        <w:br/>
        <w:t>→ これらが揃えば¥4,500〜5,500への水準訂正は現実的</w:t>
      </w:r>
    </w:p>
    <w:p/>
    <w:p>
      <w:r>
        <w:t>──────────────────────────────────────────────────</w:t>
      </w:r>
    </w:p>
    <w:p/>
    <w:p>
      <w:pPr>
        <w:pStyle w:val="Heading2"/>
      </w:pPr>
      <w:r>
        <w:rPr>
          <w:rFonts w:ascii="Meiryo UI" w:hAnsi="Meiryo UI"/>
          <w:color w:val="2E74B5"/>
        </w:rPr>
        <w:t>14. 感応度テーブル（Rf±変動）</w:t>
      </w:r>
    </w:p>
    <w:p/>
    <w:p>
      <w:pPr>
        <w:pStyle w:val="Heading3"/>
      </w:pPr>
      <w:r>
        <w:rPr>
          <w:rFonts w:ascii="Meiryo UI" w:hAnsi="Meiryo UI"/>
          <w:color w:val="2E74B5"/>
        </w:rPr>
        <w:t>WACC再計算式</w:t>
      </w:r>
    </w:p>
    <w:p/>
    <w:p>
      <w:pPr>
        <w:shd w:val="clear" w:color="auto" w:fill="F2F2F2"/>
      </w:pPr>
      <w:r>
        <w:rPr>
          <w:rFonts w:ascii="Courier New" w:hAnsi="Courier New"/>
          <w:sz w:val="16"/>
        </w:rPr>
        <w:t>Re = Rf + β(1.30) × ERP(5.50%)</w:t>
        <w:br/>
        <w:t>WACC = 0.69 × Re + 0.31 × 2.80% × (1-0.30)</w:t>
        <w:br/>
        <w:t xml:space="preserve">     = 0.69 × Re + 0.607%</w:t>
      </w:r>
    </w:p>
    <w:p/>
    <w:p>
      <w:pPr>
        <w:pStyle w:val="Heading3"/>
      </w:pPr>
      <w:r>
        <w:rPr>
          <w:rFonts w:ascii="Meiryo UI" w:hAnsi="Meiryo UI"/>
          <w:color w:val="2E74B5"/>
        </w:rPr>
        <w:t>14-1. Rf変動→WACC→理論株価感応度テーブル</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TV計算※</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現在値¥2,698比乖離率</w:t>
            </w:r>
          </w:p>
        </w:tc>
      </w:tr>
      <w:tr>
        <w:tc>
          <w:tcPr>
            <w:tcW w:type="dxa" w:w="1344"/>
          </w:tcPr>
          <w:p>
            <w:r>
              <w:rPr>
                <w:rFonts w:ascii="Meiryo UI" w:hAnsi="Meiryo UI"/>
                <w:sz w:val="18"/>
              </w:rPr>
              <w:t>Rf▲1.00%</w:t>
            </w:r>
          </w:p>
        </w:tc>
        <w:tc>
          <w:tcPr>
            <w:tcW w:type="dxa" w:w="1344"/>
          </w:tcPr>
          <w:p>
            <w:r>
              <w:rPr>
                <w:rFonts w:ascii="Meiryo UI" w:hAnsi="Meiryo UI"/>
                <w:sz w:val="18"/>
              </w:rPr>
              <w:t>1.380%</w:t>
            </w:r>
          </w:p>
        </w:tc>
        <w:tc>
          <w:tcPr>
            <w:tcW w:type="dxa" w:w="1344"/>
          </w:tcPr>
          <w:p>
            <w:r>
              <w:rPr>
                <w:rFonts w:ascii="Meiryo UI" w:hAnsi="Meiryo UI"/>
                <w:sz w:val="18"/>
              </w:rPr>
              <w:t>8.53%</w:t>
            </w:r>
          </w:p>
        </w:tc>
        <w:tc>
          <w:tcPr>
            <w:tcW w:type="dxa" w:w="1344"/>
          </w:tcPr>
          <w:p>
            <w:r>
              <w:rPr>
                <w:rFonts w:ascii="Meiryo UI" w:hAnsi="Meiryo UI"/>
                <w:sz w:val="18"/>
              </w:rPr>
              <w:t>6.49%</w:t>
            </w:r>
          </w:p>
        </w:tc>
        <w:tc>
          <w:tcPr>
            <w:tcW w:type="dxa" w:w="1344"/>
          </w:tcPr>
          <w:p>
            <w:r>
              <w:rPr>
                <w:rFonts w:ascii="Meiryo UI" w:hAnsi="Meiryo UI"/>
                <w:sz w:val="18"/>
              </w:rPr>
              <w:t>1,054÷0.0549</w:t>
            </w:r>
          </w:p>
        </w:tc>
        <w:tc>
          <w:tcPr>
            <w:tcW w:type="dxa" w:w="1344"/>
          </w:tcPr>
          <w:p>
            <w:r>
              <w:rPr>
                <w:rFonts w:ascii="Meiryo UI" w:hAnsi="Meiryo UI"/>
                <w:sz w:val="18"/>
              </w:rPr>
              <w:t>¥9,673</w:t>
            </w:r>
          </w:p>
        </w:tc>
        <w:tc>
          <w:tcPr>
            <w:tcW w:type="dxa" w:w="1344"/>
          </w:tcPr>
          <w:p>
            <w:r>
              <w:rPr>
                <w:rFonts w:ascii="Meiryo UI" w:hAnsi="Meiryo UI"/>
                <w:sz w:val="18"/>
              </w:rPr>
              <w:t>+258.5%</w:t>
            </w:r>
          </w:p>
        </w:tc>
      </w:tr>
      <w:tr>
        <w:tc>
          <w:tcPr>
            <w:tcW w:type="dxa" w:w="1344"/>
            <w:shd w:val="clear" w:color="auto" w:fill="DDEBF7"/>
          </w:tcPr>
          <w:p>
            <w:r>
              <w:rPr>
                <w:rFonts w:ascii="Meiryo UI" w:hAnsi="Meiryo UI"/>
                <w:sz w:val="18"/>
              </w:rPr>
              <w:t>Rf▲0.50%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9.03%</w:t>
            </w:r>
          </w:p>
        </w:tc>
        <w:tc>
          <w:tcPr>
            <w:tcW w:type="dxa" w:w="1344"/>
            <w:shd w:val="clear" w:color="auto" w:fill="DDEBF7"/>
          </w:tcPr>
          <w:p>
            <w:r>
              <w:rPr>
                <w:rFonts w:ascii="Meiryo UI" w:hAnsi="Meiryo UI"/>
                <w:sz w:val="18"/>
              </w:rPr>
              <w:t>6.84%</w:t>
            </w:r>
          </w:p>
        </w:tc>
        <w:tc>
          <w:tcPr>
            <w:tcW w:type="dxa" w:w="1344"/>
            <w:shd w:val="clear" w:color="auto" w:fill="DDEBF7"/>
          </w:tcPr>
          <w:p>
            <w:r>
              <w:rPr>
                <w:rFonts w:ascii="Meiryo UI" w:hAnsi="Meiryo UI"/>
                <w:sz w:val="18"/>
              </w:rPr>
              <w:t>1,054÷0.0584</w:t>
            </w:r>
          </w:p>
        </w:tc>
        <w:tc>
          <w:tcPr>
            <w:tcW w:type="dxa" w:w="1344"/>
            <w:shd w:val="clear" w:color="auto" w:fill="DDEBF7"/>
          </w:tcPr>
          <w:p>
            <w:r>
              <w:rPr>
                <w:rFonts w:ascii="Meiryo UI" w:hAnsi="Meiryo UI"/>
                <w:sz w:val="18"/>
              </w:rPr>
              <w:t>¥8,799</w:t>
            </w:r>
          </w:p>
        </w:tc>
        <w:tc>
          <w:tcPr>
            <w:tcW w:type="dxa" w:w="1344"/>
            <w:shd w:val="clear" w:color="auto" w:fill="DDEBF7"/>
          </w:tcPr>
          <w:p>
            <w:r>
              <w:rPr>
                <w:rFonts w:ascii="Meiryo UI" w:hAnsi="Meiryo UI"/>
                <w:sz w:val="18"/>
              </w:rPr>
              <w:t>+226.1%</w:t>
            </w:r>
          </w:p>
        </w:tc>
      </w:tr>
      <w:tr>
        <w:tc>
          <w:tcPr>
            <w:tcW w:type="dxa" w:w="1344"/>
          </w:tcPr>
          <w:p>
            <w:r>
              <w:rPr>
                <w:rFonts w:ascii="Meiryo UI" w:hAnsi="Meiryo UI"/>
                <w:sz w:val="18"/>
              </w:rPr>
              <w:t>Rf▲0.25%</w:t>
            </w:r>
          </w:p>
        </w:tc>
        <w:tc>
          <w:tcPr>
            <w:tcW w:type="dxa" w:w="1344"/>
          </w:tcPr>
          <w:p>
            <w:r>
              <w:rPr>
                <w:rFonts w:ascii="Meiryo UI" w:hAnsi="Meiryo UI"/>
                <w:sz w:val="18"/>
              </w:rPr>
              <w:t>2.130%</w:t>
            </w:r>
          </w:p>
        </w:tc>
        <w:tc>
          <w:tcPr>
            <w:tcW w:type="dxa" w:w="1344"/>
          </w:tcPr>
          <w:p>
            <w:r>
              <w:rPr>
                <w:rFonts w:ascii="Meiryo UI" w:hAnsi="Meiryo UI"/>
                <w:sz w:val="18"/>
              </w:rPr>
              <w:t>9.28%</w:t>
            </w:r>
          </w:p>
        </w:tc>
        <w:tc>
          <w:tcPr>
            <w:tcW w:type="dxa" w:w="1344"/>
          </w:tcPr>
          <w:p>
            <w:r>
              <w:rPr>
                <w:rFonts w:ascii="Meiryo UI" w:hAnsi="Meiryo UI"/>
                <w:sz w:val="18"/>
              </w:rPr>
              <w:t>7.01%</w:t>
            </w:r>
          </w:p>
        </w:tc>
        <w:tc>
          <w:tcPr>
            <w:tcW w:type="dxa" w:w="1344"/>
          </w:tcPr>
          <w:p>
            <w:r>
              <w:rPr>
                <w:rFonts w:ascii="Meiryo UI" w:hAnsi="Meiryo UI"/>
                <w:sz w:val="18"/>
              </w:rPr>
              <w:t>1,054÷0.0601</w:t>
            </w:r>
          </w:p>
        </w:tc>
        <w:tc>
          <w:tcPr>
            <w:tcW w:type="dxa" w:w="1344"/>
          </w:tcPr>
          <w:p>
            <w:r>
              <w:rPr>
                <w:rFonts w:ascii="Meiryo UI" w:hAnsi="Meiryo UI"/>
                <w:sz w:val="18"/>
              </w:rPr>
              <w:t>¥8,476</w:t>
            </w:r>
          </w:p>
        </w:tc>
        <w:tc>
          <w:tcPr>
            <w:tcW w:type="dxa" w:w="1344"/>
          </w:tcPr>
          <w:p>
            <w:r>
              <w:rPr>
                <w:rFonts w:ascii="Meiryo UI" w:hAnsi="Meiryo UI"/>
                <w:sz w:val="18"/>
              </w:rPr>
              <w:t>+214.2%</w:t>
            </w:r>
          </w:p>
        </w:tc>
      </w:tr>
      <w:tr>
        <w:tc>
          <w:tcPr>
            <w:tcW w:type="dxa" w:w="1344"/>
            <w:shd w:val="clear" w:color="auto" w:fill="DDEBF7"/>
          </w:tcPr>
          <w:p>
            <w:r>
              <w:rPr>
                <w:rFonts w:ascii="Meiryo UI" w:hAnsi="Meiryo UI"/>
                <w:sz w:val="18"/>
              </w:rPr>
              <w:t>基準（現状）</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9.53%</w:t>
            </w:r>
          </w:p>
        </w:tc>
        <w:tc>
          <w:tcPr>
            <w:tcW w:type="dxa" w:w="1344"/>
            <w:shd w:val="clear" w:color="auto" w:fill="DDEBF7"/>
          </w:tcPr>
          <w:p>
            <w:r>
              <w:rPr>
                <w:rFonts w:ascii="Meiryo UI" w:hAnsi="Meiryo UI"/>
                <w:sz w:val="18"/>
              </w:rPr>
              <w:t>7.18%</w:t>
            </w:r>
          </w:p>
        </w:tc>
        <w:tc>
          <w:tcPr>
            <w:tcW w:type="dxa" w:w="1344"/>
            <w:shd w:val="clear" w:color="auto" w:fill="DDEBF7"/>
          </w:tcPr>
          <w:p>
            <w:r>
              <w:rPr>
                <w:rFonts w:ascii="Meiryo UI" w:hAnsi="Meiryo UI"/>
                <w:sz w:val="18"/>
              </w:rPr>
              <w:t>1,054÷0.0618</w:t>
            </w:r>
          </w:p>
        </w:tc>
        <w:tc>
          <w:tcPr>
            <w:tcW w:type="dxa" w:w="1344"/>
            <w:shd w:val="clear" w:color="auto" w:fill="DDEBF7"/>
          </w:tcPr>
          <w:p>
            <w:r>
              <w:rPr>
                <w:rFonts w:ascii="Meiryo UI" w:hAnsi="Meiryo UI"/>
                <w:sz w:val="18"/>
              </w:rPr>
              <w:t>¥8,166</w:t>
            </w:r>
          </w:p>
        </w:tc>
        <w:tc>
          <w:tcPr>
            <w:tcW w:type="dxa" w:w="1344"/>
            <w:shd w:val="clear" w:color="auto" w:fill="DDEBF7"/>
          </w:tcPr>
          <w:p>
            <w:r>
              <w:rPr>
                <w:rFonts w:ascii="Meiryo UI" w:hAnsi="Meiryo UI"/>
                <w:sz w:val="18"/>
              </w:rPr>
              <w:t>+202.7%</w:t>
            </w:r>
          </w:p>
        </w:tc>
      </w:tr>
      <w:tr>
        <w:tc>
          <w:tcPr>
            <w:tcW w:type="dxa" w:w="1344"/>
          </w:tcPr>
          <w:p>
            <w:r>
              <w:rPr>
                <w:rFonts w:ascii="Meiryo UI" w:hAnsi="Meiryo UI"/>
                <w:sz w:val="18"/>
              </w:rPr>
              <w:t>Rf＋0.25%</w:t>
            </w:r>
          </w:p>
        </w:tc>
        <w:tc>
          <w:tcPr>
            <w:tcW w:type="dxa" w:w="1344"/>
          </w:tcPr>
          <w:p>
            <w:r>
              <w:rPr>
                <w:rFonts w:ascii="Meiryo UI" w:hAnsi="Meiryo UI"/>
                <w:sz w:val="18"/>
              </w:rPr>
              <w:t>2.630%</w:t>
            </w:r>
          </w:p>
        </w:tc>
        <w:tc>
          <w:tcPr>
            <w:tcW w:type="dxa" w:w="1344"/>
          </w:tcPr>
          <w:p>
            <w:r>
              <w:rPr>
                <w:rFonts w:ascii="Meiryo UI" w:hAnsi="Meiryo UI"/>
                <w:sz w:val="18"/>
              </w:rPr>
              <w:t>9.78%</w:t>
            </w:r>
          </w:p>
        </w:tc>
        <w:tc>
          <w:tcPr>
            <w:tcW w:type="dxa" w:w="1344"/>
          </w:tcPr>
          <w:p>
            <w:r>
              <w:rPr>
                <w:rFonts w:ascii="Meiryo UI" w:hAnsi="Meiryo UI"/>
                <w:sz w:val="18"/>
              </w:rPr>
              <w:t>7.36%</w:t>
            </w:r>
          </w:p>
        </w:tc>
        <w:tc>
          <w:tcPr>
            <w:tcW w:type="dxa" w:w="1344"/>
          </w:tcPr>
          <w:p>
            <w:r>
              <w:rPr>
                <w:rFonts w:ascii="Meiryo UI" w:hAnsi="Meiryo UI"/>
                <w:sz w:val="18"/>
              </w:rPr>
              <w:t>1,054÷0.0636</w:t>
            </w:r>
          </w:p>
        </w:tc>
        <w:tc>
          <w:tcPr>
            <w:tcW w:type="dxa" w:w="1344"/>
          </w:tcPr>
          <w:p>
            <w:r>
              <w:rPr>
                <w:rFonts w:ascii="Meiryo UI" w:hAnsi="Meiryo UI"/>
                <w:sz w:val="18"/>
              </w:rPr>
              <w:t>¥7,809</w:t>
            </w:r>
          </w:p>
        </w:tc>
        <w:tc>
          <w:tcPr>
            <w:tcW w:type="dxa" w:w="1344"/>
          </w:tcPr>
          <w:p>
            <w:r>
              <w:rPr>
                <w:rFonts w:ascii="Meiryo UI" w:hAnsi="Meiryo UI"/>
                <w:sz w:val="18"/>
              </w:rPr>
              <w:t>+189.4%</w:t>
            </w:r>
          </w:p>
        </w:tc>
      </w:tr>
      <w:tr>
        <w:tc>
          <w:tcPr>
            <w:tcW w:type="dxa" w:w="1344"/>
            <w:shd w:val="clear" w:color="auto" w:fill="DDEBF7"/>
          </w:tcPr>
          <w:p>
            <w:r>
              <w:rPr>
                <w:rFonts w:ascii="Meiryo UI" w:hAnsi="Meiryo UI"/>
                <w:sz w:val="18"/>
              </w:rPr>
              <w:t>Rf＋0.50%</w:t>
            </w:r>
          </w:p>
        </w:tc>
        <w:tc>
          <w:tcPr>
            <w:tcW w:type="dxa" w:w="1344"/>
            <w:shd w:val="clear" w:color="auto" w:fill="DDEBF7"/>
          </w:tcPr>
          <w:p>
            <w:r>
              <w:rPr>
                <w:rFonts w:ascii="Meiryo UI" w:hAnsi="Meiryo UI"/>
                <w:sz w:val="18"/>
              </w:rPr>
              <w:t>2.880%</w:t>
            </w:r>
          </w:p>
        </w:tc>
        <w:tc>
          <w:tcPr>
            <w:tcW w:type="dxa" w:w="1344"/>
            <w:shd w:val="clear" w:color="auto" w:fill="DDEBF7"/>
          </w:tcPr>
          <w:p>
            <w:r>
              <w:rPr>
                <w:rFonts w:ascii="Meiryo UI" w:hAnsi="Meiryo UI"/>
                <w:sz w:val="18"/>
              </w:rPr>
              <w:t>10.03%</w:t>
            </w:r>
          </w:p>
        </w:tc>
        <w:tc>
          <w:tcPr>
            <w:tcW w:type="dxa" w:w="1344"/>
            <w:shd w:val="clear" w:color="auto" w:fill="DDEBF7"/>
          </w:tcPr>
          <w:p>
            <w:r>
              <w:rPr>
                <w:rFonts w:ascii="Meiryo UI" w:hAnsi="Meiryo UI"/>
                <w:sz w:val="18"/>
              </w:rPr>
              <w:t>7.53%</w:t>
            </w:r>
          </w:p>
        </w:tc>
        <w:tc>
          <w:tcPr>
            <w:tcW w:type="dxa" w:w="1344"/>
            <w:shd w:val="clear" w:color="auto" w:fill="DDEBF7"/>
          </w:tcPr>
          <w:p>
            <w:r>
              <w:rPr>
                <w:rFonts w:ascii="Meiryo UI" w:hAnsi="Meiryo UI"/>
                <w:sz w:val="18"/>
              </w:rPr>
              <w:t>1,054÷0.0653</w:t>
            </w:r>
          </w:p>
        </w:tc>
        <w:tc>
          <w:tcPr>
            <w:tcW w:type="dxa" w:w="1344"/>
            <w:shd w:val="clear" w:color="auto" w:fill="DDEBF7"/>
          </w:tcPr>
          <w:p>
            <w:r>
              <w:rPr>
                <w:rFonts w:ascii="Meiryo UI" w:hAnsi="Meiryo UI"/>
                <w:sz w:val="18"/>
              </w:rPr>
              <w:t>¥7,537</w:t>
            </w:r>
          </w:p>
        </w:tc>
        <w:tc>
          <w:tcPr>
            <w:tcW w:type="dxa" w:w="1344"/>
            <w:shd w:val="clear" w:color="auto" w:fill="DDEBF7"/>
          </w:tcPr>
          <w:p>
            <w:r>
              <w:rPr>
                <w:rFonts w:ascii="Meiryo UI" w:hAnsi="Meiryo UI"/>
                <w:sz w:val="18"/>
              </w:rPr>
              <w:t>+179.4%</w:t>
            </w:r>
          </w:p>
        </w:tc>
      </w:tr>
      <w:tr>
        <w:tc>
          <w:tcPr>
            <w:tcW w:type="dxa" w:w="1344"/>
          </w:tcPr>
          <w:p>
            <w:r>
              <w:rPr>
                <w:rFonts w:ascii="Meiryo UI" w:hAnsi="Meiryo UI"/>
                <w:sz w:val="18"/>
              </w:rPr>
              <w:t>Rf＋1.00%</w:t>
            </w:r>
          </w:p>
        </w:tc>
        <w:tc>
          <w:tcPr>
            <w:tcW w:type="dxa" w:w="1344"/>
          </w:tcPr>
          <w:p>
            <w:r>
              <w:rPr>
                <w:rFonts w:ascii="Meiryo UI" w:hAnsi="Meiryo UI"/>
                <w:sz w:val="18"/>
              </w:rPr>
              <w:t>3.380%</w:t>
            </w:r>
          </w:p>
        </w:tc>
        <w:tc>
          <w:tcPr>
            <w:tcW w:type="dxa" w:w="1344"/>
          </w:tcPr>
          <w:p>
            <w:r>
              <w:rPr>
                <w:rFonts w:ascii="Meiryo UI" w:hAnsi="Meiryo UI"/>
                <w:sz w:val="18"/>
              </w:rPr>
              <w:t>10.53%</w:t>
            </w:r>
          </w:p>
        </w:tc>
        <w:tc>
          <w:tcPr>
            <w:tcW w:type="dxa" w:w="1344"/>
          </w:tcPr>
          <w:p>
            <w:r>
              <w:rPr>
                <w:rFonts w:ascii="Meiryo UI" w:hAnsi="Meiryo UI"/>
                <w:sz w:val="18"/>
              </w:rPr>
              <w:t>7.89%</w:t>
            </w:r>
          </w:p>
        </w:tc>
        <w:tc>
          <w:tcPr>
            <w:tcW w:type="dxa" w:w="1344"/>
          </w:tcPr>
          <w:p>
            <w:r>
              <w:rPr>
                <w:rFonts w:ascii="Meiryo UI" w:hAnsi="Meiryo UI"/>
                <w:sz w:val="18"/>
              </w:rPr>
              <w:t>1,054÷0.0689</w:t>
            </w:r>
          </w:p>
        </w:tc>
        <w:tc>
          <w:tcPr>
            <w:tcW w:type="dxa" w:w="1344"/>
          </w:tcPr>
          <w:p>
            <w:r>
              <w:rPr>
                <w:rFonts w:ascii="Meiryo UI" w:hAnsi="Meiryo UI"/>
                <w:sz w:val="18"/>
              </w:rPr>
              <w:t>¥7,038</w:t>
            </w:r>
          </w:p>
        </w:tc>
        <w:tc>
          <w:tcPr>
            <w:tcW w:type="dxa" w:w="1344"/>
          </w:tcPr>
          <w:p>
            <w:r>
              <w:rPr>
                <w:rFonts w:ascii="Meiryo UI" w:hAnsi="Meiryo UI"/>
                <w:sz w:val="18"/>
              </w:rPr>
              <w:t>+160.9%</w:t>
            </w:r>
          </w:p>
        </w:tc>
      </w:tr>
    </w:tbl>
    <w:p/>
    <w:p>
      <w:r>
        <w:rPr>
          <w:rFonts w:ascii="Meiryo UI" w:hAnsi="Meiryo UI"/>
          <w:sz w:val="20"/>
        </w:rPr>
        <w:t>&gt; ※ TV = FCF_2032(¥1,054億) ÷ (WACC - g=1.0%)。PV合計は近似維持。株主価値 = TV現在価値+4,001億-2,100億（ネットD）÷1.71億株。テーブルはWACCの変動が理論株価に与える方向性を主軸に整理。</w:t>
      </w:r>
    </w:p>
    <w:p/>
    <w:p>
      <w:pPr>
        <w:pStyle w:val="Heading3"/>
      </w:pPr>
      <w:r>
        <w:rPr>
          <w:rFonts w:ascii="Meiryo UI" w:hAnsi="Meiryo UI"/>
          <w:color w:val="2E74B5"/>
        </w:rPr>
        <w:t>14-2. 感応度テーブル（完全形式）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Rf▲1.00%</w:t>
            </w:r>
          </w:p>
        </w:tc>
        <w:tc>
          <w:tcPr>
            <w:tcW w:type="dxa" w:w="1881"/>
          </w:tcPr>
          <w:p>
            <w:r>
              <w:rPr>
                <w:rFonts w:ascii="Meiryo UI" w:hAnsi="Meiryo UI"/>
                <w:sz w:val="18"/>
              </w:rPr>
              <w:t>1.380%</w:t>
            </w:r>
          </w:p>
        </w:tc>
        <w:tc>
          <w:tcPr>
            <w:tcW w:type="dxa" w:w="1881"/>
          </w:tcPr>
          <w:p>
            <w:r>
              <w:rPr>
                <w:rFonts w:ascii="Meiryo UI" w:hAnsi="Meiryo UI"/>
                <w:sz w:val="18"/>
              </w:rPr>
              <w:t>6.49%</w:t>
            </w:r>
          </w:p>
        </w:tc>
        <w:tc>
          <w:tcPr>
            <w:tcW w:type="dxa" w:w="1881"/>
          </w:tcPr>
          <w:p>
            <w:r>
              <w:rPr>
                <w:rFonts w:ascii="Meiryo UI" w:hAnsi="Meiryo UI"/>
                <w:sz w:val="18"/>
              </w:rPr>
              <w:t>¥9,673</w:t>
            </w:r>
          </w:p>
        </w:tc>
        <w:tc>
          <w:tcPr>
            <w:tcW w:type="dxa" w:w="1881"/>
          </w:tcPr>
          <w:p>
            <w:r>
              <w:rPr>
                <w:rFonts w:ascii="Meiryo UI" w:hAnsi="Meiryo UI"/>
                <w:sz w:val="18"/>
              </w:rPr>
              <w:t>+258.5%</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1.880%</w:t>
            </w:r>
          </w:p>
        </w:tc>
        <w:tc>
          <w:tcPr>
            <w:tcW w:type="dxa" w:w="1881"/>
            <w:shd w:val="clear" w:color="auto" w:fill="DDEBF7"/>
          </w:tcPr>
          <w:p>
            <w:r>
              <w:rPr>
                <w:rFonts w:ascii="Meiryo UI" w:hAnsi="Meiryo UI"/>
                <w:sz w:val="18"/>
              </w:rPr>
              <w:t>6.84%</w:t>
            </w:r>
          </w:p>
        </w:tc>
        <w:tc>
          <w:tcPr>
            <w:tcW w:type="dxa" w:w="1881"/>
            <w:shd w:val="clear" w:color="auto" w:fill="DDEBF7"/>
          </w:tcPr>
          <w:p>
            <w:r>
              <w:rPr>
                <w:rFonts w:ascii="Meiryo UI" w:hAnsi="Meiryo UI"/>
                <w:sz w:val="18"/>
              </w:rPr>
              <w:t>¥8,799</w:t>
            </w:r>
          </w:p>
        </w:tc>
        <w:tc>
          <w:tcPr>
            <w:tcW w:type="dxa" w:w="1881"/>
            <w:shd w:val="clear" w:color="auto" w:fill="DDEBF7"/>
          </w:tcPr>
          <w:p>
            <w:r>
              <w:rPr>
                <w:rFonts w:ascii="Meiryo UI" w:hAnsi="Meiryo UI"/>
                <w:sz w:val="18"/>
              </w:rPr>
              <w:t>+226.1%</w:t>
            </w:r>
          </w:p>
        </w:tc>
      </w:tr>
      <w:tr>
        <w:tc>
          <w:tcPr>
            <w:tcW w:type="dxa" w:w="1881"/>
          </w:tcPr>
          <w:p>
            <w:r>
              <w:rPr>
                <w:rFonts w:ascii="Meiryo UI" w:hAnsi="Meiryo UI"/>
                <w:sz w:val="18"/>
              </w:rPr>
              <w:t>Rf▲0.25%</w:t>
            </w:r>
          </w:p>
        </w:tc>
        <w:tc>
          <w:tcPr>
            <w:tcW w:type="dxa" w:w="1881"/>
          </w:tcPr>
          <w:p>
            <w:r>
              <w:rPr>
                <w:rFonts w:ascii="Meiryo UI" w:hAnsi="Meiryo UI"/>
                <w:sz w:val="18"/>
              </w:rPr>
              <w:t>2.130%</w:t>
            </w:r>
          </w:p>
        </w:tc>
        <w:tc>
          <w:tcPr>
            <w:tcW w:type="dxa" w:w="1881"/>
          </w:tcPr>
          <w:p>
            <w:r>
              <w:rPr>
                <w:rFonts w:ascii="Meiryo UI" w:hAnsi="Meiryo UI"/>
                <w:sz w:val="18"/>
              </w:rPr>
              <w:t>7.01%</w:t>
            </w:r>
          </w:p>
        </w:tc>
        <w:tc>
          <w:tcPr>
            <w:tcW w:type="dxa" w:w="1881"/>
          </w:tcPr>
          <w:p>
            <w:r>
              <w:rPr>
                <w:rFonts w:ascii="Meiryo UI" w:hAnsi="Meiryo UI"/>
                <w:sz w:val="18"/>
              </w:rPr>
              <w:t>¥8,476</w:t>
            </w:r>
          </w:p>
        </w:tc>
        <w:tc>
          <w:tcPr>
            <w:tcW w:type="dxa" w:w="1881"/>
          </w:tcPr>
          <w:p>
            <w:r>
              <w:rPr>
                <w:rFonts w:ascii="Meiryo UI" w:hAnsi="Meiryo UI"/>
                <w:sz w:val="18"/>
              </w:rPr>
              <w:t>+214.2%</w:t>
            </w:r>
          </w:p>
        </w:tc>
      </w:tr>
      <w:tr>
        <w:tc>
          <w:tcPr>
            <w:tcW w:type="dxa" w:w="1881"/>
            <w:shd w:val="clear" w:color="auto" w:fill="DDEBF7"/>
          </w:tcPr>
          <w:p>
            <w:r>
              <w:rPr>
                <w:rFonts w:ascii="Meiryo UI" w:hAnsi="Meiryo UI"/>
                <w:sz w:val="18"/>
              </w:rPr>
              <w:t>Rf基準</w:t>
            </w:r>
          </w:p>
        </w:tc>
        <w:tc>
          <w:tcPr>
            <w:tcW w:type="dxa" w:w="1881"/>
            <w:shd w:val="clear" w:color="auto" w:fill="DDEBF7"/>
          </w:tcPr>
          <w:p>
            <w:r>
              <w:rPr>
                <w:rFonts w:ascii="Meiryo UI" w:hAnsi="Meiryo UI"/>
                <w:sz w:val="18"/>
              </w:rPr>
              <w:t>2.380%</w:t>
            </w:r>
          </w:p>
        </w:tc>
        <w:tc>
          <w:tcPr>
            <w:tcW w:type="dxa" w:w="1881"/>
            <w:shd w:val="clear" w:color="auto" w:fill="DDEBF7"/>
          </w:tcPr>
          <w:p>
            <w:r>
              <w:rPr>
                <w:rFonts w:ascii="Meiryo UI" w:hAnsi="Meiryo UI"/>
                <w:sz w:val="18"/>
              </w:rPr>
              <w:t>7.18%</w:t>
            </w:r>
          </w:p>
        </w:tc>
        <w:tc>
          <w:tcPr>
            <w:tcW w:type="dxa" w:w="1881"/>
            <w:shd w:val="clear" w:color="auto" w:fill="DDEBF7"/>
          </w:tcPr>
          <w:p>
            <w:r>
              <w:rPr>
                <w:rFonts w:ascii="Meiryo UI" w:hAnsi="Meiryo UI"/>
                <w:sz w:val="18"/>
              </w:rPr>
              <w:t>¥8,166</w:t>
            </w:r>
          </w:p>
        </w:tc>
        <w:tc>
          <w:tcPr>
            <w:tcW w:type="dxa" w:w="1881"/>
            <w:shd w:val="clear" w:color="auto" w:fill="DDEBF7"/>
          </w:tcPr>
          <w:p>
            <w:r>
              <w:rPr>
                <w:rFonts w:ascii="Meiryo UI" w:hAnsi="Meiryo UI"/>
                <w:sz w:val="18"/>
              </w:rPr>
              <w:t>+202.7%</w:t>
            </w:r>
          </w:p>
        </w:tc>
      </w:tr>
      <w:tr>
        <w:tc>
          <w:tcPr>
            <w:tcW w:type="dxa" w:w="1881"/>
          </w:tcPr>
          <w:p>
            <w:r>
              <w:rPr>
                <w:rFonts w:ascii="Meiryo UI" w:hAnsi="Meiryo UI"/>
                <w:sz w:val="18"/>
              </w:rPr>
              <w:t>Rf＋0.25%</w:t>
            </w:r>
          </w:p>
        </w:tc>
        <w:tc>
          <w:tcPr>
            <w:tcW w:type="dxa" w:w="1881"/>
          </w:tcPr>
          <w:p>
            <w:r>
              <w:rPr>
                <w:rFonts w:ascii="Meiryo UI" w:hAnsi="Meiryo UI"/>
                <w:sz w:val="18"/>
              </w:rPr>
              <w:t>2.630%</w:t>
            </w:r>
          </w:p>
        </w:tc>
        <w:tc>
          <w:tcPr>
            <w:tcW w:type="dxa" w:w="1881"/>
          </w:tcPr>
          <w:p>
            <w:r>
              <w:rPr>
                <w:rFonts w:ascii="Meiryo UI" w:hAnsi="Meiryo UI"/>
                <w:sz w:val="18"/>
              </w:rPr>
              <w:t>7.36%</w:t>
            </w:r>
          </w:p>
        </w:tc>
        <w:tc>
          <w:tcPr>
            <w:tcW w:type="dxa" w:w="1881"/>
          </w:tcPr>
          <w:p>
            <w:r>
              <w:rPr>
                <w:rFonts w:ascii="Meiryo UI" w:hAnsi="Meiryo UI"/>
                <w:sz w:val="18"/>
              </w:rPr>
              <w:t>¥7,809</w:t>
            </w:r>
          </w:p>
        </w:tc>
        <w:tc>
          <w:tcPr>
            <w:tcW w:type="dxa" w:w="1881"/>
          </w:tcPr>
          <w:p>
            <w:r>
              <w:rPr>
                <w:rFonts w:ascii="Meiryo UI" w:hAnsi="Meiryo UI"/>
                <w:sz w:val="18"/>
              </w:rPr>
              <w:t>+189.4%</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2.880%</w:t>
            </w:r>
          </w:p>
        </w:tc>
        <w:tc>
          <w:tcPr>
            <w:tcW w:type="dxa" w:w="1881"/>
            <w:shd w:val="clear" w:color="auto" w:fill="DDEBF7"/>
          </w:tcPr>
          <w:p>
            <w:r>
              <w:rPr>
                <w:rFonts w:ascii="Meiryo UI" w:hAnsi="Meiryo UI"/>
                <w:sz w:val="18"/>
              </w:rPr>
              <w:t>7.53%</w:t>
            </w:r>
          </w:p>
        </w:tc>
        <w:tc>
          <w:tcPr>
            <w:tcW w:type="dxa" w:w="1881"/>
            <w:shd w:val="clear" w:color="auto" w:fill="DDEBF7"/>
          </w:tcPr>
          <w:p>
            <w:r>
              <w:rPr>
                <w:rFonts w:ascii="Meiryo UI" w:hAnsi="Meiryo UI"/>
                <w:sz w:val="18"/>
              </w:rPr>
              <w:t>¥7,537</w:t>
            </w:r>
          </w:p>
        </w:tc>
        <w:tc>
          <w:tcPr>
            <w:tcW w:type="dxa" w:w="1881"/>
            <w:shd w:val="clear" w:color="auto" w:fill="DDEBF7"/>
          </w:tcPr>
          <w:p>
            <w:r>
              <w:rPr>
                <w:rFonts w:ascii="Meiryo UI" w:hAnsi="Meiryo UI"/>
                <w:sz w:val="18"/>
              </w:rPr>
              <w:t>+179.4%</w:t>
            </w:r>
          </w:p>
        </w:tc>
      </w:tr>
      <w:tr>
        <w:tc>
          <w:tcPr>
            <w:tcW w:type="dxa" w:w="1881"/>
          </w:tcPr>
          <w:p>
            <w:r>
              <w:rPr>
                <w:rFonts w:ascii="Meiryo UI" w:hAnsi="Meiryo UI"/>
                <w:sz w:val="18"/>
              </w:rPr>
              <w:t>Rf＋1.00%</w:t>
            </w:r>
          </w:p>
        </w:tc>
        <w:tc>
          <w:tcPr>
            <w:tcW w:type="dxa" w:w="1881"/>
          </w:tcPr>
          <w:p>
            <w:r>
              <w:rPr>
                <w:rFonts w:ascii="Meiryo UI" w:hAnsi="Meiryo UI"/>
                <w:sz w:val="18"/>
              </w:rPr>
              <w:t>3.380%</w:t>
            </w:r>
          </w:p>
        </w:tc>
        <w:tc>
          <w:tcPr>
            <w:tcW w:type="dxa" w:w="1881"/>
          </w:tcPr>
          <w:p>
            <w:r>
              <w:rPr>
                <w:rFonts w:ascii="Meiryo UI" w:hAnsi="Meiryo UI"/>
                <w:sz w:val="18"/>
              </w:rPr>
              <w:t>7.89%</w:t>
            </w:r>
          </w:p>
        </w:tc>
        <w:tc>
          <w:tcPr>
            <w:tcW w:type="dxa" w:w="1881"/>
          </w:tcPr>
          <w:p>
            <w:r>
              <w:rPr>
                <w:rFonts w:ascii="Meiryo UI" w:hAnsi="Meiryo UI"/>
                <w:sz w:val="18"/>
              </w:rPr>
              <w:t>¥7,038</w:t>
            </w:r>
          </w:p>
        </w:tc>
        <w:tc>
          <w:tcPr>
            <w:tcW w:type="dxa" w:w="1881"/>
          </w:tcPr>
          <w:p>
            <w:r>
              <w:rPr>
                <w:rFonts w:ascii="Meiryo UI" w:hAnsi="Meiryo UI"/>
                <w:sz w:val="18"/>
              </w:rPr>
              <w:t>+160.9%</w:t>
            </w:r>
          </w:p>
        </w:tc>
      </w:tr>
    </w:tbl>
    <w:p/>
    <w:p>
      <w:pPr>
        <w:pStyle w:val="Heading3"/>
      </w:pPr>
      <w:r>
        <w:rPr>
          <w:rFonts w:ascii="Meiryo UI" w:hAnsi="Meiryo UI"/>
          <w:color w:val="2E74B5"/>
        </w:rPr>
        <w:t>14-3. 感応度からの示唆</w:t>
      </w:r>
    </w:p>
    <w:p/>
    <w:p>
      <w:pPr>
        <w:shd w:val="clear" w:color="auto" w:fill="F2F2F2"/>
      </w:pPr>
      <w:r>
        <w:rPr>
          <w:rFonts w:ascii="Courier New" w:hAnsi="Courier New"/>
          <w:sz w:val="16"/>
        </w:rPr>
        <w:t>【重要インサイト】</w:t>
        <w:br/>
        <w:t>Rfが1.00%上昇しても理論株価は¥7,038（現在比+160.9%）</w:t>
        <w:br/>
        <w:t>→ 金利感応度はバリュエーション上の「方向性変数」に過ぎない</w:t>
        <w:br/>
        <w:t>→ 現在株価¥2,698の割安性は金利シナリオによらず不変</w:t>
        <w:br/>
        <w:br/>
        <w:t>Rfが2.38%→3.38%（+1.0%上昇）しても：</w:t>
        <w:br/>
        <w:t>理論株価下落幅 = ¥8,166 - ¥7,038 = ¥1,128（▲13.8%）</w:t>
        <w:br/>
        <w:t>→ 金利リスクよりも運賃市況リスクの方が株価変動への影響が遥かに大きい</w:t>
      </w:r>
    </w:p>
    <w:p/>
    <w:p>
      <w:r>
        <w:t>──────────────────────────────────────────────────</w:t>
      </w:r>
    </w:p>
    <w:p/>
    <w:p>
      <w:pPr>
        <w:pStyle w:val="Heading2"/>
      </w:pPr>
      <w:r>
        <w:rPr>
          <w:rFonts w:ascii="Meiryo UI" w:hAnsi="Meiryo UI"/>
          <w:color w:val="2E74B5"/>
        </w:rPr>
        <w:t>15. 社長推奨アクション</w:t>
      </w:r>
    </w:p>
    <w:p/>
    <w:p>
      <w:pPr>
        <w:pStyle w:val="Heading3"/>
      </w:pPr>
      <w:r>
        <w:rPr>
          <w:rFonts w:ascii="Meiryo UI" w:hAnsi="Meiryo UI"/>
          <w:color w:val="2E74B5"/>
        </w:rPr>
        <w:t>15-1. エントリー戦略</w:t>
      </w:r>
    </w:p>
    <w:p/>
    <w:p>
      <w:pPr>
        <w:shd w:val="clear" w:color="auto" w:fill="F2F2F2"/>
      </w:pPr>
      <w:r>
        <w:rPr>
          <w:rFonts w:ascii="Courier New" w:hAnsi="Courier New"/>
          <w:sz w:val="16"/>
        </w:rPr>
        <w:t>【推奨アクション：段階的積み上げ（STRONG BUY）】</w:t>
        <w:br/>
        <w:br/>
        <w:t>■ 第1弾エントリー（即時）</w:t>
        <w:br/>
        <w:t xml:space="preserve">　価格帯：¥2,600〜¥2,800</w:t>
        <w:br/>
        <w:t xml:space="preserve">　比率：ポジション全体の40%</w:t>
        <w:br/>
        <w:t xml:space="preserve">　理由：DOE5%配当サポート（¥2,760）近辺。割安性明確。</w:t>
        <w:br/>
        <w:br/>
        <w:t>■ 第2弾エントリー（押し目買い）</w:t>
        <w:br/>
        <w:t xml:space="preserve">　価格帯：¥2,300〜¥2,500</w:t>
        <w:br/>
        <w:t xml:space="preserve">　比率：ポジション全体の35%</w:t>
        <w:br/>
        <w:t xml:space="preserve">　条件：SCFI急落・紅海正常化等の一時的ネガティブ催事</w:t>
        <w:br/>
        <w:br/>
        <w:t>■ 第3弾エントリー（強制押し目）</w:t>
        <w:br/>
        <w:t xml:space="preserve">　価格帯：¥2,000〜¥2,200</w:t>
        <w:br/>
        <w:t xml:space="preserve">　比率：ポジション全体の25%</w:t>
        <w:br/>
        <w:t xml:space="preserve">　条件：市場全体の急落・海運セクター一律売り等のテクニカル要因</w:t>
      </w:r>
    </w:p>
    <w:p/>
    <w:p>
      <w:pPr>
        <w:pStyle w:val="Heading3"/>
      </w:pPr>
      <w:r>
        <w:rPr>
          <w:rFonts w:ascii="Meiryo UI" w:hAnsi="Meiryo UI"/>
          <w:color w:val="2E74B5"/>
        </w:rPr>
        <w:t>15-2. 損切りライン</w:t>
      </w:r>
    </w:p>
    <w:p/>
    <w:p>
      <w:pPr>
        <w:shd w:val="clear" w:color="auto" w:fill="F2F2F2"/>
      </w:pPr>
      <w:r>
        <w:rPr>
          <w:rFonts w:ascii="Courier New" w:hAnsi="Courier New"/>
          <w:sz w:val="16"/>
        </w:rPr>
        <w:t>【損切りライン：¥2,200（▲18.5%）】</w:t>
        <w:br/>
        <w:br/>
        <w:t>根拠：</w:t>
        <w:br/>
        <w:t>① PBR0.80倍水準（¥2,202 = ¥2,753 × 0.80）</w:t>
        <w:br/>
        <w:t>② DOE5%サポート（¥2,760）を大幅に割り込む</w:t>
        <w:br/>
        <w:t>③ EPS¥780 × PER2.8倍水準</w:t>
        <w:br/>
        <w:t>④ これを下回るには「ONEの持分損失計上」等の構造的悪化が必要</w:t>
        <w:br/>
        <w:br/>
        <w:t>損切り時の想定：</w:t>
        <w:br/>
        <w:t>→ コンテナ運賃SCFI▲60%超・ONE赤字転落シナリオが確定的になった場合</w:t>
      </w:r>
    </w:p>
    <w:p/>
    <w:p>
      <w:pPr>
        <w:pStyle w:val="Heading3"/>
      </w:pPr>
      <w:r>
        <w:rPr>
          <w:rFonts w:ascii="Meiryo UI" w:hAnsi="Meiryo UI"/>
          <w:color w:val="2E74B5"/>
        </w:rPr>
        <w:t>15-3. 目標株価・利益確定ライン</w:t>
      </w:r>
    </w:p>
    <w:p/>
    <w:p>
      <w:pPr>
        <w:shd w:val="clear" w:color="auto" w:fill="F2F2F2"/>
      </w:pPr>
      <w:r>
        <w:rPr>
          <w:rFonts w:ascii="Courier New" w:hAnsi="Courier New"/>
          <w:sz w:val="16"/>
        </w:rPr>
        <w:t>【フェーズ別利益確定目安】</w:t>
        <w:br/>
        <w:br/>
        <w:t>第1利益確定：¥3,500（現在比+29.7%）→ ポジションの25%利確</w:t>
        <w:br/>
        <w:t xml:space="preserve">　　　　　　　PBR1.27倍・PER4.5倍・配当利回り8.6%</w:t>
        <w:br/>
        <w:t>第2利益確定：¥4,500（現在比+66.8%）→ ポジションの35%利確</w:t>
        <w:br/>
        <w:t xml:space="preserve">　　　　　　　PBR1.63倍・PER5.8倍</w:t>
        <w:br/>
        <w:t>最終目標　　：¥5,500〜6,000（現在比+104〜122%）→ 残り40%保有</w:t>
        <w:br/>
        <w:t xml:space="preserve">　　　　　　　DCF保守値（¥5,100）接近時点</w:t>
      </w:r>
    </w:p>
    <w:p/>
    <w:p>
      <w:pPr>
        <w:pStyle w:val="Heading3"/>
      </w:pPr>
      <w:r>
        <w:rPr>
          <w:rFonts w:ascii="Meiryo UI" w:hAnsi="Meiryo UI"/>
          <w:color w:val="2E74B5"/>
        </w:rPr>
        <w:t>15-4. タイムライン</w:t>
      </w:r>
    </w:p>
    <w:p/>
    <w:p>
      <w:pPr>
        <w:shd w:val="clear" w:color="auto" w:fill="F2F2F2"/>
      </w:pPr>
      <w:r>
        <w:rPr>
          <w:rFonts w:ascii="Courier New" w:hAnsi="Courier New"/>
          <w:sz w:val="16"/>
        </w:rPr>
        <w:t>【時間軸】</w:t>
        <w:br/>
        <w:br/>
        <w:t>短期（〜3ヶ月）：FY2026/3 4Q決算発表（2026年5月）</w:t>
        <w:br/>
        <w:t xml:space="preserve">　→ 通期EPS確定・配当確定・自社株買い残弾消化状況</w:t>
        <w:br/>
        <w:t xml:space="preserve">　→ カタリスト：DOE政策正式発表・追加自社株買い枠</w:t>
        <w:br/>
        <w:br/>
        <w:t>中期（3〜12ヶ月）：ONE FY2027/3配当還流・中期経営計画</w:t>
        <w:br/>
        <w:t xml:space="preserve">　→ 資本政策の持続性が確認されれば機関投資家の本格流入</w:t>
        <w:br/>
        <w:t xml:space="preserve">　→ ¥3,500〜4,500達成のメインシナリオ</w:t>
        <w:br/>
        <w:br/>
        <w:t>長期（1〜3年）：DCF本源価値への収斂</w:t>
        <w:br/>
        <w:t xml:space="preserve">　→ ¥5,000〜6,000への段階的水準訂正</w:t>
      </w:r>
    </w:p>
    <w:p/>
    <w:p>
      <w:pPr>
        <w:pStyle w:val="Heading3"/>
      </w:pPr>
      <w:r>
        <w:rPr>
          <w:rFonts w:ascii="Meiryo UI" w:hAnsi="Meiryo UI"/>
          <w:color w:val="2E74B5"/>
        </w:rPr>
        <w:t>15-5. 社長への要点要約</w:t>
      </w:r>
    </w:p>
    <w:p/>
    <w:p>
      <w:pPr>
        <w:shd w:val="clear" w:color="auto" w:fill="F2F2F2"/>
      </w:pPr>
      <w:r>
        <w:rPr>
          <w:rFonts w:ascii="Courier New" w:hAnsi="Courier New"/>
          <w:sz w:val="16"/>
        </w:rPr>
        <w:t>╔══════════════════════════════════════════════════════╗</w:t>
        <w:br/>
        <w:t>║【社長サマリー】川崎汽船（9107）                         ║</w:t>
        <w:br/>
        <w:t>║                                                      ║</w:t>
        <w:br/>
        <w:t>║ 現在株価：¥2,698（PBR0.98倍）                         ║</w:t>
        <w:br/>
        <w:t>║ DCF本源価値：¥8,166（基本）/ ¥5,100（保守）           ║</w:t>
        <w:br/>
        <w:t>║ 加重平均目標株価（12M）：¥3,900（+44.6%）             ║</w:t>
        <w:br/>
        <w:t>║ 投資判断：STRONG BUY                                  ║</w:t>
        <w:br/>
        <w:t>║ 損切り：¥2,200（▲18.5%）                             ║</w:t>
        <w:br/>
        <w:t>║                                                      ║</w:t>
        <w:br/>
        <w:t>║ 最大リスク：コンテナ運賃SCFI▲50%以上の急落            ║</w:t>
        <w:br/>
        <w:t>║ 最大機会：DOE政策発表＋自社株買い追加枠の同時発表       ║</w:t>
        <w:br/>
        <w:t>║                                                      ║</w:t>
        <w:br/>
        <w:t>║ Kラインは「配当利回り面」「PBR面」「DCF面」の          ║</w:t>
        <w:br/>
        <w:t>║ 三重の割安基準を同時に満たす稀有な局面にある           ║</w:t>
        <w:br/>
        <w:t>╚══════════════════════════════════════════════════════╝</w:t>
      </w:r>
    </w:p>
    <w:p/>
    <w:p>
      <w:r>
        <w:t>──────────────────────────────────────────────────</w:t>
      </w:r>
    </w:p>
    <w:p/>
    <w:p>
      <w:pPr>
        <w:pStyle w:val="Heading2"/>
      </w:pPr>
      <w:r>
        <w:rPr>
          <w:rFonts w:ascii="Meiryo UI" w:hAnsi="Meiryo UI"/>
          <w:color w:val="2E74B5"/>
        </w:rPr>
        <w:t>16. 金利エビデンス</w:t>
      </w:r>
    </w:p>
    <w:p/>
    <w:p>
      <w:pPr>
        <w:pStyle w:val="Heading3"/>
      </w:pPr>
      <w:r>
        <w:rPr>
          <w:rFonts w:ascii="Meiryo UI" w:hAnsi="Meiryo UI"/>
          <w:color w:val="2E74B5"/>
        </w:rPr>
        <w:t>16-1. リスクフリーレート確定値</w:t>
      </w:r>
    </w:p>
    <w:p/>
    <w:p>
      <w:pPr>
        <w:shd w:val="clear" w:color="auto" w:fill="F2F2F2"/>
      </w:pPr>
      <w:r>
        <w:rPr>
          <w:rFonts w:ascii="Courier New" w:hAnsi="Courier New"/>
          <w:sz w:val="16"/>
        </w:rPr>
        <w:t>╔══════════════════════════════════════════════════════╗</w:t>
        <w:br/>
        <w:t>║ Rf = 2.380%（確定・変更不可）                          ║</w:t>
        <w:br/>
        <w:t>║ 種別：日本10年国債利回り（JGB10Y）                      ║</w:t>
        <w:br/>
        <w:t>║ 取得日時：2026-04-05 18:02 JST                        ║</w:t>
        <w:br/>
        <w:t>║ 取得方法：社長確認値（自動取得失敗のため）               ║</w:t>
        <w:br/>
        <w:t>║ 参照元：https://jp.investing.com/rates-bonds/         ║</w:t>
        <w:br/>
        <w:t>║         japan-10-year-bond-yield-streaming-chart      ║</w:t>
        <w:br/>
        <w:t>╚══════════════════════════════════════════════════════╝</w:t>
      </w:r>
    </w:p>
    <w:p/>
    <w:p>
      <w:pPr>
        <w:pStyle w:val="Heading3"/>
      </w:pPr>
      <w:r>
        <w:rPr>
          <w:rFonts w:ascii="Meiryo UI" w:hAnsi="Meiryo UI"/>
          <w:color w:val="2E74B5"/>
        </w:rPr>
        <w:t>16-2. 金利環境の文脈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JGB10Y</w:t>
            </w:r>
          </w:p>
        </w:tc>
        <w:tc>
          <w:tcPr>
            <w:tcW w:type="dxa" w:w="3135"/>
          </w:tcPr>
          <w:p>
            <w:r>
              <w:rPr>
                <w:rFonts w:ascii="Meiryo UI" w:hAnsi="Meiryo UI"/>
                <w:sz w:val="18"/>
              </w:rPr>
              <w:t>2.380%</w:t>
            </w:r>
          </w:p>
        </w:tc>
        <w:tc>
          <w:tcPr>
            <w:tcW w:type="dxa" w:w="3135"/>
          </w:tcPr>
          <w:p>
            <w:r>
              <w:rPr>
                <w:rFonts w:ascii="Meiryo UI" w:hAnsi="Meiryo UI"/>
                <w:sz w:val="18"/>
              </w:rPr>
              <w:t>本レポートRf確定値</w:t>
            </w:r>
          </w:p>
        </w:tc>
      </w:tr>
      <w:tr>
        <w:tc>
          <w:tcPr>
            <w:tcW w:type="dxa" w:w="3135"/>
            <w:shd w:val="clear" w:color="auto" w:fill="DDEBF7"/>
          </w:tcPr>
          <w:p>
            <w:r>
              <w:rPr>
                <w:rFonts w:ascii="Meiryo UI" w:hAnsi="Meiryo UI"/>
                <w:sz w:val="18"/>
              </w:rPr>
              <w:t>日銀政策金利</w:t>
            </w:r>
          </w:p>
        </w:tc>
        <w:tc>
          <w:tcPr>
            <w:tcW w:type="dxa" w:w="3135"/>
            <w:shd w:val="clear" w:color="auto" w:fill="DDEBF7"/>
          </w:tcPr>
          <w:p>
            <w:r>
              <w:rPr>
                <w:rFonts w:ascii="Meiryo UI" w:hAnsi="Meiryo UI"/>
                <w:sz w:val="18"/>
              </w:rPr>
              <w:t>0.50%（2026年3月時点）</w:t>
            </w:r>
          </w:p>
        </w:tc>
        <w:tc>
          <w:tcPr>
            <w:tcW w:type="dxa" w:w="3135"/>
            <w:shd w:val="clear" w:color="auto" w:fill="DDEBF7"/>
          </w:tcPr>
          <w:p>
            <w:r>
              <w:rPr>
                <w:rFonts w:ascii="Meiryo UI" w:hAnsi="Meiryo UI"/>
                <w:sz w:val="18"/>
              </w:rPr>
              <w:t>2024年以降の段階的引き上げ継続</w:t>
            </w:r>
          </w:p>
        </w:tc>
      </w:tr>
      <w:tr>
        <w:tc>
          <w:tcPr>
            <w:tcW w:type="dxa" w:w="3135"/>
          </w:tcPr>
          <w:p>
            <w:r>
              <w:rPr>
                <w:rFonts w:ascii="Meiryo UI" w:hAnsi="Meiryo UI"/>
                <w:sz w:val="18"/>
              </w:rPr>
              <w:t>予想インフレ率</w:t>
            </w:r>
          </w:p>
        </w:tc>
        <w:tc>
          <w:tcPr>
            <w:tcW w:type="dxa" w:w="3135"/>
          </w:tcPr>
          <w:p>
            <w:r>
              <w:rPr>
                <w:rFonts w:ascii="Meiryo UI" w:hAnsi="Meiryo UI"/>
                <w:sz w:val="18"/>
              </w:rPr>
              <w:t>1.5〜2.0%</w:t>
            </w:r>
          </w:p>
        </w:tc>
        <w:tc>
          <w:tcPr>
            <w:tcW w:type="dxa" w:w="3135"/>
          </w:tcPr>
          <w:p>
            <w:r>
              <w:rPr>
                <w:rFonts w:ascii="Meiryo UI" w:hAnsi="Meiryo UI"/>
                <w:sz w:val="18"/>
              </w:rPr>
              <w:t>実質金利：約+0.4〜+0.9%</w:t>
            </w:r>
          </w:p>
        </w:tc>
      </w:tr>
      <w:tr>
        <w:tc>
          <w:tcPr>
            <w:tcW w:type="dxa" w:w="3135"/>
            <w:shd w:val="clear" w:color="auto" w:fill="DDEBF7"/>
          </w:tcPr>
          <w:p>
            <w:r>
              <w:rPr>
                <w:rFonts w:ascii="Meiryo UI" w:hAnsi="Meiryo UI"/>
                <w:sz w:val="18"/>
              </w:rPr>
              <w:t>実質Rf</w:t>
            </w:r>
          </w:p>
        </w:tc>
        <w:tc>
          <w:tcPr>
            <w:tcW w:type="dxa" w:w="3135"/>
            <w:shd w:val="clear" w:color="auto" w:fill="DDEBF7"/>
          </w:tcPr>
          <w:p>
            <w:r>
              <w:rPr>
                <w:rFonts w:ascii="Meiryo UI" w:hAnsi="Meiryo UI"/>
                <w:sz w:val="18"/>
              </w:rPr>
              <w:t>約+0.4〜+0.9%</w:t>
            </w:r>
          </w:p>
        </w:tc>
        <w:tc>
          <w:tcPr>
            <w:tcW w:type="dxa" w:w="3135"/>
            <w:shd w:val="clear" w:color="auto" w:fill="DDEBF7"/>
          </w:tcPr>
          <w:p>
            <w:r>
              <w:rPr>
                <w:rFonts w:ascii="Meiryo UI" w:hAnsi="Meiryo UI"/>
                <w:sz w:val="18"/>
              </w:rPr>
              <w:t>正の実質金利環境</w:t>
            </w:r>
          </w:p>
        </w:tc>
      </w:tr>
    </w:tbl>
    <w:p/>
    <w:p>
      <w:pPr>
        <w:pStyle w:val="Heading3"/>
      </w:pPr>
      <w:r>
        <w:rPr>
          <w:rFonts w:ascii="Meiryo UI" w:hAnsi="Meiryo UI"/>
          <w:color w:val="2E74B5"/>
        </w:rPr>
        <w:t>16-3. 金利上昇がKラインに与える影響</w:t>
      </w:r>
    </w:p>
    <w:p/>
    <w:p>
      <w:pPr>
        <w:shd w:val="clear" w:color="auto" w:fill="F2F2F2"/>
      </w:pPr>
      <w:r>
        <w:rPr>
          <w:rFonts w:ascii="Courier New" w:hAnsi="Courier New"/>
          <w:sz w:val="16"/>
        </w:rPr>
        <w:t>【ダブル効果】</w:t>
        <w:br/>
        <w:t>正の効果：Rf上昇→ 円高圧力→ Kラインの円建て資産価値↑（バランスシート）</w:t>
        <w:br/>
        <w:t>負の効果：Re上昇→ WACC上昇→ DCF理論株価の分母拡大→ 理論株価↓</w:t>
        <w:br/>
        <w:br/>
        <w:t>ただし感応度テーブルが示す通り、Rf+1.0%でも理論株価は¥7,038</w:t>
        <w:br/>
        <w:t>→ 現在株価¥2,698の割安性を覆すほどの金利上昇は非現実的</w:t>
        <w:br/>
        <w:t>（Rfが7%超になれば別論だが、JGB10Yの7%は日本財政崩壊シナリオ）</w:t>
      </w:r>
    </w:p>
    <w:p/>
    <w:p>
      <w:pPr>
        <w:pStyle w:val="Heading3"/>
      </w:pPr>
      <w:r>
        <w:rPr>
          <w:rFonts w:ascii="Meiryo UI" w:hAnsi="Meiryo UI"/>
          <w:color w:val="2E74B5"/>
        </w:rPr>
        <w:t>16-4. 過去のJGB10Y推移との比較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JGB10Y</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2022年3月</w:t>
            </w:r>
          </w:p>
        </w:tc>
        <w:tc>
          <w:tcPr>
            <w:tcW w:type="dxa" w:w="3135"/>
          </w:tcPr>
          <w:p>
            <w:r>
              <w:rPr>
                <w:rFonts w:ascii="Meiryo UI" w:hAnsi="Meiryo UI"/>
                <w:sz w:val="18"/>
              </w:rPr>
              <w:t>0.20%</w:t>
            </w:r>
          </w:p>
        </w:tc>
        <w:tc>
          <w:tcPr>
            <w:tcW w:type="dxa" w:w="3135"/>
          </w:tcPr>
          <w:p>
            <w:r>
              <w:rPr>
                <w:rFonts w:ascii="Meiryo UI" w:hAnsi="Meiryo UI"/>
                <w:sz w:val="18"/>
              </w:rPr>
              <w:t>日銀YCC上限以下</w:t>
            </w:r>
          </w:p>
        </w:tc>
      </w:tr>
      <w:tr>
        <w:tc>
          <w:tcPr>
            <w:tcW w:type="dxa" w:w="3135"/>
            <w:shd w:val="clear" w:color="auto" w:fill="DDEBF7"/>
          </w:tcPr>
          <w:p>
            <w:r>
              <w:rPr>
                <w:rFonts w:ascii="Meiryo UI" w:hAnsi="Meiryo UI"/>
                <w:sz w:val="18"/>
              </w:rPr>
              <w:t>2023年3月</w:t>
            </w:r>
          </w:p>
        </w:tc>
        <w:tc>
          <w:tcPr>
            <w:tcW w:type="dxa" w:w="3135"/>
            <w:shd w:val="clear" w:color="auto" w:fill="DDEBF7"/>
          </w:tcPr>
          <w:p>
            <w:r>
              <w:rPr>
                <w:rFonts w:ascii="Meiryo UI" w:hAnsi="Meiryo UI"/>
                <w:sz w:val="18"/>
              </w:rPr>
              <w:t>0.50%</w:t>
            </w:r>
          </w:p>
        </w:tc>
        <w:tc>
          <w:tcPr>
            <w:tcW w:type="dxa" w:w="3135"/>
            <w:shd w:val="clear" w:color="auto" w:fill="DDEBF7"/>
          </w:tcPr>
          <w:p>
            <w:r>
              <w:rPr>
                <w:rFonts w:ascii="Meiryo UI" w:hAnsi="Meiryo UI"/>
                <w:sz w:val="18"/>
              </w:rPr>
              <w:t>YCC修正</w:t>
            </w:r>
          </w:p>
        </w:tc>
      </w:tr>
      <w:tr>
        <w:tc>
          <w:tcPr>
            <w:tcW w:type="dxa" w:w="3135"/>
          </w:tcPr>
          <w:p>
            <w:r>
              <w:rPr>
                <w:rFonts w:ascii="Meiryo UI" w:hAnsi="Meiryo UI"/>
                <w:sz w:val="18"/>
              </w:rPr>
              <w:t>2024年3月</w:t>
            </w:r>
          </w:p>
        </w:tc>
        <w:tc>
          <w:tcPr>
            <w:tcW w:type="dxa" w:w="3135"/>
          </w:tcPr>
          <w:p>
            <w:r>
              <w:rPr>
                <w:rFonts w:ascii="Meiryo UI" w:hAnsi="Meiryo UI"/>
                <w:sz w:val="18"/>
              </w:rPr>
              <w:t>0.73%</w:t>
            </w:r>
          </w:p>
        </w:tc>
        <w:tc>
          <w:tcPr>
            <w:tcW w:type="dxa" w:w="3135"/>
          </w:tcPr>
          <w:p>
            <w:r>
              <w:rPr>
                <w:rFonts w:ascii="Meiryo UI" w:hAnsi="Meiryo UI"/>
                <w:sz w:val="18"/>
              </w:rPr>
              <w:t>YCC実質撤廃</w:t>
            </w:r>
          </w:p>
        </w:tc>
      </w:tr>
      <w:tr>
        <w:tc>
          <w:tcPr>
            <w:tcW w:type="dxa" w:w="3135"/>
            <w:shd w:val="clear" w:color="auto" w:fill="DDEBF7"/>
          </w:tcPr>
          <w:p>
            <w:r>
              <w:rPr>
                <w:rFonts w:ascii="Meiryo UI" w:hAnsi="Meiryo UI"/>
                <w:sz w:val="18"/>
              </w:rPr>
              <w:t>2025年3月</w:t>
            </w:r>
          </w:p>
        </w:tc>
        <w:tc>
          <w:tcPr>
            <w:tcW w:type="dxa" w:w="3135"/>
            <w:shd w:val="clear" w:color="auto" w:fill="DDEBF7"/>
          </w:tcPr>
          <w:p>
            <w:r>
              <w:rPr>
                <w:rFonts w:ascii="Meiryo UI" w:hAnsi="Meiryo UI"/>
                <w:sz w:val="18"/>
              </w:rPr>
              <w:t>1.50%</w:t>
            </w:r>
          </w:p>
        </w:tc>
        <w:tc>
          <w:tcPr>
            <w:tcW w:type="dxa" w:w="3135"/>
            <w:shd w:val="clear" w:color="auto" w:fill="DDEBF7"/>
          </w:tcPr>
          <w:p>
            <w:r>
              <w:rPr>
                <w:rFonts w:ascii="Meiryo UI" w:hAnsi="Meiryo UI"/>
                <w:sz w:val="18"/>
              </w:rPr>
              <w:t>日銀利上げ継続</w:t>
            </w:r>
          </w:p>
        </w:tc>
      </w:tr>
      <w:tr>
        <w:tc>
          <w:tcPr>
            <w:tcW w:type="dxa" w:w="3135"/>
          </w:tcPr>
          <w:p>
            <w:r>
              <w:rPr>
                <w:rFonts w:ascii="Meiryo UI" w:hAnsi="Meiryo UI"/>
                <w:sz w:val="18"/>
              </w:rPr>
              <w:t>2026年4月（現在）</w:t>
            </w:r>
          </w:p>
        </w:tc>
        <w:tc>
          <w:tcPr>
            <w:tcW w:type="dxa" w:w="3135"/>
          </w:tcPr>
          <w:p>
            <w:r>
              <w:rPr>
                <w:rFonts w:ascii="Meiryo UI" w:hAnsi="Meiryo UI"/>
                <w:sz w:val="18"/>
              </w:rPr>
              <w:t>2.380%</w:t>
            </w:r>
          </w:p>
        </w:tc>
        <w:tc>
          <w:tcPr>
            <w:tcW w:type="dxa" w:w="3135"/>
          </w:tcPr>
          <w:p>
            <w:r>
              <w:rPr>
                <w:rFonts w:ascii="Meiryo UI" w:hAnsi="Meiryo UI"/>
                <w:sz w:val="18"/>
              </w:rPr>
              <w:t>本レポート基準値</w:t>
            </w:r>
          </w:p>
        </w:tc>
      </w:tr>
    </w:tbl>
    <w:p/>
    <w:p>
      <w:r>
        <w:rPr>
          <w:rFonts w:ascii="Meiryo UI" w:hAnsi="Meiryo UI"/>
          <w:sz w:val="20"/>
        </w:rPr>
        <w:t>金利正常化の文脈：JGB10Yは2年で約1.7%上昇。この環境下でもKライン株価が¥2,698（PBR0.98倍）を維持していることは、「金利上昇耐性」の実証でもある。</w:t>
      </w:r>
    </w:p>
    <w:p/>
    <w:p>
      <w:r>
        <w:t>──────────────────────────────────────────────────</w:t>
      </w:r>
    </w:p>
    <w:p/>
    <w:p>
      <w:pPr>
        <w:pStyle w:val="Heading2"/>
      </w:pPr>
      <w:r>
        <w:rPr>
          <w:rFonts w:ascii="Meiryo UI" w:hAnsi="Meiryo UI"/>
          <w:color w:val="2E74B5"/>
        </w:rPr>
        <w:t>■ レポート完走宣言</w:t>
      </w:r>
    </w:p>
    <w:p/>
    <w:p>
      <w:r>
        <w:rPr>
          <w:rFonts w:ascii="Meiryo UI" w:hAnsi="Meiryo UI"/>
          <w:sz w:val="20"/>
        </w:rPr>
        <w:t>本v3レポートは以下の全15セクションを一気通貫で完走した：</w:t>
      </w:r>
    </w:p>
    <w:p/>
    <w:p>
      <w:pPr>
        <w:shd w:val="clear" w:color="auto" w:fill="F2F2F2"/>
      </w:pPr>
      <w:r>
        <w:rPr>
          <w:rFonts w:ascii="Courier New" w:hAnsi="Courier New"/>
          <w:sz w:val="16"/>
        </w:rPr>
        <w:t>✅ 1. 企業概要・事業分析</w:t>
        <w:br/>
        <w:t>✅ 2. 社長指示重点分析</w:t>
        <w:br/>
        <w:t>✅ 3. 財務ハイライト（FY2026/3 3Q）</w:t>
        <w:br/>
        <w:t>✅ 4. DCFバリュエーション（Rf=2.380%完全適用）</w:t>
        <w:br/>
        <w:t>✅ 5. 理論株価と投資判断（STRONG BUY）</w:t>
        <w:br/>
        <w:t>✅ 6. PBR1.0倍超障壁・ROE乖離分析</w:t>
        <w:br/>
        <w:t>✅ 7. 資本政策定性変化（2Q→3Q）</w:t>
        <w:br/>
        <w:t>✅ 8. 自社株買い残弾数理算出</w:t>
        <w:br/>
        <w:t>✅ 9. ONE配当還流額</w:t>
        <w:br/>
        <w:t>✅ 10. DOE下値支持線</w:t>
        <w:br/>
        <w:t>✅ 11. リスクシナリオ（紅海・運賃市況）</w:t>
        <w:br/>
        <w:t>✅ 12. 強気/基本/弱気3ケース</w:t>
        <w:br/>
        <w:t>✅ 13. 浅井速報との統合評価</w:t>
        <w:br/>
        <w:t>✅ 14. 感応度テーブル（Rf±1.00%まで7段階）</w:t>
        <w:br/>
        <w:t>✅ 15. 社長推奨アクション・金利エビデンス</w:t>
      </w:r>
    </w:p>
    <w:p/>
    <w:p>
      <w:r>
        <w:t>──────────────────────────────────────────────────</w:t>
      </w:r>
    </w:p>
    <w:p/>
    <w:p>
      <w:r>
        <w:rPr>
          <w:rFonts w:ascii="Meiryo UI" w:hAnsi="Meiryo UI"/>
          <w:sz w:val="20"/>
        </w:rPr>
        <w:t>本レポートは竹村トレードカンパニー内部資料であり、投資判断の最終責任は投資家本人に帰属します。公開情報・推定値を含み、実際の業績・株価を保証するものではありません。アナリスト：深井｜作成日：2026-04-05</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2026-04-05 18:02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9107_川崎汽船 v3【_BUY_DeepResearch_20260405.md を出力しました。</w:t>
      </w:r>
    </w:p>
    <w:p>
      <w:r>
        <w:rPr>
          <w:rFonts w:ascii="Meiryo UI" w:hAnsi="Meiryo UI"/>
          <w:sz w:val="20"/>
        </w:rPr>
        <w:t>浅井スコア +0 の銘柄 [9107]川崎汽船 v3【完全再出力・途中断絶禁止】 についてDeepResearch完了。</w:t>
      </w:r>
    </w:p>
    <w:p>
      <w:r>
        <w:rPr>
          <w:rFonts w:ascii="Meiryo UI" w:hAnsi="Meiryo UI"/>
          <w:sz w:val="20"/>
        </w:rPr>
        <w:t>使用Rf: 2.380%（取得: 2026-04-05 18:02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