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[9107] 川崎汽船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[9107] 川崎汽船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川崎汽船（9107）DeepResearch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分析日：2026-04-05｜ミーティングメモ：不労ハント#1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免責事項：本レポートは公開情報・業界知識に基づく試算であり、投資勧誘を目的とするものではありません。数値は概算であり、実際の結果と乖離する可能性があります。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[社長指示の重点分析（最優先）](#2-社長指示の重点分析最優先)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[DCFバリュエーション](#4-dcfバリュエーション)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リスクシナリオ](#6-メインシナリオ-vs-リスクシナリオ)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[社長への推奨アクション](#8-社長への推奨アクション)</w:t>
      </w:r>
    </w:p>
    <w:p>
      <w:pPr>
        <w:pStyle w:val="ListNumber"/>
      </w:pPr>
      <w:r>
        <w:rPr>
          <w:rFonts w:ascii="Meiryo UI" w:hAnsi="Meiryo UI"/>
          <w:sz w:val="20"/>
        </w:rPr>
        <w:t>[金利感応度分析（Sensitivity Analysis）](#9-金利感応度分析sensitivity-analysis)</w:t>
      </w:r>
    </w:p>
    <w:p>
      <w:pPr>
        <w:pStyle w:val="ListNumber"/>
      </w:pPr>
      <w:r>
        <w:rPr>
          <w:rFonts w:ascii="Meiryo UI" w:hAnsi="Meiryo UI"/>
          <w:sz w:val="20"/>
        </w:rPr>
        <w:t>[付録：主要前提条件一覧](#10-付録主要前提条件一覧)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川崎汽船株式会社（"K" Line）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1919年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東京証券取引所プライム市場（9107）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時価総額（概算）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約6,500〜7,000億円（2026年4月時点・推定）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約8,000名（連結）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主要子会社・関連会社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Ocean Network Express (ONE)、川崎近海汽船 ほか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セグメント構成（FY2025実績ベース推定）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川崎汽船 連結収益構造（概略）</w:t>
        <w:br/>
        <w:t>─────────────────────────────────────────</w:t>
        <w:br/>
        <w:t>セグメント              売上比率   営業利益寄与</w:t>
        <w:br/>
        <w:t>─────────────────────────────────────────</w:t>
        <w:br/>
        <w:t>コンテナ船（ONE持分）     ～50%     ★★★★★（支配的）</w:t>
        <w:br/>
        <w:t>ドライバルク             ～20%     ★★★☆☆</w:t>
        <w:br/>
        <w:t>エネルギー資源輸送        ～18%     ★★★★☆（LNG中心）</w:t>
        <w:br/>
        <w:t>製品輸送（自動車船等）    ～ 8%     ★★★☆☆</w:t>
        <w:br/>
        <w:t>その他                   ～ 4%     ★★☆☆☆</w:t>
        <w:br/>
        <w:t>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① コンテナ船（Ocean Network Express: ONE）</w:t>
      </w:r>
    </w:p>
    <w:p>
      <w:pPr>
        <w:pStyle w:val="ListBullet"/>
      </w:pPr>
      <w:r>
        <w:rPr>
          <w:rFonts w:ascii="Meiryo UI" w:hAnsi="Meiryo UI"/>
          <w:sz w:val="20"/>
        </w:rPr>
        <w:t>川崎汽船33.3%・日本郵船33.3%・商船三井33.3%の3社合弁JV</w:t>
      </w:r>
    </w:p>
    <w:p>
      <w:pPr>
        <w:pStyle w:val="ListBullet"/>
      </w:pPr>
      <w:r>
        <w:rPr>
          <w:rFonts w:ascii="Meiryo UI" w:hAnsi="Meiryo UI"/>
          <w:sz w:val="20"/>
        </w:rPr>
        <w:t>世界第6位のコンテナ船社（運航容量ベース）</w:t>
      </w:r>
    </w:p>
    <w:p>
      <w:pPr>
        <w:pStyle w:val="ListBullet"/>
      </w:pPr>
      <w:r>
        <w:rPr>
          <w:rFonts w:ascii="Meiryo UI" w:hAnsi="Meiryo UI"/>
          <w:sz w:val="20"/>
        </w:rPr>
        <w:t>FY2024〜FY2025はコンテナ運賃の高止まりにより持分利益が急拡大</w:t>
      </w:r>
    </w:p>
    <w:p>
      <w:pPr>
        <w:pStyle w:val="ListBullet"/>
      </w:pPr>
      <w:r>
        <w:rPr>
          <w:rFonts w:ascii="Meiryo UI" w:hAnsi="Meiryo UI"/>
          <w:sz w:val="20"/>
        </w:rPr>
        <w:t>ホルムズ情勢によるルート迂回（スエズ代替・喜望峰経由）需要継続が追い風</w:t>
      </w:r>
    </w:p>
    <w:p/>
    <w:p>
      <w:pPr>
        <w:pStyle w:val="Heading4"/>
      </w:pPr>
      <w:r>
        <w:rPr>
          <w:rFonts w:ascii="Meiryo UI" w:hAnsi="Meiryo UI"/>
          <w:color w:val="2E74B5"/>
        </w:rPr>
        <w:t>② ドライバルク</w:t>
      </w:r>
    </w:p>
    <w:p>
      <w:pPr>
        <w:pStyle w:val="ListBullet"/>
      </w:pPr>
      <w:r>
        <w:rPr>
          <w:rFonts w:ascii="Meiryo UI" w:hAnsi="Meiryo UI"/>
          <w:sz w:val="20"/>
        </w:rPr>
        <w:t>ケープサイズ・パナマックス・ハンディを保有・運航</w:t>
      </w:r>
    </w:p>
    <w:p>
      <w:pPr>
        <w:pStyle w:val="ListBullet"/>
      </w:pPr>
      <w:r>
        <w:rPr>
          <w:rFonts w:ascii="Meiryo UI" w:hAnsi="Meiryo UI"/>
          <w:sz w:val="20"/>
        </w:rPr>
        <w:t>BDI（バルチック乾貨物指数）連動。鉄鉱石・石炭・穀物輸送が主体</w:t>
      </w:r>
    </w:p>
    <w:p>
      <w:pPr>
        <w:pStyle w:val="ListBullet"/>
      </w:pPr>
      <w:r>
        <w:rPr>
          <w:rFonts w:ascii="Meiryo UI" w:hAnsi="Meiryo UI"/>
          <w:sz w:val="20"/>
        </w:rPr>
        <w:t>中国景気・インフラ投資動向に依存度高</w:t>
      </w:r>
    </w:p>
    <w:p/>
    <w:p>
      <w:pPr>
        <w:pStyle w:val="Heading4"/>
      </w:pPr>
      <w:r>
        <w:rPr>
          <w:rFonts w:ascii="Meiryo UI" w:hAnsi="Meiryo UI"/>
          <w:color w:val="2E74B5"/>
        </w:rPr>
        <w:t>③ エネルギー資源輸送（LNGタンカー・VLCCほか）</w:t>
      </w:r>
    </w:p>
    <w:p>
      <w:pPr>
        <w:pStyle w:val="ListBullet"/>
      </w:pPr>
      <w:r>
        <w:rPr>
          <w:rFonts w:ascii="Meiryo UI" w:hAnsi="Meiryo UI"/>
          <w:sz w:val="20"/>
        </w:rPr>
        <w:t>今回のトリガー核心セグメント</w:t>
      </w:r>
    </w:p>
    <w:p>
      <w:pPr>
        <w:pStyle w:val="ListBullet"/>
      </w:pPr>
      <w:r>
        <w:rPr>
          <w:rFonts w:ascii="Meiryo UI" w:hAnsi="Meiryo UI"/>
          <w:sz w:val="20"/>
        </w:rPr>
        <w:t>LNGタンカー保有・運航（長期契約比率高め）</w:t>
      </w:r>
    </w:p>
    <w:p>
      <w:pPr>
        <w:pStyle w:val="ListBullet"/>
      </w:pPr>
      <w:r>
        <w:rPr>
          <w:rFonts w:ascii="Meiryo UI" w:hAnsi="Meiryo UI"/>
          <w:sz w:val="20"/>
        </w:rPr>
        <w:t>ホルムズ海峡封鎖懸念によるスポット運賃急騰の直接受益者</w:t>
      </w:r>
    </w:p>
    <w:p>
      <w:pPr>
        <w:pStyle w:val="ListBullet"/>
      </w:pPr>
      <w:r>
        <w:rPr>
          <w:rFonts w:ascii="Meiryo UI" w:hAnsi="Meiryo UI"/>
          <w:sz w:val="20"/>
        </w:rPr>
        <w:t>VLCCも保有。原油運賃（VLCC WS指数）との連動あり</w:t>
      </w:r>
    </w:p>
    <w:p>
      <w:pPr>
        <w:pStyle w:val="ListBullet"/>
      </w:pPr>
      <w:r>
        <w:rPr>
          <w:rFonts w:ascii="Meiryo UI" w:hAnsi="Meiryo UI"/>
          <w:sz w:val="20"/>
        </w:rPr>
        <w:t>長期COP契約比率が高く、スポット恩恵は限定的ながら市場再評価のカタリストとして機能</w:t>
      </w:r>
    </w:p>
    <w:p/>
    <w:p>
      <w:pPr>
        <w:pStyle w:val="Heading4"/>
      </w:pPr>
      <w:r>
        <w:rPr>
          <w:rFonts w:ascii="Meiryo UI" w:hAnsi="Meiryo UI"/>
          <w:color w:val="2E74B5"/>
        </w:rPr>
        <w:t>④ 製品輸送（自動車船：PCC）</w:t>
      </w:r>
    </w:p>
    <w:p>
      <w:pPr>
        <w:pStyle w:val="ListBullet"/>
      </w:pPr>
      <w:r>
        <w:rPr>
          <w:rFonts w:ascii="Meiryo UI" w:hAnsi="Meiryo UI"/>
          <w:sz w:val="20"/>
        </w:rPr>
        <w:t>完成車輸送。日本発輸出自動車が主体</w:t>
      </w:r>
    </w:p>
    <w:p>
      <w:pPr>
        <w:pStyle w:val="ListBullet"/>
      </w:pPr>
      <w:r>
        <w:rPr>
          <w:rFonts w:ascii="Meiryo UI" w:hAnsi="Meiryo UI"/>
          <w:sz w:val="20"/>
        </w:rPr>
        <w:t>EV化・世界自動車生産動向に左右される中長期リスク要因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競合比較（邦船3社）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 9107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日本郵船 9101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商船三井 9104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～6,500億円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～1.5兆円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～1.2兆円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ONE持分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LNGタンカー強度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ドライバルク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自動車船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株主還元積極性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外国人保有比率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相対的に低め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高め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深井コメント：外国人保有比率の低さが「出遅れ」の根拠。9101・9104への外国人フロー先行後、9107へのローテーション余地が存在する。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ホルムズ海峡封鎖懸念 → LNG運賃急騰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即時〜3ヶ月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スエズ迂回継続 → コンテナ需給逼迫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ONE 年間配当・中間配当発表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邦船3社中 9107の出遅れ解消フロー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中国景気低迷 → BDI低下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米中関税戦争 → コンテナ量減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円高加速（輸送料円換算目減り）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r>
        <w:rPr>
          <w:rFonts w:ascii="Meiryo UI" w:hAnsi="Meiryo UI"/>
          <w:sz w:val="20"/>
        </w:rPr>
        <w:t>&gt; 社長指示：「不労・浅井suggestion。出遅れフロー最終局面の判断を重視せよ」</w:t>
      </w:r>
    </w:p>
    <w:p/>
    <w:p>
      <w:pPr>
        <w:pStyle w:val="Heading3"/>
      </w:pPr>
      <w:r>
        <w:rPr>
          <w:rFonts w:ascii="Meiryo UI" w:hAnsi="Meiryo UI"/>
          <w:color w:val="2E74B5"/>
        </w:rPr>
        <w:t>2.1 「出遅れフロー最終局面」の定義と現状認識</w:t>
      </w:r>
    </w:p>
    <w:p/>
    <w:p>
      <w:r>
        <w:rPr>
          <w:rFonts w:ascii="Meiryo UI" w:hAnsi="Meiryo UI"/>
          <w:sz w:val="20"/>
        </w:rPr>
        <w:t>深井の解釈と判断：</w:t>
      </w:r>
    </w:p>
    <w:p/>
    <w:p>
      <w:r>
        <w:rPr>
          <w:rFonts w:ascii="Meiryo UI" w:hAnsi="Meiryo UI"/>
          <w:sz w:val="20"/>
        </w:rPr>
        <w:t>「出遅れフロー最終局面」とは、以下の市場ダイナミクスを指す：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【フロー波及モデル】</w:t>
        <w:br/>
        <w:t>Phase 1（完了）: ホルムズ懸念 → 9101（日本郵船）先行買い</w:t>
        <w:br/>
        <w:t xml:space="preserve">                 理由：時価総額最大・外国人認知度最高・流動性最優</w:t>
        <w:br/>
        <w:t xml:space="preserve">                          ↓</w:t>
        <w:br/>
        <w:t>Phase 2（進行中）: 9104（商船三井）への波及</w:t>
        <w:br/>
        <w:t xml:space="preserve">                  理由：ドライバルク・タンカー比率高・次なる流動性</w:t>
        <w:br/>
        <w:t xml:space="preserve">                          ↓</w:t>
        <w:br/>
        <w:t>Phase 3（これがターゲット）: 9107（川崎汽船）への最終ローテーション</w:t>
        <w:br/>
        <w:t xml:space="preserve">                            ←──── 今まさにここ</w:t>
      </w:r>
    </w:p>
    <w:p/>
    <w:p>
      <w:pPr>
        <w:pStyle w:val="Heading3"/>
      </w:pPr>
      <w:r>
        <w:rPr>
          <w:rFonts w:ascii="Meiryo UI" w:hAnsi="Meiryo UI"/>
          <w:color w:val="2E74B5"/>
        </w:rPr>
        <w:t>2.2 出遅れ解消の定量的根拠</w:t>
      </w:r>
    </w:p>
    <w:p/>
    <w:p>
      <w:r>
        <w:rPr>
          <w:rFonts w:ascii="Meiryo UI" w:hAnsi="Meiryo UI"/>
          <w:sz w:val="20"/>
        </w:rPr>
        <w:t>直近パフォーマンス比較（ホルムズ懸念発生後〜2026年4月5日・推定）：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上昇率（推定）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出遅れ幅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9101 日本郵船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+18〜22%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9104 商船三井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+14〜18%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9107 川崎汽船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▲8〜10%ポイントの出遅れ</w:t>
            </w:r>
          </w:p>
        </w:tc>
      </w:tr>
    </w:tbl>
    <w:p/>
    <w:p>
      <w:r>
        <w:rPr>
          <w:rFonts w:ascii="Meiryo UI" w:hAnsi="Meiryo UI"/>
          <w:sz w:val="20"/>
        </w:rPr>
        <w:t>&gt; 注: 上記は公開情報・市場観察に基づく推定値。実際の数値は要確認。</w:t>
      </w:r>
    </w:p>
    <w:p/>
    <w:p>
      <w:r>
        <w:rPr>
          <w:rFonts w:ascii="Meiryo UI" w:hAnsi="Meiryo UI"/>
          <w:sz w:val="20"/>
        </w:rPr>
        <w:t>出遅れの構造的理由（解消ターゲット）：</w:t>
      </w:r>
    </w:p>
    <w:p/>
    <w:p>
      <w:pPr>
        <w:pStyle w:val="ListNumber"/>
      </w:pPr>
      <w:r>
        <w:rPr>
          <w:rFonts w:ascii="Meiryo UI" w:hAnsi="Meiryo UI"/>
          <w:sz w:val="20"/>
        </w:rPr>
        <w:t>LNGタンカーの長期契約比率: スポット急騰の即時業績反映が限定的 → 市場が過小評価している可能性</w:t>
      </w:r>
    </w:p>
    <w:p>
      <w:pPr>
        <w:pStyle w:val="ListNumber"/>
      </w:pPr>
      <w:r>
        <w:rPr>
          <w:rFonts w:ascii="Meiryo UI" w:hAnsi="Meiryo UI"/>
          <w:sz w:val="20"/>
        </w:rPr>
        <w:t>ONE持分利益の認知不足: 9107の企業規模感（時価総額）vs 実質的なONE収益貢献度のギャップ</w:t>
      </w:r>
    </w:p>
    <w:p>
      <w:pPr>
        <w:pStyle w:val="ListNumber"/>
      </w:pPr>
      <w:r>
        <w:rPr>
          <w:rFonts w:ascii="Meiryo UI" w:hAnsi="Meiryo UI"/>
          <w:sz w:val="20"/>
        </w:rPr>
        <w:t>流動性の低さ: 外国人投資家が最後に手を出す構造的理由</w:t>
      </w:r>
    </w:p>
    <w:p>
      <w:pPr>
        <w:pStyle w:val="ListNumber"/>
      </w:pPr>
      <w:r>
        <w:rPr>
          <w:rFonts w:ascii="Meiryo UI" w:hAnsi="Meiryo UI"/>
          <w:sz w:val="20"/>
        </w:rPr>
        <w:t>アナリストカバレッジ不足: 邦船3社中、最も機関投資家の注目が集まりにくい</w:t>
      </w:r>
    </w:p>
    <w:p/>
    <w:p>
      <w:pPr>
        <w:pStyle w:val="Heading3"/>
      </w:pPr>
      <w:r>
        <w:rPr>
          <w:rFonts w:ascii="Meiryo UI" w:hAnsi="Meiryo UI"/>
          <w:color w:val="2E74B5"/>
        </w:rPr>
        <w:t>2.3 「最終局面」の判断根拠と時間軸</w:t>
      </w:r>
    </w:p>
    <w:p/>
    <w:p>
      <w:r>
        <w:rPr>
          <w:rFonts w:ascii="Meiryo UI" w:hAnsi="Meiryo UI"/>
          <w:sz w:val="20"/>
        </w:rPr>
        <w:t>深井判断：現在は Phase 3 の初動〜中盤。最終局面と呼ぶには若干早い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出遅れフロー解消タイムライン（深井シナリオ）</w:t>
        <w:br/>
        <w:t>────────────────────────────────────────</w:t>
        <w:br/>
        <w:t>Week 1-2  : 9107へのローテーション開始（現在地）</w:t>
        <w:br/>
        <w:t>Week 3-4  : 9101・9104保有の外国人が一部スイッチ</w:t>
        <w:br/>
        <w:t>Week 5-8  : 出遅れ解消完了 → 3社均等パフォーマンスへ</w:t>
        <w:br/>
        <w:t>Week 8以降: セクター全体方向性依存（ホルムズ情勢次第）</w:t>
        <w:br/>
        <w:t>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「最終局面」と断言するための確認事項：</w:t>
      </w:r>
    </w:p>
    <w:p>
      <w:pPr>
        <w:pStyle w:val="ListBullet"/>
      </w:pPr>
      <w:r>
        <w:rPr>
          <w:rFonts w:ascii="Meiryo UI" w:hAnsi="Meiryo UI"/>
          <w:sz w:val="20"/>
        </w:rPr>
        <w:t>[ ] 9107の出来高が直近20日平均の1.5倍以上に達しているか</w:t>
      </w:r>
    </w:p>
    <w:p>
      <w:pPr>
        <w:pStyle w:val="ListBullet"/>
      </w:pPr>
      <w:r>
        <w:rPr>
          <w:rFonts w:ascii="Meiryo UI" w:hAnsi="Meiryo UI"/>
          <w:sz w:val="20"/>
        </w:rPr>
        <w:t>[ ] 9101・9104の上昇が一服（頭打ち）しているか</w:t>
      </w:r>
    </w:p>
    <w:p>
      <w:pPr>
        <w:pStyle w:val="ListBullet"/>
      </w:pPr>
      <w:r>
        <w:rPr>
          <w:rFonts w:ascii="Meiryo UI" w:hAnsi="Meiryo UI"/>
          <w:sz w:val="20"/>
        </w:rPr>
        <w:t>[ ] 外国人投資家の買い越しが9107で観測されているか</w:t>
      </w:r>
    </w:p>
    <w:p>
      <w:pPr>
        <w:pStyle w:val="ListBullet"/>
      </w:pPr>
      <w:r>
        <w:rPr>
          <w:rFonts w:ascii="Meiryo UI" w:hAnsi="Meiryo UI"/>
          <w:sz w:val="20"/>
        </w:rPr>
        <w:t>[ ] テクニカル的に9107の節目抵抗線を突破しているか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2.4 「3社均等買いの最終到達点」としての9107</w:t>
      </w:r>
    </w:p>
    <w:p/>
    <w:p>
      <w:r>
        <w:rPr>
          <w:rFonts w:ascii="Meiryo UI" w:hAnsi="Meiryo UI"/>
          <w:sz w:val="20"/>
        </w:rPr>
        <w:t>浅井氏が指摘する「3社均等買いの最終到達点」は理論的に極めて合理的：</w:t>
      </w:r>
    </w:p>
    <w:p/>
    <w:p>
      <w:r>
        <w:rPr>
          <w:rFonts w:ascii="Meiryo UI" w:hAnsi="Meiryo UI"/>
          <w:sz w:val="20"/>
        </w:rPr>
        <w:t>論拠：</w:t>
      </w:r>
    </w:p>
    <w:p>
      <w:pPr>
        <w:pStyle w:val="ListBullet"/>
      </w:pPr>
      <w:r>
        <w:rPr>
          <w:rFonts w:ascii="Meiryo UI" w:hAnsi="Meiryo UI"/>
          <w:sz w:val="20"/>
        </w:rPr>
        <w:t>ONE持分はほぼ同等（各33.3%）</w:t>
      </w:r>
    </w:p>
    <w:p>
      <w:pPr>
        <w:pStyle w:val="ListBullet"/>
      </w:pPr>
      <w:r>
        <w:rPr>
          <w:rFonts w:ascii="Meiryo UI" w:hAnsi="Meiryo UI"/>
          <w:sz w:val="20"/>
        </w:rPr>
        <w:t>ホルムズ恩恵の本質的な受益構造は3社で類似</w:t>
      </w:r>
    </w:p>
    <w:p>
      <w:pPr>
        <w:pStyle w:val="ListBullet"/>
      </w:pPr>
      <w:r>
        <w:rPr>
          <w:rFonts w:ascii="Meiryo UI" w:hAnsi="Meiryo UI"/>
          <w:sz w:val="20"/>
        </w:rPr>
        <w:t>市場が3社を等しく評価するなら、出遅れは必ず解消される</w:t>
      </w:r>
    </w:p>
    <w:p>
      <w:pPr>
        <w:pStyle w:val="ListBullet"/>
      </w:pPr>
      <w:r>
        <w:rPr>
          <w:rFonts w:ascii="Meiryo UI" w:hAnsi="Meiryo UI"/>
          <w:sz w:val="20"/>
        </w:rPr>
        <w:t>ただし「最終到達点」であることは両刃の剣 — セクター下落時に最後に売られるリスクも内包</w:t>
      </w:r>
    </w:p>
    <w:p/>
    <w:p>
      <w:pPr>
        <w:pStyle w:val="Heading3"/>
      </w:pPr>
      <w:r>
        <w:rPr>
          <w:rFonts w:ascii="Meiryo UI" w:hAnsi="Meiryo UI"/>
          <w:color w:val="2E74B5"/>
        </w:rPr>
        <w:t>2.5 深井の出遅れフロー判定スコア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出遅れフロー投資適性スコア（10点満点）</w:t>
        <w:br/>
        <w:t>─────────────────────────────────────</w:t>
        <w:br/>
        <w:t>① 出遅れの存在確認           : 8/10</w:t>
        <w:br/>
        <w:t>② 出遅れ解消の触媒（明確性）  : 7/10</w:t>
        <w:br/>
        <w:t>③ 時間軸の妥当性              : 7/10</w:t>
        <w:br/>
        <w:t>④ ダウンサイドリスク許容度     : 6/10</w:t>
        <w:br/>
        <w:t>⑤ 流動性（エグジット可否）    : 6/10</w:t>
        <w:br/>
        <w:t>─────────────────────────────────────</w:t>
        <w:br/>
        <w:t>総合スコア                    : 34/50（68点）→ 投資実行水準</w:t>
        <w:br/>
        <w:t>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結論（社長への直言）：出遅れフロー解消の論理は成立している。ただし「最終局面」は若干の誇張があり、実際には「初動〜中盤」が深井の見立て。エントリーを急ぐ理由はあるが、全力一点はリスク。段階的ポジション構築を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8,800〜9,500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▲横ばい〜微減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1,200〜1,800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要注意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14〜19%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低下傾向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税引前利益（億円）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2,200〜3,000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ONE持分次第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1,600〜2,400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約4,700〜7,100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注：ONE社の持分利益が当期純利益の50〜60%を占める特殊構造。表面的な売上高・営業利益では収益力を過小評価しやすい。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バランスシート（BS）サマリー（FY2024期末推定）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約19,000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海運業として極めて健全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ネットD/E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約0.11倍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実質無借金に近い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PBR換算: 約0.55〜0.65倍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営業CF（億円）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1,500〜2,200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投資CF（億円）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▲1,200〜▲1,800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フリーCF（億円）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300〜400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配当金（円/株）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800〜1,200</w:t>
            </w:r>
          </w:p>
        </w:tc>
      </w:tr>
    </w:tbl>
    <w:p/>
    <w:p>
      <w:r>
        <w:rPr>
          <w:rFonts w:ascii="Meiryo UI" w:hAnsi="Meiryo UI"/>
          <w:sz w:val="20"/>
        </w:rPr>
        <w:t>&gt; 注: 配当は業績連動型（総還元性向30〜50%目安）。ONE配当の受取が大きく変動要因。</w:t>
      </w:r>
    </w:p>
    <w:p/>
    <w:p>
      <w:pPr>
        <w:pStyle w:val="Heading3"/>
      </w:pPr>
      <w:r>
        <w:rPr>
          <w:rFonts w:ascii="Meiryo UI" w:hAnsi="Meiryo UI"/>
          <w:color w:val="2E74B5"/>
        </w:rPr>
        <w:t>3.4 重要財務指標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PER（FY2025予想）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約2.5〜4.0倍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約0.55〜0.65倍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解散価値以下圏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約3〜5倍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同業比較で割安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約4〜7%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高利回り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リスクフリーレート・パラメータ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Rf = 1.500%（日本10年国債JGB10Y）</w:t>
        <w:br/>
        <w:t xml:space="preserve">  取得日時: 2026-04-05 17:29 JST（フォールバック値）</w:t>
        <w:br/>
        <w:t xml:space="preserve">  参照元: https://jp.investing.com/rates-bonds/japan-10-year-bond-yield-streaming-chart</w:t>
      </w:r>
    </w:p>
    <w:p/>
    <w:p>
      <w:pPr>
        <w:pStyle w:val="Heading4"/>
      </w:pPr>
      <w:r>
        <w:rPr>
          <w:rFonts w:ascii="Meiryo UI" w:hAnsi="Meiryo UI"/>
          <w:color w:val="2E74B5"/>
        </w:rPr>
        <w:t>β（ベータ）の推定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川崎汽船 β（推定）:</w:t>
        <w:br/>
        <w:t xml:space="preserve">  過去5年実績ベータ  : 約1.15〜1.30（TOPIX対比）</w:t>
        <w:br/>
        <w:t xml:space="preserve">  海運セクター平均β  : 約1.20</w:t>
        <w:br/>
        <w:t xml:space="preserve">  採用値            : β = 1.20</w:t>
        <w:br/>
        <w:t xml:space="preserve">  根拠: 海運業は景気敏感セクターだが、長期契約比率の高さが</w:t>
        <w:br/>
        <w:t xml:space="preserve">        やや変動を抑制。中型海運会社として標準的なβ。</w:t>
      </w:r>
    </w:p>
    <w:p/>
    <w:p>
      <w:pPr>
        <w:pStyle w:val="Heading4"/>
      </w:pPr>
      <w:r>
        <w:rPr>
          <w:rFonts w:ascii="Meiryo UI" w:hAnsi="Meiryo UI"/>
          <w:color w:val="2E74B5"/>
        </w:rPr>
        <w:t>ERP（市場リスクプレミアム）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ERP（Equity Risk Premium）:</w:t>
        <w:br/>
        <w:t xml:space="preserve">  グローバルスタンダード: 5.0〜6.0%</w:t>
        <w:br/>
        <w:t xml:space="preserve">  日本市場調整後       : 5.5%（Damodaran 2025参照）</w:t>
        <w:br/>
        <w:t xml:space="preserve">  採用値             : ERP = 5.5%</w:t>
      </w:r>
    </w:p>
    <w:p/>
    <w:p>
      <w:pPr>
        <w:pStyle w:val="Heading4"/>
      </w:pPr>
      <w:r>
        <w:rPr>
          <w:rFonts w:ascii="Meiryo UI" w:hAnsi="Meiryo UI"/>
          <w:color w:val="2E74B5"/>
        </w:rPr>
        <w:t>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1.500% + 1.20 × 5.5%</w:t>
        <w:br/>
        <w:t xml:space="preserve">   = 1.500% + 6.600%</w:t>
        <w:br/>
        <w:t xml:space="preserve">   = 8.100%</w:t>
      </w:r>
    </w:p>
    <w:p/>
    <w:p>
      <w:pPr>
        <w:pStyle w:val="Heading4"/>
      </w:pPr>
      <w:r>
        <w:rPr>
          <w:rFonts w:ascii="Meiryo UI" w:hAnsi="Meiryo UI"/>
          <w:color w:val="2E74B5"/>
        </w:rPr>
        <w:t>負債コスト（Rd）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Rd（税前）: 1.5〜2.0%（優良海運会社・低金利環境）</w:t>
        <w:br/>
        <w:t>採用値    : Rd = 1.8%</w:t>
        <w:br/>
        <w:t>実効税率  : Tc = 30%</w:t>
        <w:br/>
        <w:t>Rd × (1-Tc) = 1.8% × 0.70 = 1.26%</w:t>
      </w:r>
    </w:p>
    <w:p/>
    <w:p>
      <w:pPr>
        <w:pStyle w:val="Heading4"/>
      </w:pPr>
      <w:r>
        <w:rPr>
          <w:rFonts w:ascii="Meiryo UI" w:hAnsi="Meiryo UI"/>
          <w:color w:val="2E74B5"/>
        </w:rPr>
        <w:t>資本構成（FY2024期末推定）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E（株式時価総額）: 約6,500億円</w:t>
        <w:br/>
        <w:t>D（有利子負債）  : 約4,500億円</w:t>
        <w:br/>
        <w:t>D+E             : 約11,000億円</w:t>
        <w:br/>
        <w:t>E/(D+E)         : 59.1%</w:t>
        <w:br/>
        <w:t>D/(D+E)         : 40.9%</w:t>
      </w:r>
    </w:p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[0.591 × 8.100%] + [0.409 × 1.26%]</w:t>
        <w:br/>
        <w:t xml:space="preserve">     = 4.788% + 0.515%</w:t>
        <w:br/>
        <w:t xml:space="preserve">     = 5.303%</w:t>
        <w:br/>
        <w:t xml:space="preserve">     ≈ 5.3%</w:t>
      </w:r>
    </w:p>
    <w:p/>
    <w:p>
      <w:pPr>
        <w:pStyle w:val="Heading3"/>
      </w:pPr>
      <w:r>
        <w:rPr>
          <w:rFonts w:ascii="Meiryo UI" w:hAnsi="Meiryo UI"/>
          <w:color w:val="2E74B5"/>
        </w:rPr>
        <w:t>4.2 FCF予測（5年間）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ホルムズ緊張が1〜2年継続後、徐々に正常化</w:t>
      </w:r>
    </w:p>
    <w:p>
      <w:pPr>
        <w:pStyle w:val="ListBullet"/>
      </w:pPr>
      <w:r>
        <w:rPr>
          <w:rFonts w:ascii="Meiryo UI" w:hAnsi="Meiryo UI"/>
          <w:sz w:val="20"/>
        </w:rPr>
        <w:t>ONE持分利益は中期的に1,000〜1,500億円水準で推移</w:t>
      </w:r>
    </w:p>
    <w:p>
      <w:pPr>
        <w:pStyle w:val="ListBullet"/>
      </w:pPr>
      <w:r>
        <w:rPr>
          <w:rFonts w:ascii="Meiryo UI" w:hAnsi="Meiryo UI"/>
          <w:sz w:val="20"/>
        </w:rPr>
        <w:t>船舶更新投資（脱炭素対応）が資本支出を押し上げ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【ベースケース FCF予測】</w:t>
        <w:br/>
        <w:t>─────────────────────────────────────────────────</w:t>
        <w:br/>
        <w:t xml:space="preserve">  年度      EBITDA    CAPEX    運転資本   NOPAT   FCF</w:t>
        <w:br/>
        <w:t xml:space="preserve">            (億円)   (億円)    変動(億円) (億円) (億円)</w:t>
        <w:br/>
        <w:t>─────────────────────────────────────────────────</w:t>
        <w:br/>
        <w:t xml:space="preserve">  FY2026    3,500   ▲1,600    ▲100      1,800   1,400</w:t>
        <w:br/>
        <w:t xml:space="preserve">  FY2027    3,200   ▲1,500    ▲ 50      1,650   1,250</w:t>
        <w:br/>
        <w:t xml:space="preserve">  FY2028    3,000   ▲1,400      0       1,560   1,160</w:t>
        <w:br/>
        <w:t xml:space="preserve">  FY2029    2,900   ▲1,300    +100      1,520   1,100</w:t>
        <w:br/>
        <w:t xml:space="preserve">  FY2030    3,000   ▲1,300      0       1,560   1,150</w:t>
        <w:br/>
        <w:t>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注：FCFには ONE からの配当受取（持分利益の現金化）を含む</w:t>
      </w:r>
    </w:p>
    <w:p/>
    <w:p>
      <w:pPr>
        <w:pStyle w:val="Heading3"/>
      </w:pPr>
      <w:r>
        <w:rPr>
          <w:rFonts w:ascii="Meiryo UI" w:hAnsi="Meiryo UI"/>
          <w:color w:val="2E74B5"/>
        </w:rPr>
        <w:t>4.3 ターミナルバリュー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ターミナル成長率 g = 1.5%</w:t>
        <w:br/>
        <w:t>（名目GDP成長率近似。海運業の超長期成長として保守的設定）</w:t>
        <w:br/>
        <w:br/>
        <w:t>ターミナルFCF（FY2031e）= FY2030 FCF × (1 + g)</w:t>
        <w:br/>
        <w:t xml:space="preserve">                        = 1,150 × 1.015</w:t>
        <w:br/>
        <w:t xml:space="preserve">                        = 1,167億円</w:t>
        <w:br/>
        <w:br/>
        <w:t>TV（ターミナルバリュー）= ターミナルFCF / (WACC - g)</w:t>
        <w:br/>
        <w:t xml:space="preserve">                      = 1,167 / (5.3% - 1.5%)</w:t>
        <w:br/>
        <w:t xml:space="preserve">                      = 1,167 / 3.8%</w:t>
        <w:br/>
        <w:t xml:space="preserve">                      = 30,711億円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4.4 DCF合計と理論株価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【DCF現在価値計算】</w:t>
        <w:br/>
        <w:t>─────────────────────────────────────────────────</w:t>
        <w:br/>
        <w:t xml:space="preserve">  年度     FCF(億円)  割引係数(5.3%) PV(億円)</w:t>
        <w:br/>
        <w:t>─────────────────────────────────────────────────</w:t>
        <w:br/>
        <w:t xml:space="preserve">  FY2026    1,400      0.9497         1,330</w:t>
        <w:br/>
        <w:t xml:space="preserve">  FY2027    1,250      0.9020         1,128</w:t>
        <w:br/>
        <w:t xml:space="preserve">  FY2028    1,160      0.8566         1,042 (修正済)</w:t>
        <w:br/>
        <w:t xml:space="preserve">  FY2029    1,100      0.8135           895</w:t>
        <w:br/>
        <w:t xml:space="preserve">  FY2030    1,150      0.7726           889</w:t>
        <w:br/>
        <w:t>─────────────────────────────────────────────────</w:t>
        <w:br/>
        <w:t xml:space="preserve">  予測期間PV合計                       5,284</w:t>
        <w:br/>
        <w:t xml:space="preserve">  TV現在価値 = 30,711 × 0.7726       23,731</w:t>
        <w:br/>
        <w:t>─────────────────────────────────────────────────</w:t>
        <w:br/>
        <w:t xml:space="preserve">  企業価値（EV）                      29,015</w:t>
        <w:br/>
        <w:t>─────────────────────────────────────────────────</w:t>
        <w:br/>
        <w:br/>
        <w:t>ネット調整:</w:t>
        <w:br/>
        <w:t xml:space="preserve">  + 現預金            +3,200億円</w:t>
        <w:br/>
        <w:t xml:space="preserve">  - 有利子負債        ▲4,500億円</w:t>
        <w:br/>
        <w:t xml:space="preserve">  ─────────────────</w:t>
        <w:br/>
        <w:t xml:space="preserve">  株主価値            27,715億円</w:t>
        <w:br/>
        <w:br/>
        <w:t>発行済株式数（推定）: 約3,400万株（株式分割調整後）</w:t>
        <w:br/>
        <w:t>※ 正確な株式数は要確認。以下は試算値。</w:t>
        <w:br/>
        <w:br/>
        <w:t>理論株価 = 27,715億円 ÷ 3,400万株</w:t>
        <w:br/>
        <w:t xml:space="preserve">         = 約81,500円/株</w:t>
      </w:r>
    </w:p>
    <w:p/>
    <w:p>
      <w:r>
        <w:rPr>
          <w:rFonts w:ascii="Meiryo UI" w:hAnsi="Meiryo UI"/>
          <w:sz w:val="20"/>
        </w:rPr>
        <w:t>&gt; 深井注: 川崎汽船は過去に株式分割を実施しており、発行済株式数は変動している。本計算では約3,400万株（2025年3月期ベース推定）を使用。実際の株価単価と比較する際は分割調整を確認のこと。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バリュエーション・サマリー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試算値（円/株）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81,500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EV/EBITDA比較法（3〜5倍）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75,000〜88,000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PBR修正（適正PBR 0.8倍）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72,000〜85,000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配当割引モデル（DDM）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68,000〜78,000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78,000〜84,000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理論株価（中央値）     : 約81,000円</w:t>
        <w:br/>
        <w:t>現在株価（推定）       : 約57,000〜62,000円</w:t>
        <w:br/>
        <w:br/>
        <w:t>─────────────────────────────────────────────</w:t>
        <w:br/>
        <w:t>上昇余地（理論株価比）: +30〜42%</w:t>
        <w:br/>
        <w:t>─────────────────────────────────────────────</w:t>
        <w:br/>
        <w:br/>
        <w:t>保守的安全域バッファ（▲20%割引）:</w:t>
        <w:br/>
        <w:t xml:space="preserve">  保守的目標株価 = 81,000 × 0.80 = 64,800円</w:t>
        <w:br/>
        <w:br/>
        <w:t>超保守的安全域バッファ（▲30%割引）:</w:t>
        <w:br/>
        <w:t xml:space="preserve">  超保守的目標株価 = 81,000 × 0.70 = 56,700円</w:t>
        <w:br/>
        <w:t>─────────────────────────────────────────────</w:t>
        <w:br/>
        <w:t xml:space="preserve">  → 現在株価は超保守的目標株価とほぼ同水準</w:t>
        <w:br/>
        <w:t xml:space="preserve">  → つまり、現在値はほぼ最大保守割引水準</w:t>
        <w:br/>
        <w:t xml:space="preserve">  → 下方リスクが限定的な水準でエントリー可能と判断</w:t>
        <w:br/>
        <w:t>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╔═══════════════════════════════════════════════════╗</w:t>
        <w:br/>
        <w:t>║                                                   ║</w:t>
        <w:br/>
        <w:t>║   投資判断：  BUY（買い）                          ║</w:t>
        <w:br/>
        <w:t>║                                                   ║</w:t>
        <w:br/>
        <w:t>║   理論株価   : 78,000〜84,000円（12ヶ月目標）      ║</w:t>
        <w:br/>
        <w:t>║   現在株価   : 約57,000〜62,000円（推定）          ║</w:t>
        <w:br/>
        <w:t>║   上昇余地   : +26〜47%                           ║</w:t>
        <w:br/>
        <w:t>║   配当利回り : 約4〜7%（インカム込み総リターン）   ║</w:t>
        <w:br/>
        <w:t>║                                                   ║</w:t>
        <w:br/>
        <w:t>╚═══════════════════════════════════════════════════╝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格付け根拠：</w:t>
      </w:r>
    </w:p>
    <w:p>
      <w:pPr>
        <w:pStyle w:val="ListBullet"/>
      </w:pPr>
      <w:r>
        <w:rPr>
          <w:rFonts w:ascii="Meiryo UI" w:hAnsi="Meiryo UI"/>
          <w:sz w:val="20"/>
        </w:rPr>
        <w:t>PBR 0.6倍以下の解散価値割れは構造的買い支援</w:t>
      </w:r>
    </w:p>
    <w:p>
      <w:pPr>
        <w:pStyle w:val="ListBullet"/>
      </w:pPr>
      <w:r>
        <w:rPr>
          <w:rFonts w:ascii="Meiryo UI" w:hAnsi="Meiryo UI"/>
          <w:sz w:val="20"/>
        </w:rPr>
        <w:t>ホルムズ緊張という明確なカタリスト存在</w:t>
      </w:r>
    </w:p>
    <w:p>
      <w:pPr>
        <w:pStyle w:val="ListBullet"/>
      </w:pPr>
      <w:r>
        <w:rPr>
          <w:rFonts w:ascii="Meiryo UI" w:hAnsi="Meiryo UI"/>
          <w:sz w:val="20"/>
        </w:rPr>
        <w:t>出遅れ解消フローという需給面の追い風</w:t>
      </w:r>
    </w:p>
    <w:p>
      <w:pPr>
        <w:pStyle w:val="ListBullet"/>
      </w:pPr>
      <w:r>
        <w:rPr>
          <w:rFonts w:ascii="Meiryo UI" w:hAnsi="Meiryo UI"/>
          <w:sz w:val="20"/>
        </w:rPr>
        <w:t>配当利回り4〜7%の高いインカムバッファ</w:t>
      </w:r>
    </w:p>
    <w:p>
      <w:pPr>
        <w:pStyle w:val="ListBullet"/>
      </w:pPr>
      <w:r>
        <w:rPr>
          <w:rFonts w:ascii="Meiryo UI" w:hAnsi="Meiryo UI"/>
          <w:sz w:val="20"/>
        </w:rPr>
        <w:t>ただし「強い買い」としないのは：ONE依存リスク・米中関税リスクの不透明感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強気シナリオ（確率：25%）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ホルムズ封鎖が本格化 → LNG・原油タンカー運賃が+50〜100%急騰</w:t>
      </w:r>
    </w:p>
    <w:p>
      <w:pPr>
        <w:pStyle w:val="ListBullet"/>
      </w:pPr>
      <w:r>
        <w:rPr>
          <w:rFonts w:ascii="Meiryo UI" w:hAnsi="Meiryo UI"/>
          <w:sz w:val="20"/>
        </w:rPr>
        <w:t>コンテナ運賃の高止まり継続（紅海迂回＋ホルムズ複合）</w:t>
      </w:r>
    </w:p>
    <w:p>
      <w:pPr>
        <w:pStyle w:val="ListBullet"/>
      </w:pPr>
      <w:r>
        <w:rPr>
          <w:rFonts w:ascii="Meiryo UI" w:hAnsi="Meiryo UI"/>
          <w:sz w:val="20"/>
        </w:rPr>
        <w:t>ONE社が特別配当を実施</w:t>
      </w:r>
    </w:p>
    <w:p>
      <w:pPr>
        <w:pStyle w:val="ListBullet"/>
      </w:pPr>
      <w:r>
        <w:rPr>
          <w:rFonts w:ascii="Meiryo UI" w:hAnsi="Meiryo UI"/>
          <w:sz w:val="20"/>
        </w:rPr>
        <w:t>円高進行が軽微（150円/ドル前後）</w:t>
      </w:r>
    </w:p>
    <w:p/>
    <w:p>
      <w:r>
        <w:rPr>
          <w:rFonts w:ascii="Meiryo UI" w:hAnsi="Meiryo UI"/>
          <w:sz w:val="20"/>
        </w:rPr>
        <w:t>業績インパクト：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 当期純利益 : 3,500〜4,000億円</w:t>
        <w:br/>
        <w:t>EPS              : 約10,000〜11,800円</w:t>
        <w:br/>
        <w:t>目標株価（強気）  : 95,000〜110,000円</w:t>
        <w:br/>
        <w:t>上昇率           : +53〜77%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基本シナリオ（確率：50%）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ホルムズ緊張継続だが封鎖には至らず</w:t>
      </w:r>
    </w:p>
    <w:p>
      <w:pPr>
        <w:pStyle w:val="ListBullet"/>
      </w:pPr>
      <w:r>
        <w:rPr>
          <w:rFonts w:ascii="Meiryo UI" w:hAnsi="Meiryo UI"/>
          <w:sz w:val="20"/>
        </w:rPr>
        <w:t>LNG運賃は+20〜30%の上昇で一服</w:t>
      </w:r>
    </w:p>
    <w:p>
      <w:pPr>
        <w:pStyle w:val="ListBullet"/>
      </w:pPr>
      <w:r>
        <w:rPr>
          <w:rFonts w:ascii="Meiryo UI" w:hAnsi="Meiryo UI"/>
          <w:sz w:val="20"/>
        </w:rPr>
        <w:t>ONEの収益は高水準維持（運賃正常化前）</w:t>
      </w:r>
    </w:p>
    <w:p>
      <w:pPr>
        <w:pStyle w:val="ListBullet"/>
      </w:pPr>
      <w:r>
        <w:rPr>
          <w:rFonts w:ascii="Meiryo UI" w:hAnsi="Meiryo UI"/>
          <w:sz w:val="20"/>
        </w:rPr>
        <w:t>円は145〜155円/ドルで推移</w:t>
      </w:r>
    </w:p>
    <w:p/>
    <w:p>
      <w:r>
        <w:rPr>
          <w:rFonts w:ascii="Meiryo UI" w:hAnsi="Meiryo UI"/>
          <w:sz w:val="20"/>
        </w:rPr>
        <w:t>業績インパクト：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 当期純利益 : 2,000〜2,500億円</w:t>
        <w:br/>
        <w:t>EPS              : 約5,900〜7,400円</w:t>
        <w:br/>
        <w:t>目標株価（基本）  : 78,000〜84,000円</w:t>
        <w:br/>
        <w:t>上昇率           : +26〜35%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弱気シナリオ（確率：25%）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ホルムズ緊張が早期緩和・運賃急落</w:t>
      </w:r>
    </w:p>
    <w:p>
      <w:pPr>
        <w:pStyle w:val="ListBullet"/>
      </w:pPr>
      <w:r>
        <w:rPr>
          <w:rFonts w:ascii="Meiryo UI" w:hAnsi="Meiryo UI"/>
          <w:sz w:val="20"/>
        </w:rPr>
        <w:t>米中関税戦争深刻化 → コンテナ需要▲15〜20%</w:t>
      </w:r>
    </w:p>
    <w:p>
      <w:pPr>
        <w:pStyle w:val="ListBullet"/>
      </w:pPr>
      <w:r>
        <w:rPr>
          <w:rFonts w:ascii="Meiryo UI" w:hAnsi="Meiryo UI"/>
          <w:sz w:val="20"/>
        </w:rPr>
        <w:t>中国景気失速 → BDI急落</w:t>
      </w:r>
    </w:p>
    <w:p>
      <w:pPr>
        <w:pStyle w:val="ListBullet"/>
      </w:pPr>
      <w:r>
        <w:rPr>
          <w:rFonts w:ascii="Meiryo UI" w:hAnsi="Meiryo UI"/>
          <w:sz w:val="20"/>
        </w:rPr>
        <w:t>円高加速（130〜135円/ドル）</w:t>
      </w:r>
    </w:p>
    <w:p/>
    <w:p>
      <w:r>
        <w:rPr>
          <w:rFonts w:ascii="Meiryo UI" w:hAnsi="Meiryo UI"/>
          <w:sz w:val="20"/>
        </w:rPr>
        <w:t>業績インパクト：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