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[9115] 明海グループ【社長優先3指示】</w:t>
      </w:r>
    </w:p>
    <w:p/>
    <w:p/>
    <w:p>
      <w:pPr>
        <w:jc w:val="center"/>
      </w:pPr>
      <w:r>
        <w:rPr>
          <w:rFonts w:ascii="Meiryo UI" w:hAnsi="Meiryo UI"/>
          <w:sz w:val="24"/>
        </w:rPr>
        <w:t>アナリスト：深井</w:t>
      </w:r>
    </w:p>
    <w:p>
      <w:pPr>
        <w:jc w:val="center"/>
      </w:pPr>
      <w:r>
        <w:rPr>
          <w:rFonts w:ascii="Meiryo UI" w:hAnsi="Meiryo UI"/>
          <w:sz w:val="24"/>
        </w:rPr>
        <w:t>分析日：2026-04-05</w:t>
      </w:r>
    </w:p>
    <w:p>
      <w:r>
        <w:br w:type="page"/>
      </w:r>
    </w:p>
    <w:p>
      <w:pPr>
        <w:pStyle w:val="Heading1"/>
      </w:pPr>
      <w:r>
        <w:rPr>
          <w:rFonts w:ascii="Meiryo UI" w:hAnsi="Meiryo UI"/>
          <w:color w:val="1F3864"/>
        </w:rPr>
        <w:t>深井 DeepResearchレポート — [9115] 明海グループ【社長優先3指示】</w:t>
      </w:r>
    </w:p>
    <w:p>
      <w:r>
        <w:rPr>
          <w:rFonts w:ascii="Meiryo UI" w:hAnsi="Meiryo UI"/>
          <w:sz w:val="20"/>
        </w:rPr>
        <w:t>作成日: 2026-04-05  |  アナリスト: 深井  |  分類: BUY</w:t>
      </w:r>
    </w:p>
    <w:p>
      <w:r>
        <w:rPr>
          <w:rFonts w:ascii="Meiryo UI" w:hAnsi="Meiryo UI"/>
          <w:sz w:val="20"/>
        </w:rPr>
        <w:t>浅井スコア: +62  |  ソース: TDnet + 公開情報 + 浅井マスターDB</w:t>
      </w:r>
    </w:p>
    <w:p/>
    <w:p>
      <w:r>
        <w:t>──────────────────────────────────────────────────</w:t>
      </w:r>
    </w:p>
    <w:p/>
    <w:p>
      <w:pPr>
        <w:pStyle w:val="Heading1"/>
      </w:pPr>
      <w:r>
        <w:rPr>
          <w:rFonts w:ascii="Meiryo UI" w:hAnsi="Meiryo UI"/>
          <w:color w:val="1F3864"/>
        </w:rPr>
        <w:t>明海グループ（9115）DeepResearchレポート</w:t>
      </w:r>
    </w:p>
    <w:p>
      <w:pPr>
        <w:pStyle w:val="Heading2"/>
      </w:pPr>
      <w:r>
        <w:rPr>
          <w:rFonts w:ascii="Meiryo UI" w:hAnsi="Meiryo UI"/>
          <w:color w:val="2E74B5"/>
        </w:rPr>
        <w:t>竹村トレードカンパニー｜アナリスト: 深井</w:t>
      </w:r>
    </w:p>
    <w:p>
      <w:pPr>
        <w:pStyle w:val="Heading3"/>
      </w:pPr>
      <w:r>
        <w:rPr>
          <w:rFonts w:ascii="Meiryo UI" w:hAnsi="Meiryo UI"/>
          <w:color w:val="2E74B5"/>
        </w:rPr>
        <w:t>分析日: 2026年4月5日｜社長優先3指示対応版</w:t>
      </w:r>
    </w:p>
    <w:p/>
    <w:p>
      <w:r>
        <w:t>──────────────────────────────────────────────────</w:t>
      </w:r>
    </w:p>
    <w:p/>
    <w:p>
      <w:r>
        <w:rPr>
          <w:rFonts w:ascii="Meiryo UI" w:hAnsi="Meiryo UI"/>
          <w:sz w:val="20"/>
        </w:rPr>
        <w:t>&gt; ⚡ 社長優先3指示受領確認</w:t>
      </w:r>
    </w:p>
    <w:p>
      <w:r>
        <w:rPr>
          <w:rFonts w:ascii="Meiryo UI" w:hAnsi="Meiryo UI"/>
          <w:sz w:val="20"/>
        </w:rPr>
        <w:t>&gt; 「船賃上がってよさそう」仮説を数字で裏付けよ。内航vs外航の構造差・感応度を明示。</w:t>
      </w:r>
    </w:p>
    <w:p>
      <w:r>
        <w:rPr>
          <w:rFonts w:ascii="Meiryo UI" w:hAnsi="Meiryo UI"/>
          <w:sz w:val="20"/>
        </w:rPr>
        <w:t>&gt; 本レポートはセクション2を最重点セクションとして構成。</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【最重点】社長指示 — 船賃上昇仮説の数値的裏付け・内航vs外航構造差</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Pr>
        <w:pStyle w:val="ListNumber"/>
      </w:pPr>
      <w:r>
        <w:rPr>
          <w:rFonts w:ascii="Meiryo UI" w:hAnsi="Meiryo UI"/>
          <w:sz w:val="20"/>
        </w:rPr>
        <w:t>免責事項</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明海グループ株式会社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9115（東証スタンダード）</w:t>
            </w:r>
          </w:p>
        </w:tc>
      </w:tr>
      <w:tr>
        <w:tc>
          <w:tcPr>
            <w:tcW w:type="dxa" w:w="4703"/>
          </w:tcPr>
          <w:p>
            <w:r>
              <w:rPr>
                <w:rFonts w:ascii="Meiryo UI" w:hAnsi="Meiryo UI"/>
                <w:sz w:val="18"/>
              </w:rPr>
              <w:t>本社</w:t>
            </w:r>
          </w:p>
        </w:tc>
        <w:tc>
          <w:tcPr>
            <w:tcW w:type="dxa" w:w="4703"/>
          </w:tcPr>
          <w:p>
            <w:r>
              <w:rPr>
                <w:rFonts w:ascii="Meiryo UI" w:hAnsi="Meiryo UI"/>
                <w:sz w:val="18"/>
              </w:rPr>
              <w:t>愛媛県今治市（瀬戸内海運の中核地）</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1960年代（今治船主系譜）</w:t>
            </w:r>
          </w:p>
        </w:tc>
      </w:tr>
      <w:tr>
        <w:tc>
          <w:tcPr>
            <w:tcW w:type="dxa" w:w="4703"/>
          </w:tcPr>
          <w:p>
            <w:r>
              <w:rPr>
                <w:rFonts w:ascii="Meiryo UI" w:hAnsi="Meiryo UI"/>
                <w:sz w:val="18"/>
              </w:rPr>
              <w:t>事業ドメイン</w:t>
            </w:r>
          </w:p>
        </w:tc>
        <w:tc>
          <w:tcPr>
            <w:tcW w:type="dxa" w:w="4703"/>
          </w:tcPr>
          <w:p>
            <w:r>
              <w:rPr>
                <w:rFonts w:ascii="Meiryo UI" w:hAnsi="Meiryo UI"/>
                <w:sz w:val="18"/>
              </w:rPr>
              <w:t>内航海運・港湾運送・物流・船舶管理</w:t>
            </w:r>
          </w:p>
        </w:tc>
      </w:tr>
      <w:tr>
        <w:tc>
          <w:tcPr>
            <w:tcW w:type="dxa" w:w="4703"/>
            <w:shd w:val="clear" w:color="auto" w:fill="DDEBF7"/>
          </w:tcPr>
          <w:p>
            <w:r>
              <w:rPr>
                <w:rFonts w:ascii="Meiryo UI" w:hAnsi="Meiryo UI"/>
                <w:sz w:val="18"/>
              </w:rPr>
              <w:t>従業員数</w:t>
            </w:r>
          </w:p>
        </w:tc>
        <w:tc>
          <w:tcPr>
            <w:tcW w:type="dxa" w:w="4703"/>
            <w:shd w:val="clear" w:color="auto" w:fill="DDEBF7"/>
          </w:tcPr>
          <w:p>
            <w:r>
              <w:rPr>
                <w:rFonts w:ascii="Meiryo UI" w:hAnsi="Meiryo UI"/>
                <w:sz w:val="18"/>
              </w:rPr>
              <w:t>連結約300〜500名規模（推定）</w:t>
            </w:r>
          </w:p>
        </w:tc>
      </w:tr>
      <w:tr>
        <w:tc>
          <w:tcPr>
            <w:tcW w:type="dxa" w:w="4703"/>
          </w:tcPr>
          <w:p>
            <w:r>
              <w:rPr>
                <w:rFonts w:ascii="Meiryo UI" w:hAnsi="Meiryo UI"/>
                <w:sz w:val="18"/>
              </w:rPr>
              <w:t>決算期</w:t>
            </w:r>
          </w:p>
        </w:tc>
        <w:tc>
          <w:tcPr>
            <w:tcW w:type="dxa" w:w="4703"/>
          </w:tcPr>
          <w:p>
            <w:r>
              <w:rPr>
                <w:rFonts w:ascii="Meiryo UI" w:hAnsi="Meiryo UI"/>
                <w:sz w:val="18"/>
              </w:rPr>
              <w:t>3月期</w:t>
            </w:r>
          </w:p>
        </w:tc>
      </w:tr>
      <w:tr>
        <w:tc>
          <w:tcPr>
            <w:tcW w:type="dxa" w:w="4703"/>
            <w:shd w:val="clear" w:color="auto" w:fill="DDEBF7"/>
          </w:tcPr>
          <w:p>
            <w:r>
              <w:rPr>
                <w:rFonts w:ascii="Meiryo UI" w:hAnsi="Meiryo UI"/>
                <w:sz w:val="18"/>
              </w:rPr>
              <w:t>上場市場</w:t>
            </w:r>
          </w:p>
        </w:tc>
        <w:tc>
          <w:tcPr>
            <w:tcW w:type="dxa" w:w="4703"/>
            <w:shd w:val="clear" w:color="auto" w:fill="DDEBF7"/>
          </w:tcPr>
          <w:p>
            <w:r>
              <w:rPr>
                <w:rFonts w:ascii="Meiryo UI" w:hAnsi="Meiryo UI"/>
                <w:sz w:val="18"/>
              </w:rPr>
              <w:t>東証スタンダード</w:t>
            </w:r>
          </w:p>
        </w:tc>
      </w:tr>
    </w:tbl>
    <w:p/>
    <w:p>
      <w:r>
        <w:rPr>
          <w:rFonts w:ascii="Meiryo UI" w:hAnsi="Meiryo UI"/>
          <w:sz w:val="20"/>
        </w:rPr>
        <w:t>&gt; ⚠️ データ注記: 明海グループ（9115）は東証スタンダード上場の内航海運中堅企業。IR開示は限定的であり、本レポートは有価証券報告書・決算短信・業界統計（国交省、内航総連等）をベースに現実的な推計を組み合わせて作成。数値には推計が含まれる旨を明記する。</w:t>
      </w:r>
    </w:p>
    <w:p/>
    <w:p>
      <w:r>
        <w:t>──────────────────────────────────────────────────</w:t>
      </w:r>
    </w:p>
    <w:p/>
    <w:p>
      <w:pPr>
        <w:pStyle w:val="Heading3"/>
      </w:pPr>
      <w:r>
        <w:rPr>
          <w:rFonts w:ascii="Meiryo UI" w:hAnsi="Meiryo UI"/>
          <w:color w:val="2E74B5"/>
        </w:rPr>
        <w:t>1.2 事業セグメント構成</w:t>
      </w:r>
    </w:p>
    <w:p/>
    <w:p>
      <w:pPr>
        <w:shd w:val="clear" w:color="auto" w:fill="F2F2F2"/>
      </w:pPr>
      <w:r>
        <w:rPr>
          <w:rFonts w:ascii="Courier New" w:hAnsi="Courier New"/>
          <w:sz w:val="16"/>
        </w:rPr>
        <w:t>明海グループ 事業構成（推定）</w:t>
        <w:br/>
        <w:t>├── 内航海運事業（売上構成比: 約60-65%）</w:t>
        <w:br/>
        <w:t>│   ├── 一般貨物（石灰石・砂利・建材）</w:t>
        <w:br/>
        <w:t>│   ├── 石油・LNG輸送（タンカー）</w:t>
        <w:br/>
        <w:t>│   └── 鋼材・重機輸送</w:t>
        <w:br/>
        <w:t>├── 港湾運送・荷役事業（約20-25%）</w:t>
        <w:br/>
        <w:t>│   ├── 瀬戸内主要港（今治・松山・尾道等）</w:t>
        <w:br/>
        <w:t>│   └── 荷役・倉庫・フォワーディング</w:t>
        <w:br/>
        <w:t>├── 船舶管理・乗組員派遣（約10-15%）</w:t>
        <w:br/>
        <w:t>│   ├── 船員教育・配乗</w:t>
        <w:br/>
        <w:t>│   └── 用船・傭船管理</w:t>
        <w:br/>
        <w:t>└── その他（不動産・関連子会社等）</w:t>
      </w:r>
    </w:p>
    <w:p/>
    <w:p>
      <w:pPr>
        <w:pStyle w:val="Heading3"/>
      </w:pPr>
      <w:r>
        <w:rPr>
          <w:rFonts w:ascii="Meiryo UI" w:hAnsi="Meiryo UI"/>
          <w:color w:val="2E74B5"/>
        </w:rPr>
        <w:t>1.3 競合ポジショニング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企業名</w:t>
            </w:r>
          </w:p>
        </w:tc>
        <w:tc>
          <w:tcPr>
            <w:tcW w:type="dxa" w:w="2351"/>
            <w:shd w:val="clear" w:color="auto" w:fill="2E74B5"/>
          </w:tcPr>
          <w:p>
            <w:r>
              <w:rPr>
                <w:rFonts w:ascii="Meiryo UI" w:hAnsi="Meiryo UI"/>
                <w:b/>
                <w:color w:val="FFFFFF"/>
                <w:sz w:val="18"/>
              </w:rPr>
              <w:t>ティッカー</w:t>
            </w:r>
          </w:p>
        </w:tc>
        <w:tc>
          <w:tcPr>
            <w:tcW w:type="dxa" w:w="2351"/>
            <w:shd w:val="clear" w:color="auto" w:fill="2E74B5"/>
          </w:tcPr>
          <w:p>
            <w:r>
              <w:rPr>
                <w:rFonts w:ascii="Meiryo UI" w:hAnsi="Meiryo UI"/>
                <w:b/>
                <w:color w:val="FFFFFF"/>
                <w:sz w:val="18"/>
              </w:rPr>
              <w:t>特徴</w:t>
            </w:r>
          </w:p>
        </w:tc>
        <w:tc>
          <w:tcPr>
            <w:tcW w:type="dxa" w:w="2351"/>
            <w:shd w:val="clear" w:color="auto" w:fill="2E74B5"/>
          </w:tcPr>
          <w:p>
            <w:r>
              <w:rPr>
                <w:rFonts w:ascii="Meiryo UI" w:hAnsi="Meiryo UI"/>
                <w:b/>
                <w:color w:val="FFFFFF"/>
                <w:sz w:val="18"/>
              </w:rPr>
              <w:t>明海との差異</w:t>
            </w:r>
          </w:p>
        </w:tc>
      </w:tr>
      <w:tr>
        <w:tc>
          <w:tcPr>
            <w:tcW w:type="dxa" w:w="2351"/>
          </w:tcPr>
          <w:p>
            <w:r>
              <w:rPr>
                <w:rFonts w:ascii="Meiryo UI" w:hAnsi="Meiryo UI"/>
                <w:sz w:val="18"/>
              </w:rPr>
              <w:t>旭タンカー</w:t>
            </w:r>
          </w:p>
        </w:tc>
        <w:tc>
          <w:tcPr>
            <w:tcW w:type="dxa" w:w="2351"/>
          </w:tcPr>
          <w:p>
            <w:r>
              <w:rPr>
                <w:rFonts w:ascii="Meiryo UI" w:hAnsi="Meiryo UI"/>
                <w:sz w:val="18"/>
              </w:rPr>
              <w:t>9262</w:t>
            </w:r>
          </w:p>
        </w:tc>
        <w:tc>
          <w:tcPr>
            <w:tcW w:type="dxa" w:w="2351"/>
          </w:tcPr>
          <w:p>
            <w:r>
              <w:rPr>
                <w:rFonts w:ascii="Meiryo UI" w:hAnsi="Meiryo UI"/>
                <w:sz w:val="18"/>
              </w:rPr>
              <w:t>内航タンカー特化</w:t>
            </w:r>
          </w:p>
        </w:tc>
        <w:tc>
          <w:tcPr>
            <w:tcW w:type="dxa" w:w="2351"/>
          </w:tcPr>
          <w:p>
            <w:r>
              <w:rPr>
                <w:rFonts w:ascii="Meiryo UI" w:hAnsi="Meiryo UI"/>
                <w:sz w:val="18"/>
              </w:rPr>
              <w:t>ゼロエミ先行、規模大</w:t>
            </w:r>
          </w:p>
        </w:tc>
      </w:tr>
      <w:tr>
        <w:tc>
          <w:tcPr>
            <w:tcW w:type="dxa" w:w="2351"/>
            <w:shd w:val="clear" w:color="auto" w:fill="DDEBF7"/>
          </w:tcPr>
          <w:p>
            <w:r>
              <w:rPr>
                <w:rFonts w:ascii="Meiryo UI" w:hAnsi="Meiryo UI"/>
                <w:sz w:val="18"/>
              </w:rPr>
              <w:t>栗林商船</w:t>
            </w:r>
          </w:p>
        </w:tc>
        <w:tc>
          <w:tcPr>
            <w:tcW w:type="dxa" w:w="2351"/>
            <w:shd w:val="clear" w:color="auto" w:fill="DDEBF7"/>
          </w:tcPr>
          <w:p>
            <w:r>
              <w:rPr>
                <w:rFonts w:ascii="Meiryo UI" w:hAnsi="Meiryo UI"/>
                <w:sz w:val="18"/>
              </w:rPr>
              <w:t>9171</w:t>
            </w:r>
          </w:p>
        </w:tc>
        <w:tc>
          <w:tcPr>
            <w:tcW w:type="dxa" w:w="2351"/>
            <w:shd w:val="clear" w:color="auto" w:fill="DDEBF7"/>
          </w:tcPr>
          <w:p>
            <w:r>
              <w:rPr>
                <w:rFonts w:ascii="Meiryo UI" w:hAnsi="Meiryo UI"/>
                <w:sz w:val="18"/>
              </w:rPr>
              <w:t>RORO・フェリー</w:t>
            </w:r>
          </w:p>
        </w:tc>
        <w:tc>
          <w:tcPr>
            <w:tcW w:type="dxa" w:w="2351"/>
            <w:shd w:val="clear" w:color="auto" w:fill="DDEBF7"/>
          </w:tcPr>
          <w:p>
            <w:r>
              <w:rPr>
                <w:rFonts w:ascii="Meiryo UI" w:hAnsi="Meiryo UI"/>
                <w:sz w:val="18"/>
              </w:rPr>
              <w:t>旅客混載、北海道航路</w:t>
            </w:r>
          </w:p>
        </w:tc>
      </w:tr>
      <w:tr>
        <w:tc>
          <w:tcPr>
            <w:tcW w:type="dxa" w:w="2351"/>
          </w:tcPr>
          <w:p>
            <w:r>
              <w:rPr>
                <w:rFonts w:ascii="Meiryo UI" w:hAnsi="Meiryo UI"/>
                <w:sz w:val="18"/>
              </w:rPr>
              <w:t>近海郵船</w:t>
            </w:r>
          </w:p>
        </w:tc>
        <w:tc>
          <w:tcPr>
            <w:tcW w:type="dxa" w:w="2351"/>
          </w:tcPr>
          <w:p>
            <w:r>
              <w:rPr>
                <w:rFonts w:ascii="Meiryo UI" w:hAnsi="Meiryo UI"/>
                <w:sz w:val="18"/>
              </w:rPr>
              <w:t>9173</w:t>
            </w:r>
          </w:p>
        </w:tc>
        <w:tc>
          <w:tcPr>
            <w:tcW w:type="dxa" w:w="2351"/>
          </w:tcPr>
          <w:p>
            <w:r>
              <w:rPr>
                <w:rFonts w:ascii="Meiryo UI" w:hAnsi="Meiryo UI"/>
                <w:sz w:val="18"/>
              </w:rPr>
              <w:t>北海道・東北</w:t>
            </w:r>
          </w:p>
        </w:tc>
        <w:tc>
          <w:tcPr>
            <w:tcW w:type="dxa" w:w="2351"/>
          </w:tcPr>
          <w:p>
            <w:r>
              <w:rPr>
                <w:rFonts w:ascii="Meiryo UI" w:hAnsi="Meiryo UI"/>
                <w:sz w:val="18"/>
              </w:rPr>
              <w:t>中距離RORO特化</w:t>
            </w:r>
          </w:p>
        </w:tc>
      </w:tr>
      <w:tr>
        <w:tc>
          <w:tcPr>
            <w:tcW w:type="dxa" w:w="2351"/>
            <w:shd w:val="clear" w:color="auto" w:fill="DDEBF7"/>
          </w:tcPr>
          <w:p>
            <w:r>
              <w:rPr>
                <w:rFonts w:ascii="Meiryo UI" w:hAnsi="Meiryo UI"/>
                <w:sz w:val="18"/>
              </w:rPr>
              <w:t>林兼産業（海運）</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水産・冷蔵特化</w:t>
            </w:r>
          </w:p>
        </w:tc>
        <w:tc>
          <w:tcPr>
            <w:tcW w:type="dxa" w:w="2351"/>
            <w:shd w:val="clear" w:color="auto" w:fill="DDEBF7"/>
          </w:tcPr>
          <w:p>
            <w:r>
              <w:rPr>
                <w:rFonts w:ascii="Meiryo UI" w:hAnsi="Meiryo UI"/>
                <w:sz w:val="18"/>
              </w:rPr>
              <w:t>特殊貨物</w:t>
            </w:r>
          </w:p>
        </w:tc>
      </w:tr>
      <w:tr>
        <w:tc>
          <w:tcPr>
            <w:tcW w:type="dxa" w:w="2351"/>
          </w:tcPr>
          <w:p>
            <w:r>
              <w:rPr>
                <w:rFonts w:ascii="Meiryo UI" w:hAnsi="Meiryo UI"/>
                <w:sz w:val="18"/>
              </w:rPr>
              <w:t>明海グループ</w:t>
            </w:r>
          </w:p>
        </w:tc>
        <w:tc>
          <w:tcPr>
            <w:tcW w:type="dxa" w:w="2351"/>
          </w:tcPr>
          <w:p>
            <w:r>
              <w:rPr>
                <w:rFonts w:ascii="Meiryo UI" w:hAnsi="Meiryo UI"/>
                <w:sz w:val="18"/>
              </w:rPr>
              <w:t>9115</w:t>
            </w:r>
          </w:p>
        </w:tc>
        <w:tc>
          <w:tcPr>
            <w:tcW w:type="dxa" w:w="2351"/>
          </w:tcPr>
          <w:p>
            <w:r>
              <w:rPr>
                <w:rFonts w:ascii="Meiryo UI" w:hAnsi="Meiryo UI"/>
                <w:sz w:val="18"/>
              </w:rPr>
              <w:t>瀬戸内バルク中心</w:t>
            </w:r>
          </w:p>
        </w:tc>
        <w:tc>
          <w:tcPr>
            <w:tcW w:type="dxa" w:w="2351"/>
          </w:tcPr>
          <w:p>
            <w:r>
              <w:rPr>
                <w:rFonts w:ascii="Meiryo UI" w:hAnsi="Meiryo UI"/>
                <w:sz w:val="18"/>
              </w:rPr>
              <w:t>地域密着・鉱物系</w:t>
            </w:r>
          </w:p>
        </w:tc>
      </w:tr>
    </w:tbl>
    <w:p/>
    <w:p>
      <w:r>
        <w:rPr>
          <w:rFonts w:ascii="Meiryo UI" w:hAnsi="Meiryo UI"/>
          <w:sz w:val="20"/>
        </w:rPr>
        <w:t>競合優位性の核心:</w:t>
      </w:r>
    </w:p>
    <w:p>
      <w:pPr>
        <w:pStyle w:val="ListBullet"/>
      </w:pPr>
      <w:r>
        <w:rPr>
          <w:rFonts w:ascii="Meiryo UI" w:hAnsi="Meiryo UI"/>
          <w:sz w:val="20"/>
        </w:rPr>
        <w:t>今治船主ネットワーク: 造船・海運・金融が集積する今治エコシステム内でのネットワーク優位</w:t>
      </w:r>
    </w:p>
    <w:p>
      <w:pPr>
        <w:pStyle w:val="ListBullet"/>
      </w:pPr>
      <w:r>
        <w:rPr>
          <w:rFonts w:ascii="Meiryo UI" w:hAnsi="Meiryo UI"/>
          <w:sz w:val="20"/>
        </w:rPr>
        <w:t>瀬戸内ルート独占的地位: 石灰石・骨材の産地（愛媛・広島）から京阪神・中京向け輸送で参入障壁</w:t>
      </w:r>
    </w:p>
    <w:p>
      <w:pPr>
        <w:pStyle w:val="ListBullet"/>
      </w:pPr>
      <w:r>
        <w:rPr>
          <w:rFonts w:ascii="Meiryo UI" w:hAnsi="Meiryo UI"/>
          <w:sz w:val="20"/>
        </w:rPr>
        <w:t>内航海運の「免許的参入障壁」: 内航海運業法・船腹調整の残滓により新規参入極めて困難</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方向性</w:t>
            </w:r>
          </w:p>
        </w:tc>
      </w:tr>
      <w:tr>
        <w:tc>
          <w:tcPr>
            <w:tcW w:type="dxa" w:w="2351"/>
          </w:tcPr>
          <w:p>
            <w:r>
              <w:rPr>
                <w:rFonts w:ascii="Meiryo UI" w:hAnsi="Meiryo UI"/>
                <w:sz w:val="18"/>
              </w:rPr>
              <w:t>内航貨物運賃改定（燃料費・人件費転嫁）</w:t>
            </w:r>
          </w:p>
        </w:tc>
        <w:tc>
          <w:tcPr>
            <w:tcW w:type="dxa" w:w="2351"/>
          </w:tcPr>
          <w:p>
            <w:r>
              <w:rPr>
                <w:rFonts w:ascii="Meiryo UI" w:hAnsi="Meiryo UI"/>
                <w:sz w:val="18"/>
              </w:rPr>
              <w:t>2025-2026年</w:t>
            </w:r>
          </w:p>
        </w:tc>
        <w:tc>
          <w:tcPr>
            <w:tcW w:type="dxa" w:w="2351"/>
          </w:tcPr>
          <w:p>
            <w:r>
              <w:rPr>
                <w:rFonts w:ascii="Meiryo UI" w:hAnsi="Meiryo UI"/>
                <w:sz w:val="18"/>
              </w:rPr>
              <w:t>★★★★★</w:t>
            </w:r>
          </w:p>
        </w:tc>
        <w:tc>
          <w:tcPr>
            <w:tcW w:type="dxa" w:w="2351"/>
          </w:tcPr>
          <w:p>
            <w:r>
              <w:rPr>
                <w:rFonts w:ascii="Meiryo UI" w:hAnsi="Meiryo UI"/>
                <w:sz w:val="18"/>
              </w:rPr>
              <w:t>ポジティブ</w:t>
            </w:r>
          </w:p>
        </w:tc>
      </w:tr>
      <w:tr>
        <w:tc>
          <w:tcPr>
            <w:tcW w:type="dxa" w:w="2351"/>
            <w:shd w:val="clear" w:color="auto" w:fill="DDEBF7"/>
          </w:tcPr>
          <w:p>
            <w:r>
              <w:rPr>
                <w:rFonts w:ascii="Meiryo UI" w:hAnsi="Meiryo UI"/>
                <w:sz w:val="18"/>
              </w:rPr>
              <w:t>2024年問題（トラックドライバー不足）→モーダルシフト需要</w:t>
            </w:r>
          </w:p>
        </w:tc>
        <w:tc>
          <w:tcPr>
            <w:tcW w:type="dxa" w:w="2351"/>
            <w:shd w:val="clear" w:color="auto" w:fill="DDEBF7"/>
          </w:tcPr>
          <w:p>
            <w:r>
              <w:rPr>
                <w:rFonts w:ascii="Meiryo UI" w:hAnsi="Meiryo UI"/>
                <w:sz w:val="18"/>
              </w:rPr>
              <w:t>継続中</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ポジティブ</w:t>
            </w:r>
          </w:p>
        </w:tc>
      </w:tr>
      <w:tr>
        <w:tc>
          <w:tcPr>
            <w:tcW w:type="dxa" w:w="2351"/>
          </w:tcPr>
          <w:p>
            <w:r>
              <w:rPr>
                <w:rFonts w:ascii="Meiryo UI" w:hAnsi="Meiryo UI"/>
                <w:sz w:val="18"/>
              </w:rPr>
              <w:t>船員不足による代替需要・交渉力強化</w:t>
            </w:r>
          </w:p>
        </w:tc>
        <w:tc>
          <w:tcPr>
            <w:tcW w:type="dxa" w:w="2351"/>
          </w:tcPr>
          <w:p>
            <w:r>
              <w:rPr>
                <w:rFonts w:ascii="Meiryo UI" w:hAnsi="Meiryo UI"/>
                <w:sz w:val="18"/>
              </w:rPr>
              <w:t>継続中</w:t>
            </w:r>
          </w:p>
        </w:tc>
        <w:tc>
          <w:tcPr>
            <w:tcW w:type="dxa" w:w="2351"/>
          </w:tcPr>
          <w:p>
            <w:r>
              <w:rPr>
                <w:rFonts w:ascii="Meiryo UI" w:hAnsi="Meiryo UI"/>
                <w:sz w:val="18"/>
              </w:rPr>
              <w:t>★★★☆☆</w:t>
            </w:r>
          </w:p>
        </w:tc>
        <w:tc>
          <w:tcPr>
            <w:tcW w:type="dxa" w:w="2351"/>
          </w:tcPr>
          <w:p>
            <w:r>
              <w:rPr>
                <w:rFonts w:ascii="Meiryo UI" w:hAnsi="Meiryo UI"/>
                <w:sz w:val="18"/>
              </w:rPr>
              <w:t>ポジティブ</w:t>
            </w:r>
          </w:p>
        </w:tc>
      </w:tr>
      <w:tr>
        <w:tc>
          <w:tcPr>
            <w:tcW w:type="dxa" w:w="2351"/>
            <w:shd w:val="clear" w:color="auto" w:fill="DDEBF7"/>
          </w:tcPr>
          <w:p>
            <w:r>
              <w:rPr>
                <w:rFonts w:ascii="Meiryo UI" w:hAnsi="Meiryo UI"/>
                <w:sz w:val="18"/>
              </w:rPr>
              <w:t>燃油費（C重油）動向</w:t>
            </w:r>
          </w:p>
        </w:tc>
        <w:tc>
          <w:tcPr>
            <w:tcW w:type="dxa" w:w="2351"/>
            <w:shd w:val="clear" w:color="auto" w:fill="DDEBF7"/>
          </w:tcPr>
          <w:p>
            <w:r>
              <w:rPr>
                <w:rFonts w:ascii="Meiryo UI" w:hAnsi="Meiryo UI"/>
                <w:sz w:val="18"/>
              </w:rPr>
              <w:t>変動</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要監視</w:t>
            </w:r>
          </w:p>
        </w:tc>
      </w:tr>
      <w:tr>
        <w:tc>
          <w:tcPr>
            <w:tcW w:type="dxa" w:w="2351"/>
          </w:tcPr>
          <w:p>
            <w:r>
              <w:rPr>
                <w:rFonts w:ascii="Meiryo UI" w:hAnsi="Meiryo UI"/>
                <w:sz w:val="18"/>
              </w:rPr>
              <w:t>老齢船代替投資（減価償却増）</w:t>
            </w:r>
          </w:p>
        </w:tc>
        <w:tc>
          <w:tcPr>
            <w:tcW w:type="dxa" w:w="2351"/>
          </w:tcPr>
          <w:p>
            <w:r>
              <w:rPr>
                <w:rFonts w:ascii="Meiryo UI" w:hAnsi="Meiryo UI"/>
                <w:sz w:val="18"/>
              </w:rPr>
              <w:t>2026-2028年</w:t>
            </w:r>
          </w:p>
        </w:tc>
        <w:tc>
          <w:tcPr>
            <w:tcW w:type="dxa" w:w="2351"/>
          </w:tcPr>
          <w:p>
            <w:r>
              <w:rPr>
                <w:rFonts w:ascii="Meiryo UI" w:hAnsi="Meiryo UI"/>
                <w:sz w:val="18"/>
              </w:rPr>
              <w:t>★★☆☆☆</w:t>
            </w:r>
          </w:p>
        </w:tc>
        <w:tc>
          <w:tcPr>
            <w:tcW w:type="dxa" w:w="2351"/>
          </w:tcPr>
          <w:p>
            <w:r>
              <w:rPr>
                <w:rFonts w:ascii="Meiryo UI" w:hAnsi="Meiryo UI"/>
                <w:sz w:val="18"/>
              </w:rPr>
              <w:t>ネガティブ</w:t>
            </w:r>
          </w:p>
        </w:tc>
      </w:tr>
      <w:tr>
        <w:tc>
          <w:tcPr>
            <w:tcW w:type="dxa" w:w="2351"/>
            <w:shd w:val="clear" w:color="auto" w:fill="DDEBF7"/>
          </w:tcPr>
          <w:p>
            <w:r>
              <w:rPr>
                <w:rFonts w:ascii="Meiryo UI" w:hAnsi="Meiryo UI"/>
                <w:sz w:val="18"/>
              </w:rPr>
              <w:t>カーボンニュートラル対応コスト</w:t>
            </w:r>
          </w:p>
        </w:tc>
        <w:tc>
          <w:tcPr>
            <w:tcW w:type="dxa" w:w="2351"/>
            <w:shd w:val="clear" w:color="auto" w:fill="DDEBF7"/>
          </w:tcPr>
          <w:p>
            <w:r>
              <w:rPr>
                <w:rFonts w:ascii="Meiryo UI" w:hAnsi="Meiryo UI"/>
                <w:sz w:val="18"/>
              </w:rPr>
              <w:t>中長期</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ネガティブ</w:t>
            </w:r>
          </w:p>
        </w:tc>
      </w:tr>
    </w:tbl>
    <w:p/>
    <w:p>
      <w:r>
        <w:t>──────────────────────────────────────────────────</w:t>
      </w:r>
    </w:p>
    <w:p/>
    <w:p>
      <w:pPr>
        <w:pStyle w:val="Heading2"/>
      </w:pPr>
      <w:r>
        <w:rPr>
          <w:rFonts w:ascii="Meiryo UI" w:hAnsi="Meiryo UI"/>
          <w:color w:val="2E74B5"/>
        </w:rPr>
        <w:t>2. 【最重点】社長指示 — 「船賃上昇仮説」の数値的裏付けと内航vs外航構造差・感応度分析</w:t>
      </w:r>
    </w:p>
    <w:p/>
    <w:p>
      <w:r>
        <w:rPr>
          <w:rFonts w:ascii="Meiryo UI" w:hAnsi="Meiryo UI"/>
          <w:sz w:val="20"/>
        </w:rPr>
        <w:t>&gt; 社長指示再掲: 「船賃上がってよさそう」仮説を数字で裏付けよ。内航vs外航の構造差・感応度を明示。</w:t>
      </w:r>
    </w:p>
    <w:p/>
    <w:p>
      <w:r>
        <w:t>──────────────────────────────────────────────────</w:t>
      </w:r>
    </w:p>
    <w:p/>
    <w:p>
      <w:pPr>
        <w:pStyle w:val="Heading3"/>
      </w:pPr>
      <w:r>
        <w:rPr>
          <w:rFonts w:ascii="Meiryo UI" w:hAnsi="Meiryo UI"/>
          <w:color w:val="2E74B5"/>
        </w:rPr>
        <w:t>2.1 内航海運とは何か — 外航との本質的構造差</w:t>
      </w:r>
    </w:p>
    <w:p/>
    <w:p>
      <w:pPr>
        <w:pStyle w:val="Heading4"/>
      </w:pPr>
      <w:r>
        <w:rPr>
          <w:rFonts w:ascii="Meiryo UI" w:hAnsi="Meiryo UI"/>
          <w:color w:val="2E74B5"/>
        </w:rPr>
        <w:t>【構造比較マトリクス】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比較軸</w:t>
            </w:r>
          </w:p>
        </w:tc>
        <w:tc>
          <w:tcPr>
            <w:tcW w:type="dxa" w:w="3135"/>
            <w:shd w:val="clear" w:color="auto" w:fill="2E74B5"/>
          </w:tcPr>
          <w:p>
            <w:r>
              <w:rPr>
                <w:rFonts w:ascii="Meiryo UI" w:hAnsi="Meiryo UI"/>
                <w:b/>
                <w:color w:val="FFFFFF"/>
                <w:sz w:val="18"/>
              </w:rPr>
              <w:t>内航海運（明海の主戦場）</w:t>
            </w:r>
          </w:p>
        </w:tc>
        <w:tc>
          <w:tcPr>
            <w:tcW w:type="dxa" w:w="3135"/>
            <w:shd w:val="clear" w:color="auto" w:fill="2E74B5"/>
          </w:tcPr>
          <w:p>
            <w:r>
              <w:rPr>
                <w:rFonts w:ascii="Meiryo UI" w:hAnsi="Meiryo UI"/>
                <w:b/>
                <w:color w:val="FFFFFF"/>
                <w:sz w:val="18"/>
              </w:rPr>
              <w:t>外航海運（川崎汽船等）</w:t>
            </w:r>
          </w:p>
        </w:tc>
      </w:tr>
      <w:tr>
        <w:tc>
          <w:tcPr>
            <w:tcW w:type="dxa" w:w="3135"/>
          </w:tcPr>
          <w:p>
            <w:r>
              <w:rPr>
                <w:rFonts w:ascii="Meiryo UI" w:hAnsi="Meiryo UI"/>
                <w:sz w:val="18"/>
              </w:rPr>
              <w:t>運航ルート</w:t>
            </w:r>
          </w:p>
        </w:tc>
        <w:tc>
          <w:tcPr>
            <w:tcW w:type="dxa" w:w="3135"/>
          </w:tcPr>
          <w:p>
            <w:r>
              <w:rPr>
                <w:rFonts w:ascii="Meiryo UI" w:hAnsi="Meiryo UI"/>
                <w:sz w:val="18"/>
              </w:rPr>
              <w:t>国内港間（日本国内のみ）</w:t>
            </w:r>
          </w:p>
        </w:tc>
        <w:tc>
          <w:tcPr>
            <w:tcW w:type="dxa" w:w="3135"/>
          </w:tcPr>
          <w:p>
            <w:r>
              <w:rPr>
                <w:rFonts w:ascii="Meiryo UI" w:hAnsi="Meiryo UI"/>
                <w:sz w:val="18"/>
              </w:rPr>
              <w:t>国際航路（太平洋・アジア等）</w:t>
            </w:r>
          </w:p>
        </w:tc>
      </w:tr>
      <w:tr>
        <w:tc>
          <w:tcPr>
            <w:tcW w:type="dxa" w:w="3135"/>
            <w:shd w:val="clear" w:color="auto" w:fill="DDEBF7"/>
          </w:tcPr>
          <w:p>
            <w:r>
              <w:rPr>
                <w:rFonts w:ascii="Meiryo UI" w:hAnsi="Meiryo UI"/>
                <w:sz w:val="18"/>
              </w:rPr>
              <w:t>運賃決定メカニズム</w:t>
            </w:r>
          </w:p>
        </w:tc>
        <w:tc>
          <w:tcPr>
            <w:tcW w:type="dxa" w:w="3135"/>
            <w:shd w:val="clear" w:color="auto" w:fill="DDEBF7"/>
          </w:tcPr>
          <w:p>
            <w:r>
              <w:rPr>
                <w:rFonts w:ascii="Meiryo UI" w:hAnsi="Meiryo UI"/>
                <w:sz w:val="18"/>
              </w:rPr>
              <w:t>長期契約（1-3年）主体。荷主との相対交渉</w:t>
            </w:r>
          </w:p>
        </w:tc>
        <w:tc>
          <w:tcPr>
            <w:tcW w:type="dxa" w:w="3135"/>
            <w:shd w:val="clear" w:color="auto" w:fill="DDEBF7"/>
          </w:tcPr>
          <w:p>
            <w:r>
              <w:rPr>
                <w:rFonts w:ascii="Meiryo UI" w:hAnsi="Meiryo UI"/>
                <w:sz w:val="18"/>
              </w:rPr>
              <w:t>スポット市場（BDI・CCFI等）が主導</w:t>
            </w:r>
          </w:p>
        </w:tc>
      </w:tr>
      <w:tr>
        <w:tc>
          <w:tcPr>
            <w:tcW w:type="dxa" w:w="3135"/>
          </w:tcPr>
          <w:p>
            <w:r>
              <w:rPr>
                <w:rFonts w:ascii="Meiryo UI" w:hAnsi="Meiryo UI"/>
                <w:sz w:val="18"/>
              </w:rPr>
              <w:t>運賃の変動性</w:t>
            </w:r>
          </w:p>
        </w:tc>
        <w:tc>
          <w:tcPr>
            <w:tcW w:type="dxa" w:w="3135"/>
          </w:tcPr>
          <w:p>
            <w:r>
              <w:rPr>
                <w:rFonts w:ascii="Meiryo UI" w:hAnsi="Meiryo UI"/>
                <w:sz w:val="18"/>
              </w:rPr>
              <w:t>低ボラティリティ・遅行性（ラグ大）</w:t>
            </w:r>
          </w:p>
        </w:tc>
        <w:tc>
          <w:tcPr>
            <w:tcW w:type="dxa" w:w="3135"/>
          </w:tcPr>
          <w:p>
            <w:r>
              <w:rPr>
                <w:rFonts w:ascii="Meiryo UI" w:hAnsi="Meiryo UI"/>
                <w:sz w:val="18"/>
              </w:rPr>
              <w:t>高ボラティリティ・即時反映</w:t>
            </w:r>
          </w:p>
        </w:tc>
      </w:tr>
      <w:tr>
        <w:tc>
          <w:tcPr>
            <w:tcW w:type="dxa" w:w="3135"/>
            <w:shd w:val="clear" w:color="auto" w:fill="DDEBF7"/>
          </w:tcPr>
          <w:p>
            <w:r>
              <w:rPr>
                <w:rFonts w:ascii="Meiryo UI" w:hAnsi="Meiryo UI"/>
                <w:sz w:val="18"/>
              </w:rPr>
              <w:t>競合環境</w:t>
            </w:r>
          </w:p>
        </w:tc>
        <w:tc>
          <w:tcPr>
            <w:tcW w:type="dxa" w:w="3135"/>
            <w:shd w:val="clear" w:color="auto" w:fill="DDEBF7"/>
          </w:tcPr>
          <w:p>
            <w:r>
              <w:rPr>
                <w:rFonts w:ascii="Meiryo UI" w:hAnsi="Meiryo UI"/>
                <w:sz w:val="18"/>
              </w:rPr>
              <w:t>国内企業のみ（内航海運業法）</w:t>
            </w:r>
          </w:p>
        </w:tc>
        <w:tc>
          <w:tcPr>
            <w:tcW w:type="dxa" w:w="3135"/>
            <w:shd w:val="clear" w:color="auto" w:fill="DDEBF7"/>
          </w:tcPr>
          <w:p>
            <w:r>
              <w:rPr>
                <w:rFonts w:ascii="Meiryo UI" w:hAnsi="Meiryo UI"/>
                <w:sz w:val="18"/>
              </w:rPr>
              <w:t>グローバル競争（COSCO・MSC等）</w:t>
            </w:r>
          </w:p>
        </w:tc>
      </w:tr>
      <w:tr>
        <w:tc>
          <w:tcPr>
            <w:tcW w:type="dxa" w:w="3135"/>
          </w:tcPr>
          <w:p>
            <w:r>
              <w:rPr>
                <w:rFonts w:ascii="Meiryo UI" w:hAnsi="Meiryo UI"/>
                <w:sz w:val="18"/>
              </w:rPr>
              <w:t>為替リスク</w:t>
            </w:r>
          </w:p>
        </w:tc>
        <w:tc>
          <w:tcPr>
            <w:tcW w:type="dxa" w:w="3135"/>
          </w:tcPr>
          <w:p>
            <w:r>
              <w:rPr>
                <w:rFonts w:ascii="Meiryo UI" w:hAnsi="Meiryo UI"/>
                <w:sz w:val="18"/>
              </w:rPr>
              <w:t>ほぼゼロ（円建て契約）</w:t>
            </w:r>
          </w:p>
        </w:tc>
        <w:tc>
          <w:tcPr>
            <w:tcW w:type="dxa" w:w="3135"/>
          </w:tcPr>
          <w:p>
            <w:r>
              <w:rPr>
                <w:rFonts w:ascii="Meiryo UI" w:hAnsi="Meiryo UI"/>
                <w:sz w:val="18"/>
              </w:rPr>
              <w:t>ドル建て運賃（為替エクスポージャー大）</w:t>
            </w:r>
          </w:p>
        </w:tc>
      </w:tr>
      <w:tr>
        <w:tc>
          <w:tcPr>
            <w:tcW w:type="dxa" w:w="3135"/>
            <w:shd w:val="clear" w:color="auto" w:fill="DDEBF7"/>
          </w:tcPr>
          <w:p>
            <w:r>
              <w:rPr>
                <w:rFonts w:ascii="Meiryo UI" w:hAnsi="Meiryo UI"/>
                <w:sz w:val="18"/>
              </w:rPr>
              <w:t>燃料費構造</w:t>
            </w:r>
          </w:p>
        </w:tc>
        <w:tc>
          <w:tcPr>
            <w:tcW w:type="dxa" w:w="3135"/>
            <w:shd w:val="clear" w:color="auto" w:fill="DDEBF7"/>
          </w:tcPr>
          <w:p>
            <w:r>
              <w:rPr>
                <w:rFonts w:ascii="Meiryo UI" w:hAnsi="Meiryo UI"/>
                <w:sz w:val="18"/>
              </w:rPr>
              <w:t>C重油。コスト転嫁に時間差</w:t>
            </w:r>
          </w:p>
        </w:tc>
        <w:tc>
          <w:tcPr>
            <w:tcW w:type="dxa" w:w="3135"/>
            <w:shd w:val="clear" w:color="auto" w:fill="DDEBF7"/>
          </w:tcPr>
          <w:p>
            <w:r>
              <w:rPr>
                <w:rFonts w:ascii="Meiryo UI" w:hAnsi="Meiryo UI"/>
                <w:sz w:val="18"/>
              </w:rPr>
              <w:t>バンカー油。GRI等で迅速転嫁</w:t>
            </w:r>
          </w:p>
        </w:tc>
      </w:tr>
      <w:tr>
        <w:tc>
          <w:tcPr>
            <w:tcW w:type="dxa" w:w="3135"/>
          </w:tcPr>
          <w:p>
            <w:r>
              <w:rPr>
                <w:rFonts w:ascii="Meiryo UI" w:hAnsi="Meiryo UI"/>
                <w:sz w:val="18"/>
              </w:rPr>
              <w:t>船員規制</w:t>
            </w:r>
          </w:p>
        </w:tc>
        <w:tc>
          <w:tcPr>
            <w:tcW w:type="dxa" w:w="3135"/>
          </w:tcPr>
          <w:p>
            <w:r>
              <w:rPr>
                <w:rFonts w:ascii="Meiryo UI" w:hAnsi="Meiryo UI"/>
                <w:sz w:val="18"/>
              </w:rPr>
              <w:t>日本人船員義務付け（一定比率）</w:t>
            </w:r>
          </w:p>
        </w:tc>
        <w:tc>
          <w:tcPr>
            <w:tcW w:type="dxa" w:w="3135"/>
          </w:tcPr>
          <w:p>
            <w:r>
              <w:rPr>
                <w:rFonts w:ascii="Meiryo UI" w:hAnsi="Meiryo UI"/>
                <w:sz w:val="18"/>
              </w:rPr>
              <w:t>外国人船員活用可能</w:t>
            </w:r>
          </w:p>
        </w:tc>
      </w:tr>
      <w:tr>
        <w:tc>
          <w:tcPr>
            <w:tcW w:type="dxa" w:w="3135"/>
            <w:shd w:val="clear" w:color="auto" w:fill="DDEBF7"/>
          </w:tcPr>
          <w:p>
            <w:r>
              <w:rPr>
                <w:rFonts w:ascii="Meiryo UI" w:hAnsi="Meiryo UI"/>
                <w:sz w:val="18"/>
              </w:rPr>
              <w:t>参入障壁</w:t>
            </w:r>
          </w:p>
        </w:tc>
        <w:tc>
          <w:tcPr>
            <w:tcW w:type="dxa" w:w="3135"/>
            <w:shd w:val="clear" w:color="auto" w:fill="DDEBF7"/>
          </w:tcPr>
          <w:p>
            <w:r>
              <w:rPr>
                <w:rFonts w:ascii="Meiryo UI" w:hAnsi="Meiryo UI"/>
                <w:sz w:val="18"/>
              </w:rPr>
              <w:t>極めて高い（法的規制＋船腹調整）</w:t>
            </w:r>
          </w:p>
        </w:tc>
        <w:tc>
          <w:tcPr>
            <w:tcW w:type="dxa" w:w="3135"/>
            <w:shd w:val="clear" w:color="auto" w:fill="DDEBF7"/>
          </w:tcPr>
          <w:p>
            <w:r>
              <w:rPr>
                <w:rFonts w:ascii="Meiryo UI" w:hAnsi="Meiryo UI"/>
                <w:sz w:val="18"/>
              </w:rPr>
              <w:t>高い（資本集約）だが内航より低い</w:t>
            </w:r>
          </w:p>
        </w:tc>
      </w:tr>
      <w:tr>
        <w:tc>
          <w:tcPr>
            <w:tcW w:type="dxa" w:w="3135"/>
          </w:tcPr>
          <w:p>
            <w:r>
              <w:rPr>
                <w:rFonts w:ascii="Meiryo UI" w:hAnsi="Meiryo UI"/>
                <w:sz w:val="18"/>
              </w:rPr>
              <w:t>市況インデックス</w:t>
            </w:r>
          </w:p>
        </w:tc>
        <w:tc>
          <w:tcPr>
            <w:tcW w:type="dxa" w:w="3135"/>
          </w:tcPr>
          <w:p>
            <w:r>
              <w:rPr>
                <w:rFonts w:ascii="Meiryo UI" w:hAnsi="Meiryo UI"/>
                <w:sz w:val="18"/>
              </w:rPr>
              <w:t>存在しない（非公開相対取引）</w:t>
            </w:r>
          </w:p>
        </w:tc>
        <w:tc>
          <w:tcPr>
            <w:tcW w:type="dxa" w:w="3135"/>
          </w:tcPr>
          <w:p>
            <w:r>
              <w:rPr>
                <w:rFonts w:ascii="Meiryo UI" w:hAnsi="Meiryo UI"/>
                <w:sz w:val="18"/>
              </w:rPr>
              <w:t>BDI（バルチック海運指数）等</w:t>
            </w:r>
          </w:p>
        </w:tc>
      </w:tr>
      <w:tr>
        <w:tc>
          <w:tcPr>
            <w:tcW w:type="dxa" w:w="3135"/>
            <w:shd w:val="clear" w:color="auto" w:fill="DDEBF7"/>
          </w:tcPr>
          <w:p>
            <w:r>
              <w:rPr>
                <w:rFonts w:ascii="Meiryo UI" w:hAnsi="Meiryo UI"/>
                <w:sz w:val="18"/>
              </w:rPr>
              <w:t>代替輸送との競合</w:t>
            </w:r>
          </w:p>
        </w:tc>
        <w:tc>
          <w:tcPr>
            <w:tcW w:type="dxa" w:w="3135"/>
            <w:shd w:val="clear" w:color="auto" w:fill="DDEBF7"/>
          </w:tcPr>
          <w:p>
            <w:r>
              <w:rPr>
                <w:rFonts w:ascii="Meiryo UI" w:hAnsi="Meiryo UI"/>
                <w:sz w:val="18"/>
              </w:rPr>
              <w:t>トラック・鉄道（陸路）</w:t>
            </w:r>
          </w:p>
        </w:tc>
        <w:tc>
          <w:tcPr>
            <w:tcW w:type="dxa" w:w="3135"/>
            <w:shd w:val="clear" w:color="auto" w:fill="DDEBF7"/>
          </w:tcPr>
          <w:p>
            <w:r>
              <w:rPr>
                <w:rFonts w:ascii="Meiryo UI" w:hAnsi="Meiryo UI"/>
                <w:sz w:val="18"/>
              </w:rPr>
              <w:t>航空貨物（超高単価品）</w:t>
            </w:r>
          </w:p>
        </w:tc>
      </w:tr>
    </w:tbl>
    <w:p/>
    <w:p>
      <w:r>
        <w:rPr>
          <w:rFonts w:ascii="Meiryo UI" w:hAnsi="Meiryo UI"/>
          <w:sz w:val="20"/>
        </w:rPr>
        <w:t>→ 深井コメント: 内航海運は「地味だが強固」な市場構造を持つ。外航のように市況が乱高下しない反面、運賃改定が実現すると複数年にわたり粘着的に収益貢献するのが最大の特徴。今まさにその転換点にある。</w:t>
      </w:r>
    </w:p>
    <w:p/>
    <w:p>
      <w:r>
        <w:t>──────────────────────────────────────────────────</w:t>
      </w:r>
    </w:p>
    <w:p/>
    <w:p>
      <w:pPr>
        <w:pStyle w:val="Heading3"/>
      </w:pPr>
      <w:r>
        <w:rPr>
          <w:rFonts w:ascii="Meiryo UI" w:hAnsi="Meiryo UI"/>
          <w:color w:val="2E74B5"/>
        </w:rPr>
        <w:t>2.2 「船賃上がってよさそう」仮説の数値的裏付け</w:t>
      </w:r>
    </w:p>
    <w:p/>
    <w:p>
      <w:pPr>
        <w:pStyle w:val="Heading4"/>
      </w:pPr>
      <w:r>
        <w:rPr>
          <w:rFonts w:ascii="Meiryo UI" w:hAnsi="Meiryo UI"/>
          <w:color w:val="2E74B5"/>
        </w:rPr>
        <w:t>2.2.1 内航海運運賃改定の実態（2023-2026年動向）</w:t>
      </w:r>
    </w:p>
    <w:p/>
    <w:p>
      <w:pPr>
        <w:shd w:val="clear" w:color="auto" w:fill="F2F2F2"/>
      </w:pPr>
      <w:r>
        <w:rPr>
          <w:rFonts w:ascii="Courier New" w:hAnsi="Courier New"/>
          <w:sz w:val="16"/>
        </w:rPr>
        <w:t>【内航海運コスト構造の変化（推定）】</w:t>
        <w:br/>
        <w:br/>
        <w:t xml:space="preserve">           2020年    2023年    2025年    変化率</w:t>
        <w:br/>
        <w:t>────────────────────────────────────────</w:t>
        <w:br/>
        <w:t>燃料費      ¥/ton  低水準    高止まり   +35〜50%</w:t>
        <w:br/>
        <w:t>船員費      index   100       125〜135   +25〜35%</w:t>
        <w:br/>
        <w:t>修繕費      index   100       115〜125   +15〜25%</w:t>
        <w:br/>
        <w:t>金利コスト  %       低        上昇局面   要注意</w:t>
        <w:br/>
        <w:t>────────────────────────────────────────</w:t>
        <w:br/>
        <w:t>コスト合計増加率 推定 +30〜45%（2020年比）</w:t>
      </w:r>
    </w:p>
    <w:p/>
    <w:p>
      <w:r>
        <w:rPr>
          <w:rFonts w:ascii="Meiryo UI" w:hAnsi="Meiryo UI"/>
          <w:sz w:val="20"/>
        </w:rPr>
        <w:t>国交省・内航総連データに基づく運賃改定状況:</w:t>
      </w:r>
    </w:p>
    <w:p>
      <w:pPr>
        <w:pStyle w:val="ListBullet"/>
      </w:pPr>
      <w:r>
        <w:rPr>
          <w:rFonts w:ascii="Meiryo UI" w:hAnsi="Meiryo UI"/>
          <w:sz w:val="20"/>
        </w:rPr>
        <w:t>2022年末〜2023年: 主要荷主（製鉄・電力・石油元売り）との運賃改定交渉が本格化</w:t>
      </w:r>
    </w:p>
    <w:p>
      <w:pPr>
        <w:pStyle w:val="ListBullet"/>
      </w:pPr>
      <w:r>
        <w:rPr>
          <w:rFonts w:ascii="Meiryo UI" w:hAnsi="Meiryo UI"/>
          <w:sz w:val="20"/>
        </w:rPr>
        <w:t>2024年: 「物流2024年問題」を背景にモーダルシフト（陸→海）需要が顕在化し、内航の価格交渉力が著しく向上</w:t>
      </w:r>
    </w:p>
    <w:p>
      <w:pPr>
        <w:pStyle w:val="ListBullet"/>
      </w:pPr>
      <w:r>
        <w:rPr>
          <w:rFonts w:ascii="Meiryo UI" w:hAnsi="Meiryo UI"/>
          <w:sz w:val="20"/>
        </w:rPr>
        <w:t>2025-2026年: 改定運賃が通期で寄与するフェーズへ突入（ラグ解消による収益拡大期）</w:t>
      </w:r>
    </w:p>
    <w:p/>
    <w:p>
      <w:pPr>
        <w:pStyle w:val="Heading4"/>
      </w:pPr>
      <w:r>
        <w:rPr>
          <w:rFonts w:ascii="Meiryo UI" w:hAnsi="Meiryo UI"/>
          <w:color w:val="2E74B5"/>
        </w:rPr>
        <w:t>2.2.2 運賃改定の収益インパクト試算</w:t>
      </w:r>
    </w:p>
    <w:p/>
    <w:p>
      <w:r>
        <w:rPr>
          <w:rFonts w:ascii="Meiryo UI" w:hAnsi="Meiryo UI"/>
          <w:sz w:val="20"/>
        </w:rPr>
        <w:t>【前提条件】</w:t>
      </w:r>
    </w:p>
    <w:p>
      <w:pPr>
        <w:pStyle w:val="ListBullet"/>
      </w:pPr>
      <w:r>
        <w:rPr>
          <w:rFonts w:ascii="Meiryo UI" w:hAnsi="Meiryo UI"/>
          <w:sz w:val="20"/>
        </w:rPr>
        <w:t>明海グループ推定売上高: ¥8,000〜10,000百万円（FY2025推定）</w:t>
      </w:r>
    </w:p>
    <w:p>
      <w:pPr>
        <w:pStyle w:val="ListBullet"/>
      </w:pPr>
      <w:r>
        <w:rPr>
          <w:rFonts w:ascii="Meiryo UI" w:hAnsi="Meiryo UI"/>
          <w:sz w:val="20"/>
        </w:rPr>
        <w:t>内航海運事業売上比率: 約62%</w:t>
      </w:r>
    </w:p>
    <w:p>
      <w:pPr>
        <w:pStyle w:val="ListBullet"/>
      </w:pPr>
      <w:r>
        <w:rPr>
          <w:rFonts w:ascii="Meiryo UI" w:hAnsi="Meiryo UI"/>
          <w:sz w:val="20"/>
        </w:rPr>
        <w:t>内航海運事業売上: 約¥5,000〜6,200百万円</w:t>
      </w:r>
    </w:p>
    <w:p>
      <w:pPr>
        <w:pStyle w:val="ListBullet"/>
      </w:pPr>
      <w:r>
        <w:rPr>
          <w:rFonts w:ascii="Meiryo UI" w:hAnsi="Meiryo UI"/>
          <w:sz w:val="20"/>
        </w:rPr>
        <w:t>営業利益率（現状推定）: 約3〜5%</w:t>
      </w:r>
    </w:p>
    <w:p/>
    <w:p>
      <w:r>
        <w:rPr>
          <w:rFonts w:ascii="Meiryo UI" w:hAnsi="Meiryo UI"/>
          <w:sz w:val="20"/>
        </w:rPr>
        <w:t>【運賃改定感応度テーブル】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運賃改定率</w:t>
            </w:r>
          </w:p>
        </w:tc>
        <w:tc>
          <w:tcPr>
            <w:tcW w:type="dxa" w:w="1881"/>
            <w:shd w:val="clear" w:color="auto" w:fill="2E74B5"/>
          </w:tcPr>
          <w:p>
            <w:r>
              <w:rPr>
                <w:rFonts w:ascii="Meiryo UI" w:hAnsi="Meiryo UI"/>
                <w:b/>
                <w:color w:val="FFFFFF"/>
                <w:sz w:val="18"/>
              </w:rPr>
              <w:t>内航売上増加額</w:t>
            </w:r>
          </w:p>
        </w:tc>
        <w:tc>
          <w:tcPr>
            <w:tcW w:type="dxa" w:w="1881"/>
            <w:shd w:val="clear" w:color="auto" w:fill="2E74B5"/>
          </w:tcPr>
          <w:p>
            <w:r>
              <w:rPr>
                <w:rFonts w:ascii="Meiryo UI" w:hAnsi="Meiryo UI"/>
                <w:b/>
                <w:color w:val="FFFFFF"/>
                <w:sz w:val="18"/>
              </w:rPr>
              <w:t>営業利益増加額</w:t>
            </w:r>
          </w:p>
        </w:tc>
        <w:tc>
          <w:tcPr>
            <w:tcW w:type="dxa" w:w="1881"/>
            <w:shd w:val="clear" w:color="auto" w:fill="2E74B5"/>
          </w:tcPr>
          <w:p>
            <w:r>
              <w:rPr>
                <w:rFonts w:ascii="Meiryo UI" w:hAnsi="Meiryo UI"/>
                <w:b/>
                <w:color w:val="FFFFFF"/>
                <w:sz w:val="18"/>
              </w:rPr>
              <w:t>EPS増加影響</w:t>
            </w:r>
          </w:p>
        </w:tc>
        <w:tc>
          <w:tcPr>
            <w:tcW w:type="dxa" w:w="1881"/>
            <w:shd w:val="clear" w:color="auto" w:fill="2E74B5"/>
          </w:tcPr>
          <w:p>
            <w:r>
              <w:rPr>
                <w:rFonts w:ascii="Meiryo UI" w:hAnsi="Meiryo UI"/>
                <w:b/>
                <w:color w:val="FFFFFF"/>
                <w:sz w:val="18"/>
              </w:rPr>
              <w:t>株価インパクト（PE×10-12倍）</w:t>
            </w:r>
          </w:p>
        </w:tc>
      </w:tr>
      <w:tr>
        <w:tc>
          <w:tcPr>
            <w:tcW w:type="dxa" w:w="1881"/>
          </w:tcPr>
          <w:p>
            <w:r>
              <w:rPr>
                <w:rFonts w:ascii="Meiryo UI" w:hAnsi="Meiryo UI"/>
                <w:sz w:val="18"/>
              </w:rPr>
              <w:t>+3%</w:t>
            </w:r>
          </w:p>
        </w:tc>
        <w:tc>
          <w:tcPr>
            <w:tcW w:type="dxa" w:w="1881"/>
          </w:tcPr>
          <w:p>
            <w:r>
              <w:rPr>
                <w:rFonts w:ascii="Meiryo UI" w:hAnsi="Meiryo UI"/>
                <w:sz w:val="18"/>
              </w:rPr>
              <w:t>+¥150〜186M</w:t>
            </w:r>
          </w:p>
        </w:tc>
        <w:tc>
          <w:tcPr>
            <w:tcW w:type="dxa" w:w="1881"/>
          </w:tcPr>
          <w:p>
            <w:r>
              <w:rPr>
                <w:rFonts w:ascii="Meiryo UI" w:hAnsi="Meiryo UI"/>
                <w:sz w:val="18"/>
              </w:rPr>
              <w:t>+¥120〜149M*</w:t>
            </w:r>
          </w:p>
        </w:tc>
        <w:tc>
          <w:tcPr>
            <w:tcW w:type="dxa" w:w="1881"/>
          </w:tcPr>
          <w:p>
            <w:r>
              <w:rPr>
                <w:rFonts w:ascii="Meiryo UI" w:hAnsi="Meiryo UI"/>
                <w:sz w:val="18"/>
              </w:rPr>
              <w:t>+¥20〜35/株</w:t>
            </w:r>
          </w:p>
        </w:tc>
        <w:tc>
          <w:tcPr>
            <w:tcW w:type="dxa" w:w="1881"/>
          </w:tcPr>
          <w:p>
            <w:r>
              <w:rPr>
                <w:rFonts w:ascii="Meiryo UI" w:hAnsi="Meiryo UI"/>
                <w:sz w:val="18"/>
              </w:rPr>
              <w:t>+¥200〜420/株</w:t>
            </w:r>
          </w:p>
        </w:tc>
      </w:tr>
      <w:tr>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+¥250〜310M</w:t>
            </w:r>
          </w:p>
        </w:tc>
        <w:tc>
          <w:tcPr>
            <w:tcW w:type="dxa" w:w="1881"/>
            <w:shd w:val="clear" w:color="auto" w:fill="DDEBF7"/>
          </w:tcPr>
          <w:p>
            <w:r>
              <w:rPr>
                <w:rFonts w:ascii="Meiryo UI" w:hAnsi="Meiryo UI"/>
                <w:sz w:val="18"/>
              </w:rPr>
              <w:t>+¥200〜248M</w:t>
            </w:r>
          </w:p>
        </w:tc>
        <w:tc>
          <w:tcPr>
            <w:tcW w:type="dxa" w:w="1881"/>
            <w:shd w:val="clear" w:color="auto" w:fill="DDEBF7"/>
          </w:tcPr>
          <w:p>
            <w:r>
              <w:rPr>
                <w:rFonts w:ascii="Meiryo UI" w:hAnsi="Meiryo UI"/>
                <w:sz w:val="18"/>
              </w:rPr>
              <w:t>+¥33〜58/株</w:t>
            </w:r>
          </w:p>
        </w:tc>
        <w:tc>
          <w:tcPr>
            <w:tcW w:type="dxa" w:w="1881"/>
            <w:shd w:val="clear" w:color="auto" w:fill="DDEBF7"/>
          </w:tcPr>
          <w:p>
            <w:r>
              <w:rPr>
                <w:rFonts w:ascii="Meiryo UI" w:hAnsi="Meiryo UI"/>
                <w:sz w:val="18"/>
              </w:rPr>
              <w:t>+¥330〜696/株</w:t>
            </w:r>
          </w:p>
        </w:tc>
      </w:tr>
      <w:tr>
        <w:tc>
          <w:tcPr>
            <w:tcW w:type="dxa" w:w="1881"/>
          </w:tcPr>
          <w:p>
            <w:r>
              <w:rPr>
                <w:rFonts w:ascii="Meiryo UI" w:hAnsi="Meiryo UI"/>
                <w:sz w:val="18"/>
              </w:rPr>
              <w:t>+8%</w:t>
            </w:r>
          </w:p>
        </w:tc>
        <w:tc>
          <w:tcPr>
            <w:tcW w:type="dxa" w:w="1881"/>
          </w:tcPr>
          <w:p>
            <w:r>
              <w:rPr>
                <w:rFonts w:ascii="Meiryo UI" w:hAnsi="Meiryo UI"/>
                <w:sz w:val="18"/>
              </w:rPr>
              <w:t>+¥400〜496M</w:t>
            </w:r>
          </w:p>
        </w:tc>
        <w:tc>
          <w:tcPr>
            <w:tcW w:type="dxa" w:w="1881"/>
          </w:tcPr>
          <w:p>
            <w:r>
              <w:rPr>
                <w:rFonts w:ascii="Meiryo UI" w:hAnsi="Meiryo UI"/>
                <w:sz w:val="18"/>
              </w:rPr>
              <w:t>+¥320〜397M</w:t>
            </w:r>
          </w:p>
        </w:tc>
        <w:tc>
          <w:tcPr>
            <w:tcW w:type="dxa" w:w="1881"/>
          </w:tcPr>
          <w:p>
            <w:r>
              <w:rPr>
                <w:rFonts w:ascii="Meiryo UI" w:hAnsi="Meiryo UI"/>
                <w:sz w:val="18"/>
              </w:rPr>
              <w:t>+¥53〜93/株</w:t>
            </w:r>
          </w:p>
        </w:tc>
        <w:tc>
          <w:tcPr>
            <w:tcW w:type="dxa" w:w="1881"/>
          </w:tcPr>
          <w:p>
            <w:r>
              <w:rPr>
                <w:rFonts w:ascii="Meiryo UI" w:hAnsi="Meiryo UI"/>
                <w:sz w:val="18"/>
              </w:rPr>
              <w:t>+¥530〜1,116/株</w:t>
            </w:r>
          </w:p>
        </w:tc>
      </w:tr>
      <w:tr>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+¥500〜620M</w:t>
            </w:r>
          </w:p>
        </w:tc>
        <w:tc>
          <w:tcPr>
            <w:tcW w:type="dxa" w:w="1881"/>
            <w:shd w:val="clear" w:color="auto" w:fill="DDEBF7"/>
          </w:tcPr>
          <w:p>
            <w:r>
              <w:rPr>
                <w:rFonts w:ascii="Meiryo UI" w:hAnsi="Meiryo UI"/>
                <w:sz w:val="18"/>
              </w:rPr>
              <w:t>+¥400〜496M</w:t>
            </w:r>
          </w:p>
        </w:tc>
        <w:tc>
          <w:tcPr>
            <w:tcW w:type="dxa" w:w="1881"/>
            <w:shd w:val="clear" w:color="auto" w:fill="DDEBF7"/>
          </w:tcPr>
          <w:p>
            <w:r>
              <w:rPr>
                <w:rFonts w:ascii="Meiryo UI" w:hAnsi="Meiryo UI"/>
                <w:sz w:val="18"/>
              </w:rPr>
              <w:t>+¥67〜116/株</w:t>
            </w:r>
          </w:p>
        </w:tc>
        <w:tc>
          <w:tcPr>
            <w:tcW w:type="dxa" w:w="1881"/>
            <w:shd w:val="clear" w:color="auto" w:fill="DDEBF7"/>
          </w:tcPr>
          <w:p>
            <w:r>
              <w:rPr>
                <w:rFonts w:ascii="Meiryo UI" w:hAnsi="Meiryo UI"/>
                <w:sz w:val="18"/>
              </w:rPr>
              <w:t>+¥670〜1,392/株</w:t>
            </w:r>
          </w:p>
        </w:tc>
      </w:tr>
      <w:tr>
        <w:tc>
          <w:tcPr>
            <w:tcW w:type="dxa" w:w="1881"/>
          </w:tcPr>
          <w:p>
            <w:r>
              <w:rPr>
                <w:rFonts w:ascii="Meiryo UI" w:hAnsi="Meiryo UI"/>
                <w:sz w:val="18"/>
              </w:rPr>
              <w:t>+15%</w:t>
            </w:r>
          </w:p>
        </w:tc>
        <w:tc>
          <w:tcPr>
            <w:tcW w:type="dxa" w:w="1881"/>
          </w:tcPr>
          <w:p>
            <w:r>
              <w:rPr>
                <w:rFonts w:ascii="Meiryo UI" w:hAnsi="Meiryo UI"/>
                <w:sz w:val="18"/>
              </w:rPr>
              <w:t>+¥750〜930M</w:t>
            </w:r>
          </w:p>
        </w:tc>
        <w:tc>
          <w:tcPr>
            <w:tcW w:type="dxa" w:w="1881"/>
          </w:tcPr>
          <w:p>
            <w:r>
              <w:rPr>
                <w:rFonts w:ascii="Meiryo UI" w:hAnsi="Meiryo UI"/>
                <w:sz w:val="18"/>
              </w:rPr>
              <w:t>+¥600〜744M</w:t>
            </w:r>
          </w:p>
        </w:tc>
        <w:tc>
          <w:tcPr>
            <w:tcW w:type="dxa" w:w="1881"/>
          </w:tcPr>
          <w:p>
            <w:r>
              <w:rPr>
                <w:rFonts w:ascii="Meiryo UI" w:hAnsi="Meiryo UI"/>
                <w:sz w:val="18"/>
              </w:rPr>
              <w:t>+¥100〜174/株</w:t>
            </w:r>
          </w:p>
        </w:tc>
        <w:tc>
          <w:tcPr>
            <w:tcW w:type="dxa" w:w="1881"/>
          </w:tcPr>
          <w:p>
            <w:r>
              <w:rPr>
                <w:rFonts w:ascii="Meiryo UI" w:hAnsi="Meiryo UI"/>
                <w:sz w:val="18"/>
              </w:rPr>
              <w:t>+¥1,000〜2,088/株</w:t>
            </w:r>
          </w:p>
        </w:tc>
      </w:tr>
    </w:tbl>
    <w:p/>
    <w:p>
      <w:r>
        <w:rPr>
          <w:rFonts w:ascii="Meiryo UI" w:hAnsi="Meiryo UI"/>
          <w:sz w:val="20"/>
        </w:rPr>
        <w:t>*変動費ゼロ仮説（売上増分がほぼ利益貢献）は内航の特性から概ね成立</w:t>
      </w:r>
    </w:p>
    <w:p/>
    <w:p>
      <w:r>
        <w:rPr>
          <w:rFonts w:ascii="Meiryo UI" w:hAnsi="Meiryo UI"/>
          <w:sz w:val="20"/>
        </w:rPr>
        <w:t>&gt; 深井所見: 内航海運は運賃が上がった分がほぼそのまま限界利益に乗る（追加的な燃料消費・航行コストがほぼ固定）ため、営業レバレッジが極めて高い。+5%の運賃改定でも理論株価へのインパクトは+¥330〜700/株程度と試算。現在株価水準（推定¥1,500〜2,500レンジ）に対して20〜40%のアップサイドを示唆。</w:t>
      </w:r>
    </w:p>
    <w:p/>
    <w:p>
      <w:r>
        <w:t>──────────────────────────────────────────────────</w:t>
      </w:r>
    </w:p>
    <w:p/>
    <w:p>
      <w:pPr>
        <w:pStyle w:val="Heading4"/>
      </w:pPr>
      <w:r>
        <w:rPr>
          <w:rFonts w:ascii="Meiryo UI" w:hAnsi="Meiryo UI"/>
          <w:color w:val="2E74B5"/>
        </w:rPr>
        <w:t>2.2.3 「2024年問題」とモーダルシフト — 構造的需要押し上げ</w:t>
      </w:r>
    </w:p>
    <w:p/>
    <w:p>
      <w:pPr>
        <w:shd w:val="clear" w:color="auto" w:fill="F2F2F2"/>
      </w:pPr>
      <w:r>
        <w:rPr>
          <w:rFonts w:ascii="Courier New" w:hAnsi="Courier New"/>
          <w:sz w:val="16"/>
        </w:rPr>
        <w:t>【モーダルシフト試算】</w:t>
        <w:br/>
        <w:br/>
        <w:t>トラック輸送能力不足（2024年問題）</w:t>
        <w:br/>
        <w:t>→ 輸送力▲30%（ドライバー残業規制による）</w:t>
        <w:br/>
        <w:br/>
        <w:t>不足分の海運代替想定:</w:t>
        <w:br/>
        <w:t>- 国内貨物輸送量うち内航海運シェア: 約40%（トンキロベース）</w:t>
        <w:br/>
        <w:t>- トラックから内航へのシフト需要: 年間+2〜5%増（試算）</w:t>
        <w:br/>
        <w:t>- 明海グループの積取数量増加: +3〜7%（保守的シナリオ）</w:t>
        <w:br/>
        <w:br/>
        <w:t>需要増と運賃改定の「ダブル効果」:</w:t>
        <w:br/>
        <w:t>→ 数量×単価の両軸改善が同時進行中</w:t>
      </w:r>
    </w:p>
    <w:p/>
    <w:p>
      <w:r>
        <w:t>──────────────────────────────────────────────────</w:t>
      </w:r>
    </w:p>
    <w:p/>
    <w:p>
      <w:pPr>
        <w:pStyle w:val="Heading3"/>
      </w:pPr>
      <w:r>
        <w:rPr>
          <w:rFonts w:ascii="Meiryo UI" w:hAnsi="Meiryo UI"/>
          <w:color w:val="2E74B5"/>
        </w:rPr>
        <w:t>2.3 内航 vs 外航：運賃感応度の決定的差異</w:t>
      </w:r>
    </w:p>
    <w:p/>
    <w:p>
      <w:pPr>
        <w:pStyle w:val="Heading4"/>
      </w:pPr>
      <w:r>
        <w:rPr>
          <w:rFonts w:ascii="Meiryo UI" w:hAnsi="Meiryo UI"/>
          <w:color w:val="2E74B5"/>
        </w:rPr>
        <w:t>感応度比較（定量）</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感応度指標</w:t>
            </w:r>
          </w:p>
        </w:tc>
        <w:tc>
          <w:tcPr>
            <w:tcW w:type="dxa" w:w="3135"/>
            <w:shd w:val="clear" w:color="auto" w:fill="2E74B5"/>
          </w:tcPr>
          <w:p>
            <w:r>
              <w:rPr>
                <w:rFonts w:ascii="Meiryo UI" w:hAnsi="Meiryo UI"/>
                <w:b/>
                <w:color w:val="FFFFFF"/>
                <w:sz w:val="18"/>
              </w:rPr>
              <w:t>内航（明海）</w:t>
            </w:r>
          </w:p>
        </w:tc>
        <w:tc>
          <w:tcPr>
            <w:tcW w:type="dxa" w:w="3135"/>
            <w:shd w:val="clear" w:color="auto" w:fill="2E74B5"/>
          </w:tcPr>
          <w:p>
            <w:r>
              <w:rPr>
                <w:rFonts w:ascii="Meiryo UI" w:hAnsi="Meiryo UI"/>
                <w:b/>
                <w:color w:val="FFFFFF"/>
                <w:sz w:val="18"/>
              </w:rPr>
              <w:t>外航大手（川崎汽船等）</w:t>
            </w:r>
          </w:p>
        </w:tc>
      </w:tr>
      <w:tr>
        <w:tc>
          <w:tcPr>
            <w:tcW w:type="dxa" w:w="3135"/>
          </w:tcPr>
          <w:p>
            <w:r>
              <w:rPr>
                <w:rFonts w:ascii="Meiryo UI" w:hAnsi="Meiryo UI"/>
                <w:sz w:val="18"/>
              </w:rPr>
              <w:t>BDI感応度</w:t>
            </w:r>
          </w:p>
        </w:tc>
        <w:tc>
          <w:tcPr>
            <w:tcW w:type="dxa" w:w="3135"/>
          </w:tcPr>
          <w:p>
            <w:r>
              <w:rPr>
                <w:rFonts w:ascii="Meiryo UI" w:hAnsi="Meiryo UI"/>
                <w:sz w:val="18"/>
              </w:rPr>
              <w:t>ゼロ（直接連動なし）</w:t>
            </w:r>
          </w:p>
        </w:tc>
        <w:tc>
          <w:tcPr>
            <w:tcW w:type="dxa" w:w="3135"/>
          </w:tcPr>
          <w:p>
            <w:r>
              <w:rPr>
                <w:rFonts w:ascii="Meiryo UI" w:hAnsi="Meiryo UI"/>
                <w:sz w:val="18"/>
              </w:rPr>
              <w:t>高い（バルカー系は直結）</w:t>
            </w:r>
          </w:p>
        </w:tc>
      </w:tr>
      <w:tr>
        <w:tc>
          <w:tcPr>
            <w:tcW w:type="dxa" w:w="3135"/>
            <w:shd w:val="clear" w:color="auto" w:fill="DDEBF7"/>
          </w:tcPr>
          <w:p>
            <w:r>
              <w:rPr>
                <w:rFonts w:ascii="Meiryo UI" w:hAnsi="Meiryo UI"/>
                <w:sz w:val="18"/>
              </w:rPr>
              <w:t>コンテナ運賃感応度</w:t>
            </w:r>
          </w:p>
        </w:tc>
        <w:tc>
          <w:tcPr>
            <w:tcW w:type="dxa" w:w="3135"/>
            <w:shd w:val="clear" w:color="auto" w:fill="DDEBF7"/>
          </w:tcPr>
          <w:p>
            <w:r>
              <w:rPr>
                <w:rFonts w:ascii="Meiryo UI" w:hAnsi="Meiryo UI"/>
                <w:sz w:val="18"/>
              </w:rPr>
              <w:t>ほぼゼロ</w:t>
            </w:r>
          </w:p>
        </w:tc>
        <w:tc>
          <w:tcPr>
            <w:tcW w:type="dxa" w:w="3135"/>
            <w:shd w:val="clear" w:color="auto" w:fill="DDEBF7"/>
          </w:tcPr>
          <w:p>
            <w:r>
              <w:rPr>
                <w:rFonts w:ascii="Meiryo UI" w:hAnsi="Meiryo UI"/>
                <w:sz w:val="18"/>
              </w:rPr>
              <w:t>極めて高い</w:t>
            </w:r>
          </w:p>
        </w:tc>
      </w:tr>
      <w:tr>
        <w:tc>
          <w:tcPr>
            <w:tcW w:type="dxa" w:w="3135"/>
          </w:tcPr>
          <w:p>
            <w:r>
              <w:rPr>
                <w:rFonts w:ascii="Meiryo UI" w:hAnsi="Meiryo UI"/>
                <w:sz w:val="18"/>
              </w:rPr>
              <w:t>国内インフレ感応度</w:t>
            </w:r>
          </w:p>
        </w:tc>
        <w:tc>
          <w:tcPr>
            <w:tcW w:type="dxa" w:w="3135"/>
          </w:tcPr>
          <w:p>
            <w:r>
              <w:rPr>
                <w:rFonts w:ascii="Meiryo UI" w:hAnsi="Meiryo UI"/>
                <w:sz w:val="18"/>
              </w:rPr>
              <w:t>高い（コスト転嫁機会）</w:t>
            </w:r>
          </w:p>
        </w:tc>
        <w:tc>
          <w:tcPr>
            <w:tcW w:type="dxa" w:w="3135"/>
          </w:tcPr>
          <w:p>
            <w:r>
              <w:rPr>
                <w:rFonts w:ascii="Meiryo UI" w:hAnsi="Meiryo UI"/>
                <w:sz w:val="18"/>
              </w:rPr>
              <w:t>中程度</w:t>
            </w:r>
          </w:p>
        </w:tc>
      </w:tr>
      <w:tr>
        <w:tc>
          <w:tcPr>
            <w:tcW w:type="dxa" w:w="3135"/>
            <w:shd w:val="clear" w:color="auto" w:fill="DDEBF7"/>
          </w:tcPr>
          <w:p>
            <w:r>
              <w:rPr>
                <w:rFonts w:ascii="Meiryo UI" w:hAnsi="Meiryo UI"/>
                <w:sz w:val="18"/>
              </w:rPr>
              <w:t>為替（USD/JPY）感応度</w:t>
            </w:r>
          </w:p>
        </w:tc>
        <w:tc>
          <w:tcPr>
            <w:tcW w:type="dxa" w:w="3135"/>
            <w:shd w:val="clear" w:color="auto" w:fill="DDEBF7"/>
          </w:tcPr>
          <w:p>
            <w:r>
              <w:rPr>
                <w:rFonts w:ascii="Meiryo UI" w:hAnsi="Meiryo UI"/>
                <w:sz w:val="18"/>
              </w:rPr>
              <w:t>ほぼゼロ（円建て）</w:t>
            </w:r>
          </w:p>
        </w:tc>
        <w:tc>
          <w:tcPr>
            <w:tcW w:type="dxa" w:w="3135"/>
            <w:shd w:val="clear" w:color="auto" w:fill="DDEBF7"/>
          </w:tcPr>
          <w:p>
            <w:r>
              <w:rPr>
                <w:rFonts w:ascii="Meiryo UI" w:hAnsi="Meiryo UI"/>
                <w:sz w:val="18"/>
              </w:rPr>
              <w:t>極めて高い</w:t>
            </w:r>
          </w:p>
        </w:tc>
      </w:tr>
      <w:tr>
        <w:tc>
          <w:tcPr>
            <w:tcW w:type="dxa" w:w="3135"/>
          </w:tcPr>
          <w:p>
            <w:r>
              <w:rPr>
                <w:rFonts w:ascii="Meiryo UI" w:hAnsi="Meiryo UI"/>
                <w:sz w:val="18"/>
              </w:rPr>
              <w:t>金利感応度</w:t>
            </w:r>
          </w:p>
        </w:tc>
        <w:tc>
          <w:tcPr>
            <w:tcW w:type="dxa" w:w="3135"/>
          </w:tcPr>
          <w:p>
            <w:r>
              <w:rPr>
                <w:rFonts w:ascii="Meiryo UI" w:hAnsi="Meiryo UI"/>
                <w:sz w:val="18"/>
              </w:rPr>
              <w:t>中程度（借入金・リース）</w:t>
            </w:r>
          </w:p>
        </w:tc>
        <w:tc>
          <w:tcPr>
            <w:tcW w:type="dxa" w:w="3135"/>
          </w:tcPr>
          <w:p>
            <w:r>
              <w:rPr>
                <w:rFonts w:ascii="Meiryo UI" w:hAnsi="Meiryo UI"/>
                <w:sz w:val="18"/>
              </w:rPr>
              <w:t>高い（大型資産保有）</w:t>
            </w:r>
          </w:p>
        </w:tc>
      </w:tr>
      <w:tr>
        <w:tc>
          <w:tcPr>
            <w:tcW w:type="dxa" w:w="3135"/>
            <w:shd w:val="clear" w:color="auto" w:fill="DDEBF7"/>
          </w:tcPr>
          <w:p>
            <w:r>
              <w:rPr>
                <w:rFonts w:ascii="Meiryo UI" w:hAnsi="Meiryo UI"/>
                <w:sz w:val="18"/>
              </w:rPr>
              <w:t>燃料（C重油）感応度</w:t>
            </w:r>
          </w:p>
        </w:tc>
        <w:tc>
          <w:tcPr>
            <w:tcW w:type="dxa" w:w="3135"/>
            <w:shd w:val="clear" w:color="auto" w:fill="DDEBF7"/>
          </w:tcPr>
          <w:p>
            <w:r>
              <w:rPr>
                <w:rFonts w:ascii="Meiryo UI" w:hAnsi="Meiryo UI"/>
                <w:sz w:val="18"/>
              </w:rPr>
              <w:t>高い（コスト要因）</w:t>
            </w:r>
          </w:p>
        </w:tc>
        <w:tc>
          <w:tcPr>
            <w:tcW w:type="dxa" w:w="3135"/>
            <w:shd w:val="clear" w:color="auto" w:fill="DDEBF7"/>
          </w:tcPr>
          <w:p>
            <w:r>
              <w:rPr>
                <w:rFonts w:ascii="Meiryo UI" w:hAnsi="Meiryo UI"/>
                <w:sz w:val="18"/>
              </w:rPr>
              <w:t>高い（バンカー要因）</w:t>
            </w:r>
          </w:p>
        </w:tc>
      </w:tr>
      <w:tr>
        <w:tc>
          <w:tcPr>
            <w:tcW w:type="dxa" w:w="3135"/>
          </w:tcPr>
          <w:p>
            <w:r>
              <w:rPr>
                <w:rFonts w:ascii="Meiryo UI" w:hAnsi="Meiryo UI"/>
                <w:sz w:val="18"/>
              </w:rPr>
              <w:t>運賃粘着性</w:t>
            </w:r>
          </w:p>
        </w:tc>
        <w:tc>
          <w:tcPr>
            <w:tcW w:type="dxa" w:w="3135"/>
          </w:tcPr>
          <w:p>
            <w:r>
              <w:rPr>
                <w:rFonts w:ascii="Meiryo UI" w:hAnsi="Meiryo UI"/>
                <w:sz w:val="18"/>
              </w:rPr>
              <w:t>非常に高い（契約性）</w:t>
            </w:r>
          </w:p>
        </w:tc>
        <w:tc>
          <w:tcPr>
            <w:tcW w:type="dxa" w:w="3135"/>
          </w:tcPr>
          <w:p>
            <w:r>
              <w:rPr>
                <w:rFonts w:ascii="Meiryo UI" w:hAnsi="Meiryo UI"/>
                <w:sz w:val="18"/>
              </w:rPr>
              <w:t>低い（スポット主体）</w:t>
            </w:r>
          </w:p>
        </w:tc>
      </w:tr>
      <w:tr>
        <w:tc>
          <w:tcPr>
            <w:tcW w:type="dxa" w:w="3135"/>
            <w:shd w:val="clear" w:color="auto" w:fill="DDEBF7"/>
          </w:tcPr>
          <w:p>
            <w:r>
              <w:rPr>
                <w:rFonts w:ascii="Meiryo UI" w:hAnsi="Meiryo UI"/>
                <w:sz w:val="18"/>
              </w:rPr>
              <w:t>収益可視性</w:t>
            </w:r>
          </w:p>
        </w:tc>
        <w:tc>
          <w:tcPr>
            <w:tcW w:type="dxa" w:w="3135"/>
            <w:shd w:val="clear" w:color="auto" w:fill="DDEBF7"/>
          </w:tcPr>
          <w:p>
            <w:r>
              <w:rPr>
                <w:rFonts w:ascii="Meiryo UI" w:hAnsi="Meiryo UI"/>
                <w:sz w:val="18"/>
              </w:rPr>
              <w:t>高い（契約先確定）</w:t>
            </w:r>
          </w:p>
        </w:tc>
        <w:tc>
          <w:tcPr>
            <w:tcW w:type="dxa" w:w="3135"/>
            <w:shd w:val="clear" w:color="auto" w:fill="DDEBF7"/>
          </w:tcPr>
          <w:p>
            <w:r>
              <w:rPr>
                <w:rFonts w:ascii="Meiryo UI" w:hAnsi="Meiryo UI"/>
                <w:sz w:val="18"/>
              </w:rPr>
              <w:t>低い（市況依存）</w:t>
            </w:r>
          </w:p>
        </w:tc>
      </w:tr>
    </w:tbl>
    <w:p/>
    <w:p>
      <w:r>
        <w:rPr>
          <w:rFonts w:ascii="Meiryo UI" w:hAnsi="Meiryo UI"/>
          <w:sz w:val="20"/>
        </w:rPr>
        <w:t>→ 結論（社長向け）:</w:t>
      </w:r>
    </w:p>
    <w:p>
      <w:r>
        <w:rPr>
          <w:rFonts w:ascii="Meiryo UI" w:hAnsi="Meiryo UI"/>
          <w:sz w:val="20"/>
        </w:rPr>
        <w:t>&gt; 明海グループは外航の「市況ギャンブル」とは全く異なるビジネスモデル。船賃上昇局面での収益インパクトは「遅れて確実に来る」型であり、一旦上昇した運賃は数年間粘着する。外航のように「今週運賃下落」という事態は発生しない。社長の「船賃上がってよさそう」仮説は、内航においては一度改定されれば複数年の持続的収益改善を意味する。これは外航投資と本質的に異なるリスク/リターン構造。</w:t>
      </w:r>
    </w:p>
    <w:p/>
    <w:p>
      <w:r>
        <w:t>──────────────────────────────────────────────────</w:t>
      </w:r>
    </w:p>
    <w:p/>
    <w:p>
      <w:pPr>
        <w:pStyle w:val="Heading3"/>
      </w:pPr>
      <w:r>
        <w:rPr>
          <w:rFonts w:ascii="Meiryo UI" w:hAnsi="Meiryo UI"/>
          <w:color w:val="2E74B5"/>
        </w:rPr>
        <w:t>2.4 リスクファクター（船賃上昇シナリオの阻害要因）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対処</w:t>
            </w:r>
          </w:p>
        </w:tc>
      </w:tr>
      <w:tr>
        <w:tc>
          <w:tcPr>
            <w:tcW w:type="dxa" w:w="2351"/>
          </w:tcPr>
          <w:p>
            <w:r>
              <w:rPr>
                <w:rFonts w:ascii="Meiryo UI" w:hAnsi="Meiryo UI"/>
                <w:sz w:val="18"/>
              </w:rPr>
              <w:t>荷主抵抗</w:t>
            </w:r>
          </w:p>
        </w:tc>
        <w:tc>
          <w:tcPr>
            <w:tcW w:type="dxa" w:w="2351"/>
          </w:tcPr>
          <w:p>
            <w:r>
              <w:rPr>
                <w:rFonts w:ascii="Meiryo UI" w:hAnsi="Meiryo UI"/>
                <w:sz w:val="18"/>
              </w:rPr>
              <w:t>大手製鉄・電力が値上げ拒否</w:t>
            </w:r>
          </w:p>
        </w:tc>
        <w:tc>
          <w:tcPr>
            <w:tcW w:type="dxa" w:w="2351"/>
          </w:tcPr>
          <w:p>
            <w:r>
              <w:rPr>
                <w:rFonts w:ascii="Meiryo UI" w:hAnsi="Meiryo UI"/>
                <w:sz w:val="18"/>
              </w:rPr>
              <w:t>低〜中（交渉力構造が変化）</w:t>
            </w:r>
          </w:p>
        </w:tc>
        <w:tc>
          <w:tcPr>
            <w:tcW w:type="dxa" w:w="2351"/>
          </w:tcPr>
          <w:p>
            <w:r>
              <w:rPr>
                <w:rFonts w:ascii="Meiryo UI" w:hAnsi="Meiryo UI"/>
                <w:sz w:val="18"/>
              </w:rPr>
              <w:t>複数年交渉確認</w:t>
            </w:r>
          </w:p>
        </w:tc>
      </w:tr>
      <w:tr>
        <w:tc>
          <w:tcPr>
            <w:tcW w:type="dxa" w:w="2351"/>
            <w:shd w:val="clear" w:color="auto" w:fill="DDEBF7"/>
          </w:tcPr>
          <w:p>
            <w:r>
              <w:rPr>
                <w:rFonts w:ascii="Meiryo UI" w:hAnsi="Meiryo UI"/>
                <w:sz w:val="18"/>
              </w:rPr>
              <w:t>燃料費高騰の上乗せ失敗</w:t>
            </w:r>
          </w:p>
        </w:tc>
        <w:tc>
          <w:tcPr>
            <w:tcW w:type="dxa" w:w="2351"/>
            <w:shd w:val="clear" w:color="auto" w:fill="DDEBF7"/>
          </w:tcPr>
          <w:p>
            <w:r>
              <w:rPr>
                <w:rFonts w:ascii="Meiryo UI" w:hAnsi="Meiryo UI"/>
                <w:sz w:val="18"/>
              </w:rPr>
              <w:t>燃調条項が機能しない</w:t>
            </w:r>
          </w:p>
        </w:tc>
        <w:tc>
          <w:tcPr>
            <w:tcW w:type="dxa" w:w="2351"/>
            <w:shd w:val="clear" w:color="auto" w:fill="DDEBF7"/>
          </w:tcPr>
          <w:p>
            <w:r>
              <w:rPr>
                <w:rFonts w:ascii="Meiryo UI" w:hAnsi="Meiryo UI"/>
                <w:sz w:val="18"/>
              </w:rPr>
              <w:t>低（主要荷主は認容）</w:t>
            </w:r>
          </w:p>
        </w:tc>
        <w:tc>
          <w:tcPr>
            <w:tcW w:type="dxa" w:w="2351"/>
            <w:shd w:val="clear" w:color="auto" w:fill="DDEBF7"/>
          </w:tcPr>
          <w:p>
            <w:r>
              <w:rPr>
                <w:rFonts w:ascii="Meiryo UI" w:hAnsi="Meiryo UI"/>
                <w:sz w:val="18"/>
              </w:rPr>
              <w:t>契約条項確認</w:t>
            </w:r>
          </w:p>
        </w:tc>
      </w:tr>
      <w:tr>
        <w:tc>
          <w:tcPr>
            <w:tcW w:type="dxa" w:w="2351"/>
          </w:tcPr>
          <w:p>
            <w:r>
              <w:rPr>
                <w:rFonts w:ascii="Meiryo UI" w:hAnsi="Meiryo UI"/>
                <w:sz w:val="18"/>
              </w:rPr>
              <w:t>モーダルシフト逆転</w:t>
            </w:r>
          </w:p>
        </w:tc>
        <w:tc>
          <w:tcPr>
            <w:tcW w:type="dxa" w:w="2351"/>
          </w:tcPr>
          <w:p>
            <w:r>
              <w:rPr>
                <w:rFonts w:ascii="Meiryo UI" w:hAnsi="Meiryo UI"/>
                <w:sz w:val="18"/>
              </w:rPr>
              <w:t>トラック代替技術（自動運転）進展</w:t>
            </w:r>
          </w:p>
        </w:tc>
        <w:tc>
          <w:tcPr>
            <w:tcW w:type="dxa" w:w="2351"/>
          </w:tcPr>
          <w:p>
            <w:r>
              <w:rPr>
                <w:rFonts w:ascii="Meiryo UI" w:hAnsi="Meiryo UI"/>
                <w:sz w:val="18"/>
              </w:rPr>
              <w:t>極低（2030年代以降）</w:t>
            </w:r>
          </w:p>
        </w:tc>
        <w:tc>
          <w:tcPr>
            <w:tcW w:type="dxa" w:w="2351"/>
          </w:tcPr>
          <w:p>
            <w:r>
              <w:rPr>
                <w:rFonts w:ascii="Meiryo UI" w:hAnsi="Meiryo UI"/>
                <w:sz w:val="18"/>
              </w:rPr>
              <w:t>無視可</w:t>
            </w:r>
          </w:p>
        </w:tc>
      </w:tr>
      <w:tr>
        <w:tc>
          <w:tcPr>
            <w:tcW w:type="dxa" w:w="2351"/>
            <w:shd w:val="clear" w:color="auto" w:fill="DDEBF7"/>
          </w:tcPr>
          <w:p>
            <w:r>
              <w:rPr>
                <w:rFonts w:ascii="Meiryo UI" w:hAnsi="Meiryo UI"/>
                <w:sz w:val="18"/>
              </w:rPr>
              <w:t>景気後退による荷動き減</w:t>
            </w:r>
          </w:p>
        </w:tc>
        <w:tc>
          <w:tcPr>
            <w:tcW w:type="dxa" w:w="2351"/>
            <w:shd w:val="clear" w:color="auto" w:fill="DDEBF7"/>
          </w:tcPr>
          <w:p>
            <w:r>
              <w:rPr>
                <w:rFonts w:ascii="Meiryo UI" w:hAnsi="Meiryo UI"/>
                <w:sz w:val="18"/>
              </w:rPr>
              <w:t>鉄鋼・建設需要急落</w:t>
            </w:r>
          </w:p>
        </w:tc>
        <w:tc>
          <w:tcPr>
            <w:tcW w:type="dxa" w:w="2351"/>
            <w:shd w:val="clear" w:color="auto" w:fill="DDEBF7"/>
          </w:tcPr>
          <w:p>
            <w:r>
              <w:rPr>
                <w:rFonts w:ascii="Meiryo UI" w:hAnsi="Meiryo UI"/>
                <w:sz w:val="18"/>
              </w:rPr>
              <w:t>中程度</w:t>
            </w:r>
          </w:p>
        </w:tc>
        <w:tc>
          <w:tcPr>
            <w:tcW w:type="dxa" w:w="2351"/>
            <w:shd w:val="clear" w:color="auto" w:fill="DDEBF7"/>
          </w:tcPr>
          <w:p>
            <w:r>
              <w:rPr>
                <w:rFonts w:ascii="Meiryo UI" w:hAnsi="Meiryo UI"/>
                <w:sz w:val="18"/>
              </w:rPr>
              <w:t>下方シナリオで織込</w:t>
            </w:r>
          </w:p>
        </w:tc>
      </w:tr>
    </w:tbl>
    <w:p/>
    <w:p>
      <w:r>
        <w:t>──────────────────────────────────────────────────</w:t>
      </w:r>
    </w:p>
    <w:p/>
    <w:p>
      <w:pPr>
        <w:pStyle w:val="Heading2"/>
      </w:pPr>
      <w:r>
        <w:rPr>
          <w:rFonts w:ascii="Meiryo UI" w:hAnsi="Meiryo UI"/>
          <w:color w:val="2E74B5"/>
        </w:rPr>
        <w:t>3. 財務ハイライト</w:t>
      </w:r>
    </w:p>
    <w:p/>
    <w:p>
      <w:r>
        <w:rPr>
          <w:rFonts w:ascii="Meiryo UI" w:hAnsi="Meiryo UI"/>
          <w:sz w:val="20"/>
        </w:rPr>
        <w:t>&gt; ⚠️ データ注記: 明海グループ（9115）の最新決算短信・有報を基準に推計を組み合わせた数値。公式IRで要確認。</w:t>
      </w:r>
    </w:p>
    <w:p/>
    <w:p>
      <w:pPr>
        <w:pStyle w:val="Heading3"/>
      </w:pPr>
      <w:r>
        <w:rPr>
          <w:rFonts w:ascii="Meiryo UI" w:hAnsi="Meiryo UI"/>
          <w:color w:val="2E74B5"/>
        </w:rPr>
        <w:t>3.1 損益計算書（PL）ハイライト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FY2025推定</w:t>
            </w:r>
          </w:p>
        </w:tc>
        <w:tc>
          <w:tcPr>
            <w:tcW w:type="dxa" w:w="1881"/>
            <w:shd w:val="clear" w:color="auto" w:fill="2E74B5"/>
          </w:tcPr>
          <w:p>
            <w:r>
              <w:rPr>
                <w:rFonts w:ascii="Meiryo UI" w:hAnsi="Meiryo UI"/>
                <w:b/>
                <w:color w:val="FFFFFF"/>
                <w:sz w:val="18"/>
              </w:rPr>
              <w:t>YoY成長率</w:t>
            </w:r>
          </w:p>
        </w:tc>
      </w:tr>
      <w:tr>
        <w:tc>
          <w:tcPr>
            <w:tcW w:type="dxa" w:w="1881"/>
          </w:tcPr>
          <w:p>
            <w:r>
              <w:rPr>
                <w:rFonts w:ascii="Meiryo UI" w:hAnsi="Meiryo UI"/>
                <w:sz w:val="18"/>
              </w:rPr>
              <w:t>売上高</w:t>
            </w:r>
          </w:p>
        </w:tc>
        <w:tc>
          <w:tcPr>
            <w:tcW w:type="dxa" w:w="1881"/>
          </w:tcPr>
          <w:p>
            <w:r>
              <w:rPr>
                <w:rFonts w:ascii="Meiryo UI" w:hAnsi="Meiryo UI"/>
                <w:sz w:val="18"/>
              </w:rPr>
              <w:t>¥8,200M</w:t>
            </w:r>
          </w:p>
        </w:tc>
        <w:tc>
          <w:tcPr>
            <w:tcW w:type="dxa" w:w="1881"/>
          </w:tcPr>
          <w:p>
            <w:r>
              <w:rPr>
                <w:rFonts w:ascii="Meiryo UI" w:hAnsi="Meiryo UI"/>
                <w:sz w:val="18"/>
              </w:rPr>
              <w:t>¥9,100M</w:t>
            </w:r>
          </w:p>
        </w:tc>
        <w:tc>
          <w:tcPr>
            <w:tcW w:type="dxa" w:w="1881"/>
          </w:tcPr>
          <w:p>
            <w:r>
              <w:rPr>
                <w:rFonts w:ascii="Meiryo UI" w:hAnsi="Meiryo UI"/>
                <w:sz w:val="18"/>
              </w:rPr>
              <w:t>¥9,800〜10,200M</w:t>
            </w:r>
          </w:p>
        </w:tc>
        <w:tc>
          <w:tcPr>
            <w:tcW w:type="dxa" w:w="1881"/>
          </w:tcPr>
          <w:p>
            <w:r>
              <w:rPr>
                <w:rFonts w:ascii="Meiryo UI" w:hAnsi="Meiryo UI"/>
                <w:sz w:val="18"/>
              </w:rPr>
              <w:t>+8〜12%</w:t>
            </w:r>
          </w:p>
        </w:tc>
      </w:tr>
      <w:tr>
        <w:tc>
          <w:tcPr>
            <w:tcW w:type="dxa" w:w="1881"/>
            <w:shd w:val="clear" w:color="auto" w:fill="DDEBF7"/>
          </w:tcPr>
          <w:p>
            <w:r>
              <w:rPr>
                <w:rFonts w:ascii="Meiryo UI" w:hAnsi="Meiryo UI"/>
                <w:sz w:val="18"/>
              </w:rPr>
              <w:t>売上総利益</w:t>
            </w:r>
          </w:p>
        </w:tc>
        <w:tc>
          <w:tcPr>
            <w:tcW w:type="dxa" w:w="1881"/>
            <w:shd w:val="clear" w:color="auto" w:fill="DDEBF7"/>
          </w:tcPr>
          <w:p>
            <w:r>
              <w:rPr>
                <w:rFonts w:ascii="Meiryo UI" w:hAnsi="Meiryo UI"/>
                <w:sz w:val="18"/>
              </w:rPr>
              <w:t>¥1,640M</w:t>
            </w:r>
          </w:p>
        </w:tc>
        <w:tc>
          <w:tcPr>
            <w:tcW w:type="dxa" w:w="1881"/>
            <w:shd w:val="clear" w:color="auto" w:fill="DDEBF7"/>
          </w:tcPr>
          <w:p>
            <w:r>
              <w:rPr>
                <w:rFonts w:ascii="Meiryo UI" w:hAnsi="Meiryo UI"/>
                <w:sz w:val="18"/>
              </w:rPr>
              <w:t>¥1,911M</w:t>
            </w:r>
          </w:p>
        </w:tc>
        <w:tc>
          <w:tcPr>
            <w:tcW w:type="dxa" w:w="1881"/>
            <w:shd w:val="clear" w:color="auto" w:fill="DDEBF7"/>
          </w:tcPr>
          <w:p>
            <w:r>
              <w:rPr>
                <w:rFonts w:ascii="Meiryo UI" w:hAnsi="Meiryo UI"/>
                <w:sz w:val="18"/>
              </w:rPr>
              <w:t>¥2,156〜2,346M</w:t>
            </w:r>
          </w:p>
        </w:tc>
        <w:tc>
          <w:tcPr>
            <w:tcW w:type="dxa" w:w="1881"/>
            <w:shd w:val="clear" w:color="auto" w:fill="DDEBF7"/>
          </w:tcPr>
          <w:p>
            <w:r>
              <w:rPr>
                <w:rFonts w:ascii="Meiryo UI" w:hAnsi="Meiryo UI"/>
                <w:sz w:val="18"/>
              </w:rPr>
              <w:t>+13〜23%</w:t>
            </w:r>
          </w:p>
        </w:tc>
      </w:tr>
      <w:tr>
        <w:tc>
          <w:tcPr>
            <w:tcW w:type="dxa" w:w="1881"/>
          </w:tcPr>
          <w:p>
            <w:r>
              <w:rPr>
                <w:rFonts w:ascii="Meiryo UI" w:hAnsi="Meiryo UI"/>
                <w:sz w:val="18"/>
              </w:rPr>
              <w:t>売上総利益率</w:t>
            </w:r>
          </w:p>
        </w:tc>
        <w:tc>
          <w:tcPr>
            <w:tcW w:type="dxa" w:w="1881"/>
          </w:tcPr>
          <w:p>
            <w:r>
              <w:rPr>
                <w:rFonts w:ascii="Meiryo UI" w:hAnsi="Meiryo UI"/>
                <w:sz w:val="18"/>
              </w:rPr>
              <w:t>20.0%</w:t>
            </w:r>
          </w:p>
        </w:tc>
        <w:tc>
          <w:tcPr>
            <w:tcW w:type="dxa" w:w="1881"/>
          </w:tcPr>
          <w:p>
            <w:r>
              <w:rPr>
                <w:rFonts w:ascii="Meiryo UI" w:hAnsi="Meiryo UI"/>
                <w:sz w:val="18"/>
              </w:rPr>
              <w:t>21.0%</w:t>
            </w:r>
          </w:p>
        </w:tc>
        <w:tc>
          <w:tcPr>
            <w:tcW w:type="dxa" w:w="1881"/>
          </w:tcPr>
          <w:p>
            <w:r>
              <w:rPr>
                <w:rFonts w:ascii="Meiryo UI" w:hAnsi="Meiryo UI"/>
                <w:sz w:val="18"/>
              </w:rPr>
              <w:t>22.0〜23.0%</w:t>
            </w:r>
          </w:p>
        </w:tc>
        <w:tc>
          <w:tcPr>
            <w:tcW w:type="dxa" w:w="1881"/>
          </w:tcPr>
          <w:p>
            <w:r>
              <w:rPr>
                <w:rFonts w:ascii="Meiryo UI" w:hAnsi="Meiryo UI"/>
                <w:sz w:val="18"/>
              </w:rPr>
              <w:t>改善傾向</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¥328M</w:t>
            </w:r>
          </w:p>
        </w:tc>
        <w:tc>
          <w:tcPr>
            <w:tcW w:type="dxa" w:w="1881"/>
            <w:shd w:val="clear" w:color="auto" w:fill="DDEBF7"/>
          </w:tcPr>
          <w:p>
            <w:r>
              <w:rPr>
                <w:rFonts w:ascii="Meiryo UI" w:hAnsi="Meiryo UI"/>
                <w:sz w:val="18"/>
              </w:rPr>
              <w:t>¥455M</w:t>
            </w:r>
          </w:p>
        </w:tc>
        <w:tc>
          <w:tcPr>
            <w:tcW w:type="dxa" w:w="1881"/>
            <w:shd w:val="clear" w:color="auto" w:fill="DDEBF7"/>
          </w:tcPr>
          <w:p>
            <w:r>
              <w:rPr>
                <w:rFonts w:ascii="Meiryo UI" w:hAnsi="Meiryo UI"/>
                <w:sz w:val="18"/>
              </w:rPr>
              <w:t>¥588〜714M</w:t>
            </w:r>
          </w:p>
        </w:tc>
        <w:tc>
          <w:tcPr>
            <w:tcW w:type="dxa" w:w="1881"/>
            <w:shd w:val="clear" w:color="auto" w:fill="DDEBF7"/>
          </w:tcPr>
          <w:p>
            <w:r>
              <w:rPr>
                <w:rFonts w:ascii="Meiryo UI" w:hAnsi="Meiryo UI"/>
                <w:sz w:val="18"/>
              </w:rPr>
              <w:t>+29〜57%</w:t>
            </w:r>
          </w:p>
        </w:tc>
      </w:tr>
      <w:tr>
        <w:tc>
          <w:tcPr>
            <w:tcW w:type="dxa" w:w="1881"/>
          </w:tcPr>
          <w:p>
            <w:r>
              <w:rPr>
                <w:rFonts w:ascii="Meiryo UI" w:hAnsi="Meiryo UI"/>
                <w:sz w:val="18"/>
              </w:rPr>
              <w:t>営業利益率</w:t>
            </w:r>
          </w:p>
        </w:tc>
        <w:tc>
          <w:tcPr>
            <w:tcW w:type="dxa" w:w="1881"/>
          </w:tcPr>
          <w:p>
            <w:r>
              <w:rPr>
                <w:rFonts w:ascii="Meiryo UI" w:hAnsi="Meiryo UI"/>
                <w:sz w:val="18"/>
              </w:rPr>
              <w:t>4.0%</w:t>
            </w:r>
          </w:p>
        </w:tc>
        <w:tc>
          <w:tcPr>
            <w:tcW w:type="dxa" w:w="1881"/>
          </w:tcPr>
          <w:p>
            <w:r>
              <w:rPr>
                <w:rFonts w:ascii="Meiryo UI" w:hAnsi="Meiryo UI"/>
                <w:sz w:val="18"/>
              </w:rPr>
              <w:t>5.0%</w:t>
            </w:r>
          </w:p>
        </w:tc>
        <w:tc>
          <w:tcPr>
            <w:tcW w:type="dxa" w:w="1881"/>
          </w:tcPr>
          <w:p>
            <w:r>
              <w:rPr>
                <w:rFonts w:ascii="Meiryo UI" w:hAnsi="Meiryo UI"/>
                <w:sz w:val="18"/>
              </w:rPr>
              <w:t>6.0〜7.0%</w:t>
            </w:r>
          </w:p>
        </w:tc>
        <w:tc>
          <w:tcPr>
            <w:tcW w:type="dxa" w:w="1881"/>
          </w:tcPr>
          <w:p>
            <w:r>
              <w:rPr>
                <w:rFonts w:ascii="Meiryo UI" w:hAnsi="Meiryo UI"/>
                <w:sz w:val="18"/>
              </w:rPr>
              <w:t>改善中</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¥352M</w:t>
            </w:r>
          </w:p>
        </w:tc>
        <w:tc>
          <w:tcPr>
            <w:tcW w:type="dxa" w:w="1881"/>
            <w:shd w:val="clear" w:color="auto" w:fill="DDEBF7"/>
          </w:tcPr>
          <w:p>
            <w:r>
              <w:rPr>
                <w:rFonts w:ascii="Meiryo UI" w:hAnsi="Meiryo UI"/>
                <w:sz w:val="18"/>
              </w:rPr>
              <w:t>¥480M</w:t>
            </w:r>
          </w:p>
        </w:tc>
        <w:tc>
          <w:tcPr>
            <w:tcW w:type="dxa" w:w="1881"/>
            <w:shd w:val="clear" w:color="auto" w:fill="DDEBF7"/>
          </w:tcPr>
          <w:p>
            <w:r>
              <w:rPr>
                <w:rFonts w:ascii="Meiryo UI" w:hAnsi="Meiryo UI"/>
                <w:sz w:val="18"/>
              </w:rPr>
              <w:t>¥618〜742M</w:t>
            </w:r>
          </w:p>
        </w:tc>
        <w:tc>
          <w:tcPr>
            <w:tcW w:type="dxa" w:w="1881"/>
            <w:shd w:val="clear" w:color="auto" w:fill="DDEBF7"/>
          </w:tcPr>
          <w:p>
            <w:r>
              <w:rPr>
                <w:rFonts w:ascii="Meiryo UI" w:hAnsi="Meiryo UI"/>
                <w:sz w:val="18"/>
              </w:rPr>
              <w:t>+29〜55%</w:t>
            </w:r>
          </w:p>
        </w:tc>
      </w:tr>
      <w:tr>
        <w:tc>
          <w:tcPr>
            <w:tcW w:type="dxa" w:w="1881"/>
          </w:tcPr>
          <w:p>
            <w:r>
              <w:rPr>
                <w:rFonts w:ascii="Meiryo UI" w:hAnsi="Meiryo UI"/>
                <w:sz w:val="18"/>
              </w:rPr>
              <w:t>当期純利益</w:t>
            </w:r>
          </w:p>
        </w:tc>
        <w:tc>
          <w:tcPr>
            <w:tcW w:type="dxa" w:w="1881"/>
          </w:tcPr>
          <w:p>
            <w:r>
              <w:rPr>
                <w:rFonts w:ascii="Meiryo UI" w:hAnsi="Meiryo UI"/>
                <w:sz w:val="18"/>
              </w:rPr>
              <w:t>¥220M</w:t>
            </w:r>
          </w:p>
        </w:tc>
        <w:tc>
          <w:tcPr>
            <w:tcW w:type="dxa" w:w="1881"/>
          </w:tcPr>
          <w:p>
            <w:r>
              <w:rPr>
                <w:rFonts w:ascii="Meiryo UI" w:hAnsi="Meiryo UI"/>
                <w:sz w:val="18"/>
              </w:rPr>
              <w:t>¥312M</w:t>
            </w:r>
          </w:p>
        </w:tc>
        <w:tc>
          <w:tcPr>
            <w:tcW w:type="dxa" w:w="1881"/>
          </w:tcPr>
          <w:p>
            <w:r>
              <w:rPr>
                <w:rFonts w:ascii="Meiryo UI" w:hAnsi="Meiryo UI"/>
                <w:sz w:val="18"/>
              </w:rPr>
              <w:t>¥412〜495M</w:t>
            </w:r>
          </w:p>
        </w:tc>
        <w:tc>
          <w:tcPr>
            <w:tcW w:type="dxa" w:w="1881"/>
          </w:tcPr>
          <w:p>
            <w:r>
              <w:rPr>
                <w:rFonts w:ascii="Meiryo UI" w:hAnsi="Meiryo UI"/>
                <w:sz w:val="18"/>
              </w:rPr>
              <w:t>+32〜59%</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¥36〜45</w:t>
            </w:r>
          </w:p>
        </w:tc>
        <w:tc>
          <w:tcPr>
            <w:tcW w:type="dxa" w:w="1881"/>
            <w:shd w:val="clear" w:color="auto" w:fill="DDEBF7"/>
          </w:tcPr>
          <w:p>
            <w:r>
              <w:rPr>
                <w:rFonts w:ascii="Meiryo UI" w:hAnsi="Meiryo UI"/>
                <w:sz w:val="18"/>
              </w:rPr>
              <w:t>¥52〜62</w:t>
            </w:r>
          </w:p>
        </w:tc>
        <w:tc>
          <w:tcPr>
            <w:tcW w:type="dxa" w:w="1881"/>
            <w:shd w:val="clear" w:color="auto" w:fill="DDEBF7"/>
          </w:tcPr>
          <w:p>
            <w:r>
              <w:rPr>
                <w:rFonts w:ascii="Meiryo UI" w:hAnsi="Meiryo UI"/>
                <w:sz w:val="18"/>
              </w:rPr>
              <w:t>¥69〜83</w:t>
            </w:r>
          </w:p>
        </w:tc>
        <w:tc>
          <w:tcPr>
            <w:tcW w:type="dxa" w:w="1881"/>
            <w:shd w:val="clear" w:color="auto" w:fill="DDEBF7"/>
          </w:tcPr>
          <w:p>
            <w:r>
              <w:rPr>
                <w:rFonts w:ascii="Meiryo UI" w:hAnsi="Meiryo UI"/>
                <w:sz w:val="18"/>
              </w:rPr>
              <w:t>推定</w:t>
            </w:r>
          </w:p>
        </w:tc>
      </w:tr>
    </w:tbl>
    <w:p/>
    <w:p>
      <w:pPr>
        <w:pStyle w:val="Heading3"/>
      </w:pPr>
      <w:r>
        <w:rPr>
          <w:rFonts w:ascii="Meiryo UI" w:hAnsi="Meiryo UI"/>
          <w:color w:val="2E74B5"/>
        </w:rPr>
        <w:t>3.2 貸借対照表（BS）ハイライト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総資産</w:t>
            </w:r>
          </w:p>
        </w:tc>
        <w:tc>
          <w:tcPr>
            <w:tcW w:type="dxa" w:w="3135"/>
          </w:tcPr>
          <w:p>
            <w:r>
              <w:rPr>
                <w:rFonts w:ascii="Meiryo UI" w:hAnsi="Meiryo UI"/>
                <w:sz w:val="18"/>
              </w:rPr>
              <w:t>¥18,000〜22,000M</w:t>
            </w:r>
          </w:p>
        </w:tc>
        <w:tc>
          <w:tcPr>
            <w:tcW w:type="dxa" w:w="3135"/>
          </w:tcPr>
          <w:p>
            <w:r>
              <w:rPr>
                <w:rFonts w:ascii="Meiryo UI" w:hAnsi="Meiryo UI"/>
                <w:sz w:val="18"/>
              </w:rPr>
              <w:t>船舶資産が大宗</w:t>
            </w:r>
          </w:p>
        </w:tc>
      </w:tr>
      <w:tr>
        <w:tc>
          <w:tcPr>
            <w:tcW w:type="dxa" w:w="3135"/>
            <w:shd w:val="clear" w:color="auto" w:fill="DDEBF7"/>
          </w:tcPr>
          <w:p>
            <w:r>
              <w:rPr>
                <w:rFonts w:ascii="Meiryo UI" w:hAnsi="Meiryo UI"/>
                <w:sz w:val="18"/>
              </w:rPr>
              <w:t>自己資本</w:t>
            </w:r>
          </w:p>
        </w:tc>
        <w:tc>
          <w:tcPr>
            <w:tcW w:type="dxa" w:w="3135"/>
            <w:shd w:val="clear" w:color="auto" w:fill="DDEBF7"/>
          </w:tcPr>
          <w:p>
            <w:r>
              <w:rPr>
                <w:rFonts w:ascii="Meiryo UI" w:hAnsi="Meiryo UI"/>
                <w:sz w:val="18"/>
              </w:rPr>
              <w:t>¥6,000〜8,000M</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自己資本比率</w:t>
            </w:r>
          </w:p>
        </w:tc>
        <w:tc>
          <w:tcPr>
            <w:tcW w:type="dxa" w:w="3135"/>
          </w:tcPr>
          <w:p>
            <w:r>
              <w:rPr>
                <w:rFonts w:ascii="Meiryo UI" w:hAnsi="Meiryo UI"/>
                <w:sz w:val="18"/>
              </w:rPr>
              <w:t>33〜40%</w:t>
            </w:r>
          </w:p>
        </w:tc>
        <w:tc>
          <w:tcPr>
            <w:tcW w:type="dxa" w:w="3135"/>
          </w:tcPr>
          <w:p>
            <w:r>
              <w:rPr>
                <w:rFonts w:ascii="Meiryo UI" w:hAnsi="Meiryo UI"/>
                <w:sz w:val="18"/>
              </w:rPr>
              <w:t>内航中堅として標準的</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¥8,000〜10,000M</w:t>
            </w:r>
          </w:p>
        </w:tc>
        <w:tc>
          <w:tcPr>
            <w:tcW w:type="dxa" w:w="3135"/>
            <w:shd w:val="clear" w:color="auto" w:fill="DDEBF7"/>
          </w:tcPr>
          <w:p>
            <w:r>
              <w:rPr>
                <w:rFonts w:ascii="Meiryo UI" w:hAnsi="Meiryo UI"/>
                <w:sz w:val="18"/>
              </w:rPr>
              <w:t>船舶ファイナンス主体</w:t>
            </w:r>
          </w:p>
        </w:tc>
      </w:tr>
      <w:tr>
        <w:tc>
          <w:tcPr>
            <w:tcW w:type="dxa" w:w="3135"/>
          </w:tcPr>
          <w:p>
            <w:r>
              <w:rPr>
                <w:rFonts w:ascii="Meiryo UI" w:hAnsi="Meiryo UI"/>
                <w:sz w:val="18"/>
              </w:rPr>
              <w:t>D/Eレシオ</w:t>
            </w:r>
          </w:p>
        </w:tc>
        <w:tc>
          <w:tcPr>
            <w:tcW w:type="dxa" w:w="3135"/>
          </w:tcPr>
          <w:p>
            <w:r>
              <w:rPr>
                <w:rFonts w:ascii="Meiryo UI" w:hAnsi="Meiryo UI"/>
                <w:sz w:val="18"/>
              </w:rPr>
              <w:t>1.0〜1.5×</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¥1,000〜1,600</w:t>
            </w:r>
          </w:p>
        </w:tc>
        <w:tc>
          <w:tcPr>
            <w:tcW w:type="dxa" w:w="3135"/>
            <w:shd w:val="clear" w:color="auto" w:fill="DDEBF7"/>
          </w:tcPr>
          <w:p>
            <w:r>
              <w:rPr>
                <w:rFonts w:ascii="Meiryo UI" w:hAnsi="Meiryo UI"/>
                <w:sz w:val="18"/>
              </w:rPr>
              <w:t>PBR算定ベース</w:t>
            </w:r>
          </w:p>
        </w:tc>
      </w:tr>
      <w:tr>
        <w:tc>
          <w:tcPr>
            <w:tcW w:type="dxa" w:w="3135"/>
          </w:tcPr>
          <w:p>
            <w:r>
              <w:rPr>
                <w:rFonts w:ascii="Meiryo UI" w:hAnsi="Meiryo UI"/>
                <w:sz w:val="18"/>
              </w:rPr>
              <w:t>ROE</w:t>
            </w:r>
          </w:p>
        </w:tc>
        <w:tc>
          <w:tcPr>
            <w:tcW w:type="dxa" w:w="3135"/>
          </w:tcPr>
          <w:p>
            <w:r>
              <w:rPr>
                <w:rFonts w:ascii="Meiryo UI" w:hAnsi="Meiryo UI"/>
                <w:sz w:val="18"/>
              </w:rPr>
              <w:t>5〜8%</w:t>
            </w:r>
          </w:p>
        </w:tc>
        <w:tc>
          <w:tcPr>
            <w:tcW w:type="dxa" w:w="3135"/>
          </w:tcPr>
          <w:p>
            <w:r>
              <w:rPr>
                <w:rFonts w:ascii="Meiryo UI" w:hAnsi="Meiryo UI"/>
                <w:sz w:val="18"/>
              </w:rPr>
              <w:t>改善余地あり</w:t>
            </w:r>
          </w:p>
        </w:tc>
      </w:tr>
      <w:tr>
        <w:tc>
          <w:tcPr>
            <w:tcW w:type="dxa" w:w="3135"/>
            <w:shd w:val="clear" w:color="auto" w:fill="DDEBF7"/>
          </w:tcPr>
          <w:p>
            <w:r>
              <w:rPr>
                <w:rFonts w:ascii="Meiryo UI" w:hAnsi="Meiryo UI"/>
                <w:sz w:val="18"/>
              </w:rPr>
              <w:t>ROA</w:t>
            </w:r>
          </w:p>
        </w:tc>
        <w:tc>
          <w:tcPr>
            <w:tcW w:type="dxa" w:w="3135"/>
            <w:shd w:val="clear" w:color="auto" w:fill="DDEBF7"/>
          </w:tcPr>
          <w:p>
            <w:r>
              <w:rPr>
                <w:rFonts w:ascii="Meiryo UI" w:hAnsi="Meiryo UI"/>
                <w:sz w:val="18"/>
              </w:rPr>
              <w:t>1.5〜3.0%</w:t>
            </w:r>
          </w:p>
        </w:tc>
        <w:tc>
          <w:tcPr>
            <w:tcW w:type="dxa" w:w="3135"/>
            <w:shd w:val="clear" w:color="auto" w:fill="DDEBF7"/>
          </w:tcPr>
          <w:p>
            <w:r>
              <w:rPr>
                <w:rFonts w:ascii="Meiryo UI" w:hAnsi="Meiryo UI"/>
                <w:sz w:val="18"/>
              </w:rPr>
              <w:t>資産重厚型として標準</w:t>
            </w:r>
          </w:p>
        </w:tc>
      </w:tr>
    </w:tbl>
    <w:p/>
    <w:p>
      <w:pPr>
        <w:pStyle w:val="Heading3"/>
      </w:pPr>
      <w:r>
        <w:rPr>
          <w:rFonts w:ascii="Meiryo UI" w:hAnsi="Meiryo UI"/>
          <w:color w:val="2E74B5"/>
        </w:rPr>
        <w:t>3.3 キャッシュフロー（CF）</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営業CF</w:t>
            </w:r>
          </w:p>
        </w:tc>
        <w:tc>
          <w:tcPr>
            <w:tcW w:type="dxa" w:w="3135"/>
          </w:tcPr>
          <w:p>
            <w:r>
              <w:rPr>
                <w:rFonts w:ascii="Meiryo UI" w:hAnsi="Meiryo UI"/>
                <w:sz w:val="18"/>
              </w:rPr>
              <w:t>¥700〜1,000M</w:t>
            </w:r>
          </w:p>
        </w:tc>
        <w:tc>
          <w:tcPr>
            <w:tcW w:type="dxa" w:w="3135"/>
          </w:tcPr>
          <w:p>
            <w:r>
              <w:rPr>
                <w:rFonts w:ascii="Meiryo UI" w:hAnsi="Meiryo UI"/>
                <w:sz w:val="18"/>
              </w:rPr>
              <w:t>減価償却の厚みが貢献</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▲¥800〜1,200M</w:t>
            </w:r>
          </w:p>
        </w:tc>
        <w:tc>
          <w:tcPr>
            <w:tcW w:type="dxa" w:w="3135"/>
            <w:shd w:val="clear" w:color="auto" w:fill="DDEBF7"/>
          </w:tcPr>
          <w:p>
            <w:r>
              <w:rPr>
                <w:rFonts w:ascii="Meiryo UI" w:hAnsi="Meiryo UI"/>
                <w:sz w:val="18"/>
              </w:rPr>
              <w:t>代替建造・修繕投資</w:t>
            </w:r>
          </w:p>
        </w:tc>
      </w:tr>
      <w:tr>
        <w:tc>
          <w:tcPr>
            <w:tcW w:type="dxa" w:w="3135"/>
          </w:tcPr>
          <w:p>
            <w:r>
              <w:rPr>
                <w:rFonts w:ascii="Meiryo UI" w:hAnsi="Meiryo UI"/>
                <w:sz w:val="18"/>
              </w:rPr>
              <w:t>FCF</w:t>
            </w:r>
          </w:p>
        </w:tc>
        <w:tc>
          <w:tcPr>
            <w:tcW w:type="dxa" w:w="3135"/>
          </w:tcPr>
          <w:p>
            <w:r>
              <w:rPr>
                <w:rFonts w:ascii="Meiryo UI" w:hAnsi="Meiryo UI"/>
                <w:sz w:val="18"/>
              </w:rPr>
              <w:t>▲¥100〜+¥200M</w:t>
            </w:r>
          </w:p>
        </w:tc>
        <w:tc>
          <w:tcPr>
            <w:tcW w:type="dxa" w:w="3135"/>
          </w:tcPr>
          <w:p>
            <w:r>
              <w:rPr>
                <w:rFonts w:ascii="Meiryo UI" w:hAnsi="Meiryo UI"/>
                <w:sz w:val="18"/>
              </w:rPr>
              <w:t>設備投資サイクル次第</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▲1〜+2%</w:t>
            </w:r>
          </w:p>
        </w:tc>
        <w:tc>
          <w:tcPr>
            <w:tcW w:type="dxa" w:w="3135"/>
            <w:shd w:val="clear" w:color="auto" w:fill="DDEBF7"/>
          </w:tcPr>
          <w:p>
            <w:r>
              <w:rPr>
                <w:rFonts w:ascii="Meiryo UI" w:hAnsi="Meiryo UI"/>
                <w:sz w:val="18"/>
              </w:rPr>
              <w:t>投資フェーズで変動</w:t>
            </w:r>
          </w:p>
        </w:tc>
      </w:tr>
      <w:tr>
        <w:tc>
          <w:tcPr>
            <w:tcW w:type="dxa" w:w="3135"/>
          </w:tcPr>
          <w:p>
            <w:r>
              <w:rPr>
                <w:rFonts w:ascii="Meiryo UI" w:hAnsi="Meiryo UI"/>
                <w:sz w:val="18"/>
              </w:rPr>
              <w:t>配当金総額</w:t>
            </w:r>
          </w:p>
        </w:tc>
        <w:tc>
          <w:tcPr>
            <w:tcW w:type="dxa" w:w="3135"/>
          </w:tcPr>
          <w:p>
            <w:r>
              <w:rPr>
                <w:rFonts w:ascii="Meiryo UI" w:hAnsi="Meiryo UI"/>
                <w:sz w:val="18"/>
              </w:rPr>
              <w:t>¥100〜180M</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配当性向</w:t>
            </w:r>
          </w:p>
        </w:tc>
        <w:tc>
          <w:tcPr>
            <w:tcW w:type="dxa" w:w="3135"/>
            <w:shd w:val="clear" w:color="auto" w:fill="DDEBF7"/>
          </w:tcPr>
          <w:p>
            <w:r>
              <w:rPr>
                <w:rFonts w:ascii="Meiryo UI" w:hAnsi="Meiryo UI"/>
                <w:sz w:val="18"/>
              </w:rPr>
              <w:t>30〜40%</w:t>
            </w:r>
          </w:p>
        </w:tc>
        <w:tc>
          <w:tcPr>
            <w:tcW w:type="dxa" w:w="3135"/>
            <w:shd w:val="clear" w:color="auto" w:fill="DDEBF7"/>
          </w:tcPr>
          <w:p>
            <w:r>
              <w:rPr>
                <w:rFonts w:ascii="Meiryo UI" w:hAnsi="Meiryo UI"/>
                <w:sz w:val="18"/>
              </w:rPr>
              <w:t>内航標準的</w:t>
            </w:r>
          </w:p>
        </w:tc>
      </w:tr>
      <w:tr>
        <w:tc>
          <w:tcPr>
            <w:tcW w:type="dxa" w:w="3135"/>
          </w:tcPr>
          <w:p>
            <w:r>
              <w:rPr>
                <w:rFonts w:ascii="Meiryo UI" w:hAnsi="Meiryo UI"/>
                <w:sz w:val="18"/>
              </w:rPr>
              <w:t>配当利回り</w:t>
            </w:r>
          </w:p>
        </w:tc>
        <w:tc>
          <w:tcPr>
            <w:tcW w:type="dxa" w:w="3135"/>
          </w:tcPr>
          <w:p>
            <w:r>
              <w:rPr>
                <w:rFonts w:ascii="Meiryo UI" w:hAnsi="Meiryo UI"/>
                <w:sz w:val="18"/>
              </w:rPr>
              <w:t>2.0〜3.5%</w:t>
            </w:r>
          </w:p>
        </w:tc>
        <w:tc>
          <w:tcPr>
            <w:tcW w:type="dxa" w:w="3135"/>
          </w:tcPr>
          <w:p>
            <w:r>
              <w:rPr>
                <w:rFonts w:ascii="Meiryo UI" w:hAnsi="Meiryo UI"/>
                <w:sz w:val="18"/>
              </w:rPr>
              <w:t>現在株価次第</w:t>
            </w:r>
          </w:p>
        </w:tc>
      </w:tr>
    </w:tbl>
    <w:p/>
    <w:p>
      <w:pPr>
        <w:pStyle w:val="Heading3"/>
      </w:pPr>
      <w:r>
        <w:rPr>
          <w:rFonts w:ascii="Meiryo UI" w:hAnsi="Meiryo UI"/>
          <w:color w:val="2E74B5"/>
        </w:rPr>
        <w:t>3.4 PBR分析（純資産の質）</w:t>
      </w:r>
    </w:p>
    <w:p/>
    <w:p>
      <w:r>
        <w:rPr>
          <w:rFonts w:ascii="Meiryo UI" w:hAnsi="Meiryo UI"/>
          <w:sz w:val="20"/>
        </w:rPr>
        <w:t>&gt; 浅井コメント対応: PBR水準の是非（純資産質）</w:t>
      </w:r>
    </w:p>
    <w:p/>
    <w:p>
      <w:r>
        <w:rPr>
          <w:rFonts w:ascii="Meiryo UI" w:hAnsi="Meiryo UI"/>
          <w:sz w:val="20"/>
        </w:rPr>
        <w:t>内航海運企業のBSで最重要な資産は船舶。</w:t>
      </w:r>
    </w:p>
    <w:p/>
    <w:p>
      <w:pPr>
        <w:shd w:val="clear" w:color="auto" w:fill="F2F2F2"/>
      </w:pPr>
      <w:r>
        <w:rPr>
          <w:rFonts w:ascii="Courier New" w:hAnsi="Courier New"/>
          <w:sz w:val="16"/>
        </w:rPr>
        <w:t>【純資産の質チェックリスト】</w:t>
        <w:br/>
        <w:br/>
        <w:t>✅ 船舶資産: 内航船は需給逼迫により市場価値（市価）が帳簿価格を上回る傾向</w:t>
        <w:br/>
        <w:t xml:space="preserve">   → 含み益推定: ¥500〜1,500M（船齢・市況次第）</w:t>
        <w:br/>
        <w:br/>
        <w:t>✅ 不動産（港湾関係地）: 港湾隣接地の希少性</w:t>
        <w:br/>
        <w:t xml:space="preserve">   → 一定の含み益あり（推定）</w:t>
        <w:br/>
        <w:br/>
        <w:t>⚠️ 老齢船リスク: 船齢15年超船舶は要交換</w:t>
        <w:br/>
        <w:t xml:space="preserve">   → 代替建造費用は財務負担（FCF圧迫）</w:t>
        <w:br/>
        <w:br/>
        <w:t>✅ のれん・無形資産: 軽微（実物資産型ビジネス）</w:t>
        <w:br/>
        <w:t xml:space="preserve">   → 資産の健全性高い</w:t>
        <w:br/>
        <w:br/>
        <w:t>結論: PBR 0.5〜0.8倍での取引は「実質的割安」</w:t>
        <w:br/>
        <w:t xml:space="preserve">     （隠れた資産価値を加味すると実PBRは更に低い）</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WACC算定</w:t>
      </w:r>
    </w:p>
    <w:p/>
    <w:p>
      <w:pPr>
        <w:pStyle w:val="Heading4"/>
      </w:pPr>
      <w:r>
        <w:rPr>
          <w:rFonts w:ascii="Meiryo UI" w:hAnsi="Meiryo UI"/>
          <w:color w:val="2E74B5"/>
        </w:rPr>
        <w:t>ステップ1: 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JGB10Y 2026-04-05確認値（社長確認値）</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0.70</w:t>
            </w:r>
          </w:p>
        </w:tc>
        <w:tc>
          <w:tcPr>
            <w:tcW w:type="dxa" w:w="3135"/>
            <w:shd w:val="clear" w:color="auto" w:fill="DDEBF7"/>
          </w:tcPr>
          <w:p>
            <w:r>
              <w:rPr>
                <w:rFonts w:ascii="Meiryo UI" w:hAnsi="Meiryo UI"/>
                <w:sz w:val="18"/>
              </w:rPr>
              <w:t>内航海運の低市況感応度。東証スタンダード内航同業平均。外航（β≈1.0-1.3）より低い</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5.50%</w:t>
            </w:r>
          </w:p>
        </w:tc>
        <w:tc>
          <w:tcPr>
            <w:tcW w:type="dxa" w:w="3135"/>
          </w:tcPr>
          <w:p>
            <w:r>
              <w:rPr>
                <w:rFonts w:ascii="Meiryo UI" w:hAnsi="Meiryo UI"/>
                <w:sz w:val="18"/>
              </w:rPr>
              <w:t>Damodaran日本ERP推定値（2025年）。JPXデータ参照</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6.230%</w:t>
            </w:r>
          </w:p>
        </w:tc>
        <w:tc>
          <w:tcPr>
            <w:tcW w:type="dxa" w:w="3135"/>
            <w:shd w:val="clear" w:color="auto" w:fill="DDEBF7"/>
          </w:tcPr>
          <w:p>
            <w:r>
              <w:rPr>
                <w:rFonts w:ascii="Meiryo UI" w:hAnsi="Meiryo UI"/>
                <w:sz w:val="18"/>
              </w:rPr>
              <w:t>= 2.380% + 0.70 × 5.50%</w:t>
            </w:r>
          </w:p>
        </w:tc>
      </w:tr>
      <w:tr>
        <w:tc>
          <w:tcPr>
            <w:tcW w:type="dxa" w:w="3135"/>
          </w:tcPr>
          <w:p>
            <w:r>
              <w:rPr>
                <w:rFonts w:ascii="Meiryo UI" w:hAnsi="Meiryo UI"/>
                <w:sz w:val="18"/>
              </w:rPr>
              <w:t>Rd（負債コスト）</w:t>
            </w:r>
          </w:p>
        </w:tc>
        <w:tc>
          <w:tcPr>
            <w:tcW w:type="dxa" w:w="3135"/>
          </w:tcPr>
          <w:p>
            <w:r>
              <w:rPr>
                <w:rFonts w:ascii="Meiryo UI" w:hAnsi="Meiryo UI"/>
                <w:sz w:val="18"/>
              </w:rPr>
              <w:t>2.20%</w:t>
            </w:r>
          </w:p>
        </w:tc>
        <w:tc>
          <w:tcPr>
            <w:tcW w:type="dxa" w:w="3135"/>
          </w:tcPr>
          <w:p>
            <w:r>
              <w:rPr>
                <w:rFonts w:ascii="Meiryo UI" w:hAnsi="Meiryo UI"/>
                <w:sz w:val="18"/>
              </w:rPr>
              <w:t>地方銀行・政策金融機関からの船舶ファイナンス金利</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30.0%</w:t>
            </w:r>
          </w:p>
        </w:tc>
        <w:tc>
          <w:tcPr>
            <w:tcW w:type="dxa" w:w="3135"/>
            <w:shd w:val="clear" w:color="auto" w:fill="DDEBF7"/>
          </w:tcPr>
          <w:p>
            <w:r>
              <w:rPr>
                <w:rFonts w:ascii="Meiryo UI" w:hAnsi="Meiryo UI"/>
                <w:sz w:val="18"/>
              </w:rPr>
              <w:t>日本法人標準実効税率</w:t>
            </w:r>
          </w:p>
        </w:tc>
      </w:tr>
      <w:tr>
        <w:tc>
          <w:tcPr>
            <w:tcW w:type="dxa" w:w="3135"/>
          </w:tcPr>
          <w:p>
            <w:r>
              <w:rPr>
                <w:rFonts w:ascii="Meiryo UI" w:hAnsi="Meiryo UI"/>
                <w:sz w:val="18"/>
              </w:rPr>
              <w:t>Rd×(1-Tc)（税引後負債コスト）</w:t>
            </w:r>
          </w:p>
        </w:tc>
        <w:tc>
          <w:tcPr>
            <w:tcW w:type="dxa" w:w="3135"/>
          </w:tcPr>
          <w:p>
            <w:r>
              <w:rPr>
                <w:rFonts w:ascii="Meiryo UI" w:hAnsi="Meiryo UI"/>
                <w:sz w:val="18"/>
              </w:rPr>
              <w:t>1.540%</w:t>
            </w:r>
          </w:p>
        </w:tc>
        <w:tc>
          <w:tcPr>
            <w:tcW w:type="dxa" w:w="3135"/>
          </w:tcPr>
          <w:p>
            <w:r>
              <w:rPr>
                <w:rFonts w:ascii="Meiryo UI" w:hAnsi="Meiryo UI"/>
                <w:sz w:val="18"/>
              </w:rPr>
              <w:t>= 2.20% × (1-0.30)</w:t>
            </w:r>
          </w:p>
        </w:tc>
      </w:tr>
      <w:tr>
        <w:tc>
          <w:tcPr>
            <w:tcW w:type="dxa" w:w="3135"/>
            <w:shd w:val="clear" w:color="auto" w:fill="DDEBF7"/>
          </w:tcPr>
          <w:p>
            <w:r>
              <w:rPr>
                <w:rFonts w:ascii="Meiryo UI" w:hAnsi="Meiryo UI"/>
                <w:sz w:val="18"/>
              </w:rPr>
              <w:t>E/（D+E）（株式比率）</w:t>
            </w:r>
          </w:p>
        </w:tc>
        <w:tc>
          <w:tcPr>
            <w:tcW w:type="dxa" w:w="3135"/>
            <w:shd w:val="clear" w:color="auto" w:fill="DDEBF7"/>
          </w:tcPr>
          <w:p>
            <w:r>
              <w:rPr>
                <w:rFonts w:ascii="Meiryo UI" w:hAnsi="Meiryo UI"/>
                <w:sz w:val="18"/>
              </w:rPr>
              <w:t>40%</w:t>
            </w:r>
          </w:p>
        </w:tc>
        <w:tc>
          <w:tcPr>
            <w:tcW w:type="dxa" w:w="3135"/>
            <w:shd w:val="clear" w:color="auto" w:fill="DDEBF7"/>
          </w:tcPr>
          <w:p>
            <w:r>
              <w:rPr>
                <w:rFonts w:ascii="Meiryo UI" w:hAnsi="Meiryo UI"/>
                <w:sz w:val="18"/>
              </w:rPr>
              <w:t>D/E≈1.25倍想定。自己資本比率約40%</w:t>
            </w:r>
          </w:p>
        </w:tc>
      </w:tr>
      <w:tr>
        <w:tc>
          <w:tcPr>
            <w:tcW w:type="dxa" w:w="3135"/>
          </w:tcPr>
          <w:p>
            <w:r>
              <w:rPr>
                <w:rFonts w:ascii="Meiryo UI" w:hAnsi="Meiryo UI"/>
                <w:sz w:val="18"/>
              </w:rPr>
              <w:t>D/（D+E）（負債比率）</w:t>
            </w:r>
          </w:p>
        </w:tc>
        <w:tc>
          <w:tcPr>
            <w:tcW w:type="dxa" w:w="3135"/>
          </w:tcPr>
          <w:p>
            <w:r>
              <w:rPr>
                <w:rFonts w:ascii="Meiryo UI" w:hAnsi="Meiryo UI"/>
                <w:sz w:val="18"/>
              </w:rPr>
              <w:t>60%</w:t>
            </w:r>
          </w:p>
        </w:tc>
        <w:tc>
          <w:tcPr>
            <w:tcW w:type="dxa" w:w="3135"/>
          </w:tcPr>
          <w:p>
            <w:r>
              <w:rPr>
                <w:rFonts w:ascii="Meiryo UI" w:hAnsi="Meiryo UI"/>
                <w:sz w:val="18"/>
              </w:rPr>
              <w:t>上記の裏返し</w:t>
            </w:r>
          </w:p>
        </w:tc>
      </w:tr>
    </w:tbl>
    <w:p/>
    <w:p>
      <w:pPr>
        <w:pStyle w:val="Heading4"/>
      </w:pPr>
      <w:r>
        <w:rPr>
          <w:rFonts w:ascii="Meiryo UI" w:hAnsi="Meiryo UI"/>
          <w:color w:val="2E74B5"/>
        </w:rPr>
        <w:t>ステップ2: WACC計算</w:t>
      </w:r>
    </w:p>
    <w:p/>
    <w:p>
      <w:pPr>
        <w:shd w:val="clear" w:color="auto" w:fill="F2F2F2"/>
      </w:pPr>
      <w:r>
        <w:rPr>
          <w:rFonts w:ascii="Courier New" w:hAnsi="Courier New"/>
          <w:sz w:val="16"/>
        </w:rPr>
        <w:t>WACC = [E/(D+E) × Re] + [D/(D+E) × Rd × (1-Tc)]</w:t>
        <w:br/>
        <w:t xml:space="preserve">     = [0.40 × 6.230%] + [0.60 × 1.540%]</w:t>
        <w:br/>
        <w:t xml:space="preserve">     = 2.492% + 0.924%</w:t>
        <w:br/>
        <w:t xml:space="preserve">     = 3.416%</w:t>
        <w:br/>
        <w:br/>
        <w:t>→ WACC = 3.42%（ベースケース）</w:t>
      </w:r>
    </w:p>
    <w:p/>
    <w:p>
      <w:r>
        <w:t>──────────────────────────────────────────────────</w:t>
      </w:r>
    </w:p>
    <w:p/>
    <w:p>
      <w:pPr>
        <w:pStyle w:val="Heading3"/>
      </w:pPr>
      <w:r>
        <w:rPr>
          <w:rFonts w:ascii="Meiryo UI" w:hAnsi="Meiryo UI"/>
          <w:color w:val="2E74B5"/>
        </w:rPr>
        <w:t>4.2 DCFモデル前提条件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分析起点</w:t>
            </w:r>
          </w:p>
        </w:tc>
        <w:tc>
          <w:tcPr>
            <w:tcW w:type="dxa" w:w="3135"/>
          </w:tcPr>
          <w:p>
            <w:r>
              <w:rPr>
                <w:rFonts w:ascii="Meiryo UI" w:hAnsi="Meiryo UI"/>
                <w:sz w:val="18"/>
              </w:rPr>
              <w:t>FY2026（2026年3月期想定）</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予測期間</w:t>
            </w:r>
          </w:p>
        </w:tc>
        <w:tc>
          <w:tcPr>
            <w:tcW w:type="dxa" w:w="3135"/>
            <w:shd w:val="clear" w:color="auto" w:fill="DDEBF7"/>
          </w:tcPr>
          <w:p>
            <w:r>
              <w:rPr>
                <w:rFonts w:ascii="Meiryo UI" w:hAnsi="Meiryo UI"/>
                <w:sz w:val="18"/>
              </w:rPr>
              <w:t>10年（FY2026〜FY2035）</w:t>
            </w:r>
          </w:p>
        </w:tc>
        <w:tc>
          <w:tcPr>
            <w:tcW w:type="dxa" w:w="3135"/>
            <w:shd w:val="clear" w:color="auto" w:fill="DDEBF7"/>
          </w:tcPr>
          <w:p>
            <w:r>
              <w:rPr>
                <w:rFonts w:ascii="Meiryo UI" w:hAnsi="Meiryo UI"/>
                <w:sz w:val="18"/>
              </w:rPr>
              <w:t>内航船舶の経済耐用年数を参考</w:t>
            </w:r>
          </w:p>
        </w:tc>
      </w:tr>
      <w:tr>
        <w:tc>
          <w:tcPr>
            <w:tcW w:type="dxa" w:w="3135"/>
          </w:tcPr>
          <w:p>
            <w:r>
              <w:rPr>
                <w:rFonts w:ascii="Meiryo UI" w:hAnsi="Meiryo UI"/>
                <w:sz w:val="18"/>
              </w:rPr>
              <w:t>ターミナルグロース率（g）</w:t>
            </w:r>
          </w:p>
        </w:tc>
        <w:tc>
          <w:tcPr>
            <w:tcW w:type="dxa" w:w="3135"/>
          </w:tcPr>
          <w:p>
            <w:r>
              <w:rPr>
                <w:rFonts w:ascii="Meiryo UI" w:hAnsi="Meiryo UI"/>
                <w:sz w:val="18"/>
              </w:rPr>
              <w:t>1.0%</w:t>
            </w:r>
          </w:p>
        </w:tc>
        <w:tc>
          <w:tcPr>
            <w:tcW w:type="dxa" w:w="3135"/>
          </w:tcPr>
          <w:p>
            <w:r>
              <w:rPr>
                <w:rFonts w:ascii="Meiryo UI" w:hAnsi="Meiryo UI"/>
                <w:sz w:val="18"/>
              </w:rPr>
              <w:t>日本内需成長率＋モーダルシフト効果。名目GDP成長率（1.5%）より保守的</w:t>
            </w:r>
          </w:p>
        </w:tc>
      </w:tr>
      <w:tr>
        <w:tc>
          <w:tcPr>
            <w:tcW w:type="dxa" w:w="3135"/>
            <w:shd w:val="clear" w:color="auto" w:fill="DDEBF7"/>
          </w:tcPr>
          <w:p>
            <w:r>
              <w:rPr>
                <w:rFonts w:ascii="Meiryo UI" w:hAnsi="Meiryo UI"/>
                <w:sz w:val="18"/>
              </w:rPr>
              <w:t>基点EBIT</w:t>
            </w:r>
          </w:p>
        </w:tc>
        <w:tc>
          <w:tcPr>
            <w:tcW w:type="dxa" w:w="3135"/>
            <w:shd w:val="clear" w:color="auto" w:fill="DDEBF7"/>
          </w:tcPr>
          <w:p>
            <w:r>
              <w:rPr>
                <w:rFonts w:ascii="Meiryo UI" w:hAnsi="Meiryo UI"/>
                <w:sz w:val="18"/>
              </w:rPr>
              <w:t>¥588〜714M（FY2025推定中央値 ¥651M）</w:t>
            </w:r>
          </w:p>
        </w:tc>
        <w:tc>
          <w:tcPr>
            <w:tcW w:type="dxa" w:w="3135"/>
            <w:shd w:val="clear" w:color="auto" w:fill="DDEBF7"/>
          </w:tcPr>
          <w:p>
            <w:r>
              <w:rPr>
                <w:rFonts w:ascii="Meiryo UI" w:hAnsi="Meiryo UI"/>
                <w:sz w:val="18"/>
              </w:rPr>
              <w:t>セクション3推計</w:t>
            </w:r>
          </w:p>
        </w:tc>
      </w:tr>
      <w:tr>
        <w:tc>
          <w:tcPr>
            <w:tcW w:type="dxa" w:w="3135"/>
          </w:tcPr>
          <w:p>
            <w:r>
              <w:rPr>
                <w:rFonts w:ascii="Meiryo UI" w:hAnsi="Meiryo UI"/>
                <w:sz w:val="18"/>
              </w:rPr>
              <w:t>EBIT成長率（FY2026-2028）</w:t>
            </w:r>
          </w:p>
        </w:tc>
        <w:tc>
          <w:tcPr>
            <w:tcW w:type="dxa" w:w="3135"/>
          </w:tcPr>
          <w:p>
            <w:r>
              <w:rPr>
                <w:rFonts w:ascii="Meiryo UI" w:hAnsi="Meiryo UI"/>
                <w:sz w:val="18"/>
              </w:rPr>
              <w:t>15〜20%</w:t>
            </w:r>
          </w:p>
        </w:tc>
        <w:tc>
          <w:tcPr>
            <w:tcW w:type="dxa" w:w="3135"/>
          </w:tcPr>
          <w:p>
            <w:r>
              <w:rPr>
                <w:rFonts w:ascii="Meiryo UI" w:hAnsi="Meiryo UI"/>
                <w:sz w:val="18"/>
              </w:rPr>
              <w:t>運賃改定フル寄与期</w:t>
            </w:r>
          </w:p>
        </w:tc>
      </w:tr>
      <w:tr>
        <w:tc>
          <w:tcPr>
            <w:tcW w:type="dxa" w:w="3135"/>
            <w:shd w:val="clear" w:color="auto" w:fill="DDEBF7"/>
          </w:tcPr>
          <w:p>
            <w:r>
              <w:rPr>
                <w:rFonts w:ascii="Meiryo UI" w:hAnsi="Meiryo UI"/>
                <w:sz w:val="18"/>
              </w:rPr>
              <w:t>EBIT成長率（FY2029-2031）</w:t>
            </w:r>
          </w:p>
        </w:tc>
        <w:tc>
          <w:tcPr>
            <w:tcW w:type="dxa" w:w="3135"/>
            <w:shd w:val="clear" w:color="auto" w:fill="DDEBF7"/>
          </w:tcPr>
          <w:p>
            <w:r>
              <w:rPr>
                <w:rFonts w:ascii="Meiryo UI" w:hAnsi="Meiryo UI"/>
                <w:sz w:val="18"/>
              </w:rPr>
              <w:t>8〜10%</w:t>
            </w:r>
          </w:p>
        </w:tc>
        <w:tc>
          <w:tcPr>
            <w:tcW w:type="dxa" w:w="3135"/>
            <w:shd w:val="clear" w:color="auto" w:fill="DDEBF7"/>
          </w:tcPr>
          <w:p>
            <w:r>
              <w:rPr>
                <w:rFonts w:ascii="Meiryo UI" w:hAnsi="Meiryo UI"/>
                <w:sz w:val="18"/>
              </w:rPr>
              <w:t>安定成長期</w:t>
            </w:r>
          </w:p>
        </w:tc>
      </w:tr>
      <w:tr>
        <w:tc>
          <w:tcPr>
            <w:tcW w:type="dxa" w:w="3135"/>
          </w:tcPr>
          <w:p>
            <w:r>
              <w:rPr>
                <w:rFonts w:ascii="Meiryo UI" w:hAnsi="Meiryo UI"/>
                <w:sz w:val="18"/>
              </w:rPr>
              <w:t>EBIT成長率（FY2032-2035）</w:t>
            </w:r>
          </w:p>
        </w:tc>
        <w:tc>
          <w:tcPr>
            <w:tcW w:type="dxa" w:w="3135"/>
          </w:tcPr>
          <w:p>
            <w:r>
              <w:rPr>
                <w:rFonts w:ascii="Meiryo UI" w:hAnsi="Meiryo UI"/>
                <w:sz w:val="18"/>
              </w:rPr>
              <w:t>3〜5%</w:t>
            </w:r>
          </w:p>
        </w:tc>
        <w:tc>
          <w:tcPr>
            <w:tcW w:type="dxa" w:w="3135"/>
          </w:tcPr>
          <w:p>
            <w:r>
              <w:rPr>
                <w:rFonts w:ascii="Meiryo UI" w:hAnsi="Meiryo UI"/>
                <w:sz w:val="18"/>
              </w:rPr>
              <w:t>成熟期</w:t>
            </w:r>
          </w:p>
        </w:tc>
      </w:tr>
      <w:tr>
        <w:tc>
          <w:tcPr>
            <w:tcW w:type="dxa" w:w="3135"/>
            <w:shd w:val="clear" w:color="auto" w:fill="DDEBF7"/>
          </w:tcPr>
          <w:p>
            <w:r>
              <w:rPr>
                <w:rFonts w:ascii="Meiryo UI" w:hAnsi="Meiryo UI"/>
                <w:sz w:val="18"/>
              </w:rPr>
              <w:t>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D&amp;A（EBIT→EBITDA補正）</w:t>
            </w:r>
          </w:p>
        </w:tc>
        <w:tc>
          <w:tcPr>
            <w:tcW w:type="dxa" w:w="3135"/>
          </w:tcPr>
          <w:p>
            <w:r>
              <w:rPr>
                <w:rFonts w:ascii="Meiryo UI" w:hAnsi="Meiryo UI"/>
                <w:sz w:val="18"/>
              </w:rPr>
              <w:t>¥800〜1,000M</w:t>
            </w:r>
          </w:p>
        </w:tc>
        <w:tc>
          <w:tcPr>
            <w:tcW w:type="dxa" w:w="3135"/>
          </w:tcPr>
          <w:p>
            <w:r>
              <w:rPr>
                <w:rFonts w:ascii="Meiryo UI" w:hAnsi="Meiryo UI"/>
                <w:sz w:val="18"/>
              </w:rPr>
              <w:t>船舶減価償却費（大）</w:t>
            </w:r>
          </w:p>
        </w:tc>
      </w:tr>
      <w:tr>
        <w:tc>
          <w:tcPr>
            <w:tcW w:type="dxa" w:w="3135"/>
            <w:shd w:val="clear" w:color="auto" w:fill="DDEBF7"/>
          </w:tcPr>
          <w:p>
            <w:r>
              <w:rPr>
                <w:rFonts w:ascii="Meiryo UI" w:hAnsi="Meiryo UI"/>
                <w:sz w:val="18"/>
              </w:rPr>
              <w:t>Capex</w:t>
            </w:r>
          </w:p>
        </w:tc>
        <w:tc>
          <w:tcPr>
            <w:tcW w:type="dxa" w:w="3135"/>
            <w:shd w:val="clear" w:color="auto" w:fill="DDEBF7"/>
          </w:tcPr>
          <w:p>
            <w:r>
              <w:rPr>
                <w:rFonts w:ascii="Meiryo UI" w:hAnsi="Meiryo UI"/>
                <w:sz w:val="18"/>
              </w:rPr>
              <w:t>¥800〜1,200M</w:t>
            </w:r>
          </w:p>
        </w:tc>
        <w:tc>
          <w:tcPr>
            <w:tcW w:type="dxa" w:w="3135"/>
            <w:shd w:val="clear" w:color="auto" w:fill="DDEBF7"/>
          </w:tcPr>
          <w:p>
            <w:r>
              <w:rPr>
                <w:rFonts w:ascii="Meiryo UI" w:hAnsi="Meiryo UI"/>
                <w:sz w:val="18"/>
              </w:rPr>
              <w:t>代替建造サイクル</w:t>
            </w:r>
          </w:p>
        </w:tc>
      </w:tr>
      <w:tr>
        <w:tc>
          <w:tcPr>
            <w:tcW w:type="dxa" w:w="3135"/>
          </w:tcPr>
          <w:p>
            <w:r>
              <w:rPr>
                <w:rFonts w:ascii="Meiryo UI" w:hAnsi="Meiryo UI"/>
                <w:sz w:val="18"/>
              </w:rPr>
              <w:t>運転資本変化</w:t>
            </w:r>
          </w:p>
        </w:tc>
        <w:tc>
          <w:tcPr>
            <w:tcW w:type="dxa" w:w="3135"/>
          </w:tcPr>
          <w:p>
            <w:r>
              <w:rPr>
                <w:rFonts w:ascii="Meiryo UI" w:hAnsi="Meiryo UI"/>
                <w:sz w:val="18"/>
              </w:rPr>
              <w:t>▲¥50〜100M/年</w:t>
            </w:r>
          </w:p>
        </w:tc>
        <w:tc>
          <w:tcPr>
            <w:tcW w:type="dxa" w:w="3135"/>
          </w:tcPr>
          <w:p>
            <w:r>
              <w:rPr>
                <w:rFonts w:ascii="Meiryo UI" w:hAnsi="Meiryo UI"/>
                <w:sz w:val="18"/>
              </w:rPr>
              <w:t>売上増に伴う微増</w:t>
            </w:r>
          </w:p>
        </w:tc>
      </w:tr>
      <w:tr>
        <w:tc>
          <w:tcPr>
            <w:tcW w:type="dxa" w:w="3135"/>
            <w:shd w:val="clear" w:color="auto" w:fill="DDEBF7"/>
          </w:tcPr>
          <w:p>
            <w:r>
              <w:rPr>
                <w:rFonts w:ascii="Meiryo UI" w:hAnsi="Meiryo UI"/>
                <w:sz w:val="18"/>
              </w:rPr>
              <w:t>純有利子負債</w:t>
            </w:r>
          </w:p>
        </w:tc>
        <w:tc>
          <w:tcPr>
            <w:tcW w:type="dxa" w:w="3135"/>
            <w:shd w:val="clear" w:color="auto" w:fill="DDEBF7"/>
          </w:tcPr>
          <w:p>
            <w:r>
              <w:rPr>
                <w:rFonts w:ascii="Meiryo UI" w:hAnsi="Meiryo UI"/>
                <w:sz w:val="18"/>
              </w:rPr>
              <w:t>¥8,500M（中央値）</w:t>
            </w:r>
          </w:p>
        </w:tc>
        <w:tc>
          <w:tcPr>
            <w:tcW w:type="dxa" w:w="3135"/>
            <w:shd w:val="clear" w:color="auto" w:fill="DDEBF7"/>
          </w:tcPr>
          <w:p>
            <w:r>
              <w:rPr>
                <w:rFonts w:ascii="Meiryo UI" w:hAnsi="Meiryo UI"/>
                <w:sz w:val="18"/>
              </w:rPr>
              <w:t>BSより推計</w:t>
            </w:r>
          </w:p>
        </w:tc>
      </w:tr>
      <w:tr>
        <w:tc>
          <w:tcPr>
            <w:tcW w:type="dxa" w:w="3135"/>
          </w:tcPr>
          <w:p>
            <w:r>
              <w:rPr>
                <w:rFonts w:ascii="Meiryo UI" w:hAnsi="Meiryo UI"/>
                <w:sz w:val="18"/>
              </w:rPr>
              <w:t>発行済株式数</w:t>
            </w:r>
          </w:p>
        </w:tc>
        <w:tc>
          <w:tcPr>
            <w:tcW w:type="dxa" w:w="3135"/>
          </w:tcPr>
          <w:p>
            <w:r>
              <w:rPr>
                <w:rFonts w:ascii="Meiryo UI" w:hAnsi="Meiryo UI"/>
                <w:sz w:val="18"/>
              </w:rPr>
              <w:t>約6,000,000株</w:t>
            </w:r>
          </w:p>
        </w:tc>
        <w:tc>
          <w:tcPr>
            <w:tcW w:type="dxa" w:w="3135"/>
          </w:tcPr>
          <w:p>
            <w:r>
              <w:rPr>
                <w:rFonts w:ascii="Meiryo UI" w:hAnsi="Meiryo UI"/>
                <w:sz w:val="18"/>
              </w:rPr>
              <w:t>推計</w:t>
            </w:r>
          </w:p>
        </w:tc>
      </w:tr>
    </w:tbl>
    <w:p/>
    <w:p>
      <w:pPr>
        <w:pStyle w:val="Heading3"/>
      </w:pPr>
      <w:r>
        <w:rPr>
          <w:rFonts w:ascii="Meiryo UI" w:hAnsi="Meiryo UI"/>
          <w:color w:val="2E74B5"/>
        </w:rPr>
        <w:t>4.3 DCF計算（ベースケース）</w:t>
      </w:r>
    </w:p>
    <w:p/>
    <w:p>
      <w:pPr>
        <w:shd w:val="clear" w:color="auto" w:fill="F2F2F2"/>
      </w:pPr>
      <w:r>
        <w:rPr>
          <w:rFonts w:ascii="Courier New" w:hAnsi="Courier New"/>
          <w:sz w:val="16"/>
        </w:rPr>
        <w:t>【FCFF予測（百万円）】</w:t>
        <w:br/>
        <w:br/>
        <w:t xml:space="preserve">       EBIT    NOPAT    D&amp;A    Capex   ΔNWC    FCFF</w:t>
        <w:br/>
        <w:t>FY26   780     546      900   (1,000)  (75)   371</w:t>
        <w:br/>
        <w:t>FY27   897     628      920   (1,050)  (80)   418</w:t>
        <w:br/>
        <w:t>FY28   1,016   711      940   (1,000)  (85)   566</w:t>
        <w:br/>
        <w:t>FY29   1,097   768      960   (1,050)  (85)   593</w:t>
        <w:br/>
        <w:t>FY30   1,186   830      980   (1,100)  (90)   620</w:t>
        <w:br/>
        <w:t>FY31   1,257   880      990   (1,050)  (90)   730</w:t>
        <w:br/>
        <w:t>FY32   1,307   915     1,000  (1,000)  (90)   825</w:t>
        <w:br/>
        <w:t>FY33   1,358   951     1,010  (1,000)  (90)   871</w:t>
        <w:br/>
        <w:t>FY34   1,408   986     1,020  (1,000)  (90)   916</w:t>
        <w:br/>
        <w:t>FY35   1,460  1,022    1,030  (1,000)  (90)   962</w:t>
        <w:br/>
        <w:br/>
        <w:t>【割引計算（WACC=3.42%）】</w:t>
        <w:br/>
        <w:t>ターミナルバリュー = FCFF_FY35 × (1+g) / (WACC - g)</w:t>
        <w:br/>
        <w:t xml:space="preserve">                 = 962 × 1.01 / (0.0342 - 0.010)</w:t>
        <w:br/>
        <w:t xml:space="preserve">                 = 971.6 / 0.0242</w:t>
        <w:br/>
        <w:t xml:space="preserve">                 = ¥40,149M</w:t>
        <w:br/>
        <w:br/>
        <w:t>PV(FCFF FY26-35)   ≈ ¥6,200M</w:t>
        <w:br/>
        <w:t>PV(ターミナルバリュー) ≈ ¥29,100M</w:t>
        <w:br/>
        <w:t>───────────────────</w:t>
        <w:br/>
        <w:t>事業価値（EV）       ≈ ¥35,300M</w:t>
        <w:br/>
        <w:t>▲ 純有利子負債     ▲ ¥8,500M</w:t>
        <w:br/>
        <w:t>───────────────────</w:t>
        <w:br/>
        <w:t>株式価値           ≈ ¥26,800M</w:t>
        <w:br/>
        <w:t>÷ 発行済株式数      ÷ 6,000,000株</w:t>
        <w:br/>
        <w:t>───────────────────</w:t>
        <w:br/>
        <w:t>理論株価（DCF）     ≈ ¥4,467/株</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重み</w:t>
            </w:r>
          </w:p>
        </w:tc>
        <w:tc>
          <w:tcPr>
            <w:tcW w:type="dxa" w:w="2351"/>
            <w:shd w:val="clear" w:color="auto" w:fill="2E74B5"/>
          </w:tcPr>
          <w:p>
            <w:r>
              <w:rPr>
                <w:rFonts w:ascii="Meiryo UI" w:hAnsi="Meiryo UI"/>
                <w:b/>
                <w:color w:val="FFFFFF"/>
                <w:sz w:val="18"/>
              </w:rPr>
              <w:t>加重理論株価</w:t>
            </w:r>
          </w:p>
        </w:tc>
      </w:tr>
      <w:tr>
        <w:tc>
          <w:tcPr>
            <w:tcW w:type="dxa" w:w="2351"/>
          </w:tcPr>
          <w:p>
            <w:r>
              <w:rPr>
                <w:rFonts w:ascii="Meiryo UI" w:hAnsi="Meiryo UI"/>
                <w:sz w:val="18"/>
              </w:rPr>
              <w:t>DCF（ベースケース）</w:t>
            </w:r>
          </w:p>
        </w:tc>
        <w:tc>
          <w:tcPr>
            <w:tcW w:type="dxa" w:w="2351"/>
          </w:tcPr>
          <w:p>
            <w:r>
              <w:rPr>
                <w:rFonts w:ascii="Meiryo UI" w:hAnsi="Meiryo UI"/>
                <w:sz w:val="18"/>
              </w:rPr>
              <w:t>¥4,467</w:t>
            </w:r>
          </w:p>
        </w:tc>
        <w:tc>
          <w:tcPr>
            <w:tcW w:type="dxa" w:w="2351"/>
          </w:tcPr>
          <w:p>
            <w:r>
              <w:rPr>
                <w:rFonts w:ascii="Meiryo UI" w:hAnsi="Meiryo UI"/>
                <w:sz w:val="18"/>
              </w:rPr>
              <w:t>40%</w:t>
            </w:r>
          </w:p>
        </w:tc>
        <w:tc>
          <w:tcPr>
            <w:tcW w:type="dxa" w:w="2351"/>
          </w:tcPr>
          <w:p>
            <w:r>
              <w:rPr>
                <w:rFonts w:ascii="Meiryo UI" w:hAnsi="Meiryo UI"/>
                <w:sz w:val="18"/>
              </w:rPr>
              <w:t>¥1,787</w:t>
            </w:r>
          </w:p>
        </w:tc>
      </w:tr>
      <w:tr>
        <w:tc>
          <w:tcPr>
            <w:tcW w:type="dxa" w:w="2351"/>
            <w:shd w:val="clear" w:color="auto" w:fill="DDEBF7"/>
          </w:tcPr>
          <w:p>
            <w:r>
              <w:rPr>
                <w:rFonts w:ascii="Meiryo UI" w:hAnsi="Meiryo UI"/>
                <w:sz w:val="18"/>
              </w:rPr>
              <w:t>PER比較法（同業PER×12倍）</w:t>
            </w:r>
          </w:p>
        </w:tc>
        <w:tc>
          <w:tcPr>
            <w:tcW w:type="dxa" w:w="2351"/>
            <w:shd w:val="clear" w:color="auto" w:fill="DDEBF7"/>
          </w:tcPr>
          <w:p>
            <w:r>
              <w:rPr>
                <w:rFonts w:ascii="Meiryo UI" w:hAnsi="Meiryo UI"/>
                <w:sz w:val="18"/>
              </w:rPr>
              <w:t>¥3,300〜4,200</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¥1,125</w:t>
            </w:r>
          </w:p>
        </w:tc>
      </w:tr>
      <w:tr>
        <w:tc>
          <w:tcPr>
            <w:tcW w:type="dxa" w:w="2351"/>
          </w:tcPr>
          <w:p>
            <w:r>
              <w:rPr>
                <w:rFonts w:ascii="Meiryo UI" w:hAnsi="Meiryo UI"/>
                <w:sz w:val="18"/>
              </w:rPr>
              <w:t>PBR修正法（BPS×1.2倍）</w:t>
            </w:r>
          </w:p>
        </w:tc>
        <w:tc>
          <w:tcPr>
            <w:tcW w:type="dxa" w:w="2351"/>
          </w:tcPr>
          <w:p>
            <w:r>
              <w:rPr>
                <w:rFonts w:ascii="Meiryo UI" w:hAnsi="Meiryo UI"/>
                <w:sz w:val="18"/>
              </w:rPr>
              <w:t>¥1,200〜1,920</w:t>
            </w:r>
          </w:p>
        </w:tc>
        <w:tc>
          <w:tcPr>
            <w:tcW w:type="dxa" w:w="2351"/>
          </w:tcPr>
          <w:p>
            <w:r>
              <w:rPr>
                <w:rFonts w:ascii="Meiryo UI" w:hAnsi="Meiryo UI"/>
                <w:sz w:val="18"/>
              </w:rPr>
              <w:t>20%</w:t>
            </w:r>
          </w:p>
        </w:tc>
        <w:tc>
          <w:tcPr>
            <w:tcW w:type="dxa" w:w="2351"/>
          </w:tcPr>
          <w:p>
            <w:r>
              <w:rPr>
                <w:rFonts w:ascii="Meiryo UI" w:hAnsi="Meiryo UI"/>
                <w:sz w:val="18"/>
              </w:rPr>
              <w:t>¥312</w:t>
            </w:r>
          </w:p>
        </w:tc>
      </w:tr>
      <w:tr>
        <w:tc>
          <w:tcPr>
            <w:tcW w:type="dxa" w:w="2351"/>
            <w:shd w:val="clear" w:color="auto" w:fill="DDEBF7"/>
          </w:tcPr>
          <w:p>
            <w:r>
              <w:rPr>
                <w:rFonts w:ascii="Meiryo UI" w:hAnsi="Meiryo UI"/>
                <w:sz w:val="18"/>
              </w:rPr>
              <w:t>EV/EBITDA比較法（×6倍）</w:t>
            </w:r>
          </w:p>
        </w:tc>
        <w:tc>
          <w:tcPr>
            <w:tcW w:type="dxa" w:w="2351"/>
            <w:shd w:val="clear" w:color="auto" w:fill="DDEBF7"/>
          </w:tcPr>
          <w:p>
            <w:r>
              <w:rPr>
                <w:rFonts w:ascii="Meiryo UI" w:hAnsi="Meiryo UI"/>
                <w:sz w:val="18"/>
              </w:rPr>
              <w:t>¥2,800〜3,500</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¥315</w:t>
            </w:r>
          </w:p>
        </w:tc>
      </w:tr>
      <w:tr>
        <w:tc>
          <w:tcPr>
            <w:tcW w:type="dxa" w:w="2351"/>
          </w:tcPr>
          <w:p>
            <w:r>
              <w:rPr>
                <w:rFonts w:ascii="Meiryo UI" w:hAnsi="Meiryo UI"/>
                <w:sz w:val="18"/>
              </w:rPr>
              <w:t>加重平均理論株価</w:t>
            </w:r>
          </w:p>
        </w:tc>
        <w:tc>
          <w:tcPr>
            <w:tcW w:type="dxa" w:w="2351"/>
          </w:tcPr>
          <w:p>
            <w:r>
              <w:rPr>
                <w:rFonts w:ascii="Meiryo UI" w:hAnsi="Meiryo UI"/>
                <w:sz w:val="18"/>
              </w:rPr>
              <w:t>—</w:t>
            </w:r>
          </w:p>
        </w:tc>
        <w:tc>
          <w:tcPr>
            <w:tcW w:type="dxa" w:w="2351"/>
          </w:tcPr>
          <w:p>
            <w:r>
              <w:rPr>
                <w:rFonts w:ascii="Meiryo UI" w:hAnsi="Meiryo UI"/>
                <w:sz w:val="18"/>
              </w:rPr>
              <w:t>100%</w:t>
            </w:r>
          </w:p>
        </w:tc>
        <w:tc>
          <w:tcPr>
            <w:tcW w:type="dxa" w:w="2351"/>
          </w:tcPr>
          <w:p>
            <w:r>
              <w:rPr>
                <w:rFonts w:ascii="Meiryo UI" w:hAnsi="Meiryo UI"/>
                <w:sz w:val="18"/>
              </w:rPr>
              <w:t>¥3,539</w:t>
            </w:r>
          </w:p>
        </w:tc>
      </w:tr>
    </w:tbl>
    <w:p/>
    <w:p>
      <w:r>
        <w:rPr>
          <w:rFonts w:ascii="Meiryo UI" w:hAnsi="Meiryo UI"/>
          <w:sz w:val="20"/>
        </w:rPr>
        <w:t>→ 理論株価レンジ: ¥2,800〜¥4,800（中央値: 約¥3,500）</w:t>
      </w:r>
    </w:p>
    <w:p/>
    <w:p>
      <w:pPr>
        <w:pStyle w:val="Heading3"/>
      </w:pPr>
      <w:r>
        <w:rPr>
          <w:rFonts w:ascii="Meiryo UI" w:hAnsi="Meiryo UI"/>
          <w:color w:val="2E74B5"/>
        </w:rPr>
        <w:t>5.2 安全域（Margin of Safety）分析</w:t>
      </w:r>
    </w:p>
    <w:p/>
    <w:p>
      <w:pPr>
        <w:shd w:val="clear" w:color="auto" w:fill="F2F2F2"/>
      </w:pPr>
      <w:r>
        <w:rPr>
          <w:rFonts w:ascii="Courier New" w:hAnsi="Courier New"/>
          <w:sz w:val="16"/>
        </w:rPr>
        <w:t>理論株価（中央値）: ¥3,500</w:t>
        <w:br/>
        <w:t>安全域バッファ（25%）: ▲¥875</w:t>
        <w:br/>
        <w:t>────────────────────────</w:t>
        <w:br/>
        <w:t>推奨購入上限価格:   ¥2,625（≈ ¥2,600）</w:t>
        <w:br/>
        <w:br/>
        <w:t>現在株価推定:       ¥1,800〜2,200（東証スタンダード実勢）</w:t>
        <w:br/>
        <w:t>理論値との乖離率:   +59〜+94%のアップサイド</w:t>
        <w:br/>
        <w:t>安全域込み購入余地: 十分（現在値が既に安全域内）</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 【買い（BUY）★★★★☆】        ║</w:t>
        <w:br/>
        <w:t>║                                          ║</w:t>
        <w:br/>
        <w:t>║  理論株価（中央値）: ¥3,500              ║</w:t>
        <w:br/>
        <w:t>║  推奨購入上限（MoS25%）: ¥2,625          ║</w:t>
        <w:br/>
        <w:t>║  現在株価推定: ¥1,800〜2,200             ║</w:t>
        <w:br/>
        <w:t>║  アップサイド: +59〜+94%                 ║</w:t>
        <w:br/>
        <w:t>║  時間軸: 12〜24ヶ月                      ║</w:t>
        <w:br/>
        <w:t>╚══════════════════════════════════════════╝</w:t>
      </w:r>
    </w:p>
    <w:p/>
    <w:p>
      <w:r>
        <w:rPr>
          <w:rFonts w:ascii="Meiryo UI" w:hAnsi="Meiryo UI"/>
          <w:sz w:val="20"/>
        </w:rPr>
        <w:t>&gt; 「強い買い」ではなく「買い」とした理由:</w:t>
      </w:r>
    </w:p>
    <w:p>
      <w:r>
        <w:rPr>
          <w:rFonts w:ascii="Meiryo UI" w:hAnsi="Meiryo UI"/>
          <w:sz w:val="20"/>
        </w:rPr>
        <w:t>&gt; - 内航海運の流動性リスク（東証スタンダード、出来高薄）</w:t>
      </w:r>
    </w:p>
    <w:p>
      <w:r>
        <w:rPr>
          <w:rFonts w:ascii="Meiryo UI" w:hAnsi="Meiryo UI"/>
          <w:sz w:val="20"/>
        </w:rPr>
        <w:t>&gt; - 運賃改定の進捗確認が必要（仮説段階）</w:t>
      </w:r>
    </w:p>
    <w:p>
      <w:r>
        <w:rPr>
          <w:rFonts w:ascii="Meiryo UI" w:hAnsi="Meiryo UI"/>
          <w:sz w:val="20"/>
        </w:rPr>
        <w:t>&gt; - 老齢船代替投資のタイミング次第でFCFが一時的にマイナス転化するリスク</w:t>
      </w:r>
    </w:p>
    <w:p>
      <w:r>
        <w:rPr>
          <w:rFonts w:ascii="Meiryo UI" w:hAnsi="Meiryo UI"/>
          <w:sz w:val="20"/>
        </w:rPr>
        <w:t>&gt; - 確認が取れれば「強い買い」に引き上げ余地あり</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三ケース分析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前提条件</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現在値比</w:t>
            </w:r>
          </w:p>
        </w:tc>
      </w:tr>
      <w:tr>
        <w:tc>
          <w:tcPr>
            <w:tcW w:type="dxa" w:w="1881"/>
          </w:tcPr>
          <w:p>
            <w:r>
              <w:rPr>
                <w:rFonts w:ascii="Meiryo UI" w:hAnsi="Meiryo UI"/>
                <w:sz w:val="18"/>
              </w:rPr>
              <w:t>強気（Bull）</w:t>
            </w:r>
          </w:p>
        </w:tc>
        <w:tc>
          <w:tcPr>
            <w:tcW w:type="dxa" w:w="1881"/>
          </w:tcPr>
          <w:p>
            <w:r>
              <w:rPr>
                <w:rFonts w:ascii="Meiryo UI" w:hAnsi="Meiryo UI"/>
                <w:sz w:val="18"/>
              </w:rPr>
              <w:t>25%</w:t>
            </w:r>
          </w:p>
        </w:tc>
        <w:tc>
          <w:tcPr>
            <w:tcW w:type="dxa" w:w="1881"/>
          </w:tcPr>
          <w:p>
            <w:r>
              <w:rPr>
                <w:rFonts w:ascii="Meiryo UI" w:hAnsi="Meiryo UI"/>
                <w:sz w:val="18"/>
              </w:rPr>
              <w:t>運賃+10%超改定実現。モーダルシフト加速。M&amp;A成長</w:t>
            </w:r>
          </w:p>
        </w:tc>
        <w:tc>
          <w:tcPr>
            <w:tcW w:type="dxa" w:w="1881"/>
          </w:tcPr>
          <w:p>
            <w:r>
              <w:rPr>
                <w:rFonts w:ascii="Meiryo UI" w:hAnsi="Meiryo UI"/>
                <w:sz w:val="18"/>
              </w:rPr>
              <w:t>¥5,500〜7,000</w:t>
            </w:r>
          </w:p>
        </w:tc>
        <w:tc>
          <w:tcPr>
            <w:tcW w:type="dxa" w:w="1881"/>
          </w:tcPr>
          <w:p>
            <w:r>
              <w:rPr>
                <w:rFonts w:ascii="Meiryo UI" w:hAnsi="Meiryo UI"/>
                <w:sz w:val="18"/>
              </w:rPr>
              <w:t>+150〜+220%</w:t>
            </w:r>
          </w:p>
        </w:tc>
      </w:tr>
      <w:tr>
        <w:tc>
          <w:tcPr>
            <w:tcW w:type="dxa" w:w="1881"/>
            <w:shd w:val="clear" w:color="auto" w:fill="DDEBF7"/>
          </w:tcPr>
          <w:p>
            <w:r>
              <w:rPr>
                <w:rFonts w:ascii="Meiryo UI" w:hAnsi="Meiryo UI"/>
                <w:sz w:val="18"/>
              </w:rPr>
              <w:t>基本（Base）</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運賃+5〜8%改定。モーダルシフト緩やか。現状維持</w:t>
            </w:r>
          </w:p>
        </w:tc>
        <w:tc>
          <w:tcPr>
            <w:tcW w:type="dxa" w:w="1881"/>
            <w:shd w:val="clear" w:color="auto" w:fill="DDEBF7"/>
          </w:tcPr>
          <w:p>
            <w:r>
              <w:rPr>
                <w:rFonts w:ascii="Meiryo UI" w:hAnsi="Meiryo UI"/>
                <w:sz w:val="18"/>
              </w:rPr>
              <w:t>¥3,000〜4,500</w:t>
            </w:r>
          </w:p>
        </w:tc>
        <w:tc>
          <w:tcPr>
            <w:tcW w:type="dxa" w:w="1881"/>
            <w:shd w:val="clear" w:color="auto" w:fill="DDEBF7"/>
          </w:tcPr>
          <w:p>
            <w:r>
              <w:rPr>
                <w:rFonts w:ascii="Meiryo UI" w:hAnsi="Meiryo UI"/>
                <w:sz w:val="18"/>
              </w:rPr>
              <w:t>+50〜+125%</w:t>
            </w:r>
          </w:p>
        </w:tc>
      </w:tr>
      <w:tr>
        <w:tc>
          <w:tcPr>
            <w:tcW w:type="dxa" w:w="1881"/>
          </w:tcPr>
          <w:p>
            <w:r>
              <w:rPr>
                <w:rFonts w:ascii="Meiryo UI" w:hAnsi="Meiryo UI"/>
                <w:sz w:val="18"/>
              </w:rPr>
              <w:t>弱気（Bear）</w:t>
            </w:r>
          </w:p>
        </w:tc>
        <w:tc>
          <w:tcPr>
            <w:tcW w:type="dxa" w:w="1881"/>
          </w:tcPr>
          <w:p>
            <w:r>
              <w:rPr>
                <w:rFonts w:ascii="Meiryo UI" w:hAnsi="Meiryo UI"/>
                <w:sz w:val="18"/>
              </w:rPr>
              <w:t>25%</w:t>
            </w:r>
          </w:p>
        </w:tc>
        <w:tc>
          <w:tcPr>
            <w:tcW w:type="dxa" w:w="1881"/>
          </w:tcPr>
          <w:p>
            <w:r>
              <w:rPr>
                <w:rFonts w:ascii="Meiryo UI" w:hAnsi="Meiryo UI"/>
                <w:sz w:val="18"/>
              </w:rPr>
              <w:t>荷主との運賃交渉失敗。景気後退で荷動き▲10%。燃料高止まり</w:t>
            </w:r>
          </w:p>
        </w:tc>
        <w:tc>
          <w:tcPr>
            <w:tcW w:type="dxa" w:w="1881"/>
          </w:tcPr>
          <w:p>
            <w:r>
              <w:rPr>
                <w:rFonts w:ascii="Meiryo UI" w:hAnsi="Meiryo UI"/>
                <w:sz w:val="18"/>
              </w:rPr>
              <w:t>¥1,200〜1,800</w:t>
            </w:r>
          </w:p>
        </w:tc>
        <w:tc>
          <w:tcPr>
            <w:tcW w:type="dxa" w:w="1881"/>
          </w:tcPr>
          <w:p>
            <w:r>
              <w:rPr>
                <w:rFonts w:ascii="Meiryo UI" w:hAnsi="Meiryo UI"/>
                <w:sz w:val="18"/>
              </w:rPr>
              <w:t>▲10〜+0%</w:t>
            </w:r>
          </w:p>
        </w:tc>
      </w:tr>
    </w:tbl>
    <w:p/>
    <w:p>
      <w:pPr>
        <w:pStyle w:val="Heading3"/>
      </w:pPr>
      <w:r>
        <w:rPr>
          <w:rFonts w:ascii="Meiryo UI" w:hAnsi="Meiryo UI"/>
          <w:color w:val="2E74B5"/>
        </w:rPr>
        <w:t>6.2 強気シナリオの詳細</w:t>
      </w:r>
    </w:p>
    <w:p/>
    <w:p>
      <w:pPr>
        <w:shd w:val="clear" w:color="auto" w:fill="F2F2F2"/>
      </w:pPr>
      <w:r>
        <w:rPr>
          <w:rFonts w:ascii="Courier New" w:hAnsi="Courier New"/>
          <w:sz w:val="16"/>
        </w:rPr>
        <w:t>トリガー:</w:t>
        <w:br/>
        <w:t>□ 2024年問題によるモーダルシフト需要が想定超</w:t>
        <w:br/>
        <w:t>□ 石灰石・建材の輸送量が公共投資（インフラ老朽化更新）で拡大</w:t>
        <w:br/>
        <w:t>□ 競合他社の廃業・引退による船腹削減</w:t>
        <w:br/>
        <w:t>□ 運賃+10%超の複数荷主との同時改定</w:t>
        <w:br/>
        <w:t>□ 新造船（LNG/ゼロエミ仕様）によるプレミアム運賃獲得</w:t>
        <w:br/>
        <w:br/>
        <w:t>業績インパクト（強気）:</w:t>
        <w:br/>
        <w:t xml:space="preserve">  売上高: ¥12,000〜14,000M</w:t>
        <w:br/>
        <w:t xml:space="preserve">  営業利益率: 9〜12%</w:t>
        <w:br/>
        <w:t xml:space="preserve">  EPS: ¥150〜250/株</w:t>
        <w:br/>
        <w:t xml:space="preserve">  DCF理論株価: ¥5,500〜7,000</w:t>
      </w:r>
    </w:p>
    <w:p/>
    <w:p>
      <w:pPr>
        <w:pStyle w:val="Heading3"/>
      </w:pPr>
      <w:r>
        <w:rPr>
          <w:rFonts w:ascii="Meiryo UI" w:hAnsi="Meiryo UI"/>
          <w:color w:val="2E74B5"/>
        </w:rPr>
        <w:t>6.3 弱気シナリオの詳細</w:t>
      </w:r>
    </w:p>
    <w:p/>
    <w:p>
      <w:pPr>
        <w:shd w:val="clear" w:color="auto" w:fill="F2F2F2"/>
      </w:pPr>
      <w:r>
        <w:rPr>
          <w:rFonts w:ascii="Courier New" w:hAnsi="Courier New"/>
          <w:sz w:val="16"/>
        </w:rPr>
        <w:t>トリガー:</w:t>
        <w:br/>
        <w:t>□ 国内景気後退（建設・鉄鋼需要▲15%以上）</w:t>
        <w:br/>
        <w:t>□ 運賃交渉で大手荷主が拒絶（電力・製鉄の交渉力維持）</w:t>
        <w:br/>
        <w:t>□ C重油価格の急騰（+30%超）で転嫁不能</w:t>
        <w:br/>
        <w:t>□ 船員不足の深刻化（代替乗組員確保困難）</w:t>
        <w:br/>
        <w:t>□ 代替建造コスト急増（造船コスト高騰）</w:t>
        <w:br/>
        <w:br/>
        <w:t>業績インパクト（弱気）:</w:t>
        <w:br/>
        <w:t xml:space="preserve">  売上高: ¥7,500〜8,500M</w:t>
        <w:br/>
        <w:t xml:space="preserve">  営業利益率: 2〜3%</w:t>
        <w:br/>
        <w:t xml:space="preserve">  EPS: ¥30〜50/株</w:t>
        <w:br/>
        <w:t xml:space="preserve">  DCF理論株価: ¥1,200〜1,800</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浅井評価項目</w:t>
            </w:r>
          </w:p>
        </w:tc>
        <w:tc>
          <w:tcPr>
            <w:tcW w:type="dxa" w:w="2351"/>
            <w:shd w:val="clear" w:color="auto" w:fill="2E74B5"/>
          </w:tcPr>
          <w:p>
            <w:r>
              <w:rPr>
                <w:rFonts w:ascii="Meiryo UI" w:hAnsi="Meiryo UI"/>
                <w:b/>
                <w:color w:val="FFFFFF"/>
                <w:sz w:val="18"/>
              </w:rPr>
              <w:t>スコア寄与</w:t>
            </w:r>
          </w:p>
        </w:tc>
        <w:tc>
          <w:tcPr>
            <w:tcW w:type="dxa" w:w="2351"/>
            <w:shd w:val="clear" w:color="auto" w:fill="2E74B5"/>
          </w:tcPr>
          <w:p>
            <w:r>
              <w:rPr>
                <w:rFonts w:ascii="Meiryo UI" w:hAnsi="Meiryo UI"/>
                <w:b/>
                <w:color w:val="FFFFFF"/>
                <w:sz w:val="18"/>
              </w:rPr>
              <w:t>深井の検証</w:t>
            </w:r>
          </w:p>
        </w:tc>
        <w:tc>
          <w:tcPr>
            <w:tcW w:type="dxa" w:w="2351"/>
            <w:shd w:val="clear" w:color="auto" w:fill="2E74B5"/>
          </w:tcPr>
          <w:p>
            <w:r>
              <w:rPr>
                <w:rFonts w:ascii="Meiryo UI" w:hAnsi="Meiryo UI"/>
                <w:b/>
                <w:color w:val="FFFFFF"/>
                <w:sz w:val="18"/>
              </w:rPr>
              <w:t>整合性</w:t>
            </w:r>
          </w:p>
        </w:tc>
      </w:tr>
      <w:tr>
        <w:tc>
          <w:tcPr>
            <w:tcW w:type="dxa" w:w="2351"/>
          </w:tcPr>
          <w:p>
            <w:r>
              <w:rPr>
                <w:rFonts w:ascii="Meiryo UI" w:hAnsi="Meiryo UI"/>
                <w:sz w:val="18"/>
              </w:rPr>
              <w:t>内航海運セクター船賃上昇の収益インパクト</w:t>
            </w:r>
          </w:p>
        </w:tc>
        <w:tc>
          <w:tcPr>
            <w:tcW w:type="dxa" w:w="2351"/>
          </w:tcPr>
          <w:p>
            <w:r>
              <w:rPr>
                <w:rFonts w:ascii="Meiryo UI" w:hAnsi="Meiryo UI"/>
                <w:sz w:val="18"/>
              </w:rPr>
              <w:t>高</w:t>
            </w:r>
          </w:p>
        </w:tc>
        <w:tc>
          <w:tcPr>
            <w:tcW w:type="dxa" w:w="2351"/>
          </w:tcPr>
          <w:p>
            <w:r>
              <w:rPr>
                <w:rFonts w:ascii="Meiryo UI" w:hAnsi="Meiryo UI"/>
                <w:sz w:val="18"/>
              </w:rPr>
              <w:t>✅ 検証済み（セクション2）</w:t>
            </w:r>
          </w:p>
        </w:tc>
        <w:tc>
          <w:tcPr>
            <w:tcW w:type="dxa" w:w="2351"/>
          </w:tcPr>
          <w:p>
            <w:r>
              <w:rPr>
                <w:rFonts w:ascii="Meiryo UI" w:hAnsi="Meiryo UI"/>
                <w:sz w:val="18"/>
              </w:rPr>
              <w:t>整合</w:t>
            </w:r>
          </w:p>
        </w:tc>
      </w:tr>
      <w:tr>
        <w:tc>
          <w:tcPr>
            <w:tcW w:type="dxa" w:w="2351"/>
            <w:shd w:val="clear" w:color="auto" w:fill="DDEBF7"/>
          </w:tcPr>
          <w:p>
            <w:r>
              <w:rPr>
                <w:rFonts w:ascii="Meiryo UI" w:hAnsi="Meiryo UI"/>
                <w:sz w:val="18"/>
              </w:rPr>
              <w:t>PBR水準の是非（純資産質）</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 船舶含み益加味で割安</w:t>
            </w:r>
          </w:p>
        </w:tc>
        <w:tc>
          <w:tcPr>
            <w:tcW w:type="dxa" w:w="2351"/>
            <w:shd w:val="clear" w:color="auto" w:fill="DDEBF7"/>
          </w:tcPr>
          <w:p>
            <w:r>
              <w:rPr>
                <w:rFonts w:ascii="Meiryo UI" w:hAnsi="Meiryo UI"/>
                <w:sz w:val="18"/>
              </w:rPr>
              <w:t>整合</w:t>
            </w:r>
          </w:p>
        </w:tc>
      </w:tr>
      <w:tr>
        <w:tc>
          <w:tcPr>
            <w:tcW w:type="dxa" w:w="2351"/>
          </w:tcPr>
          <w:p>
            <w:r>
              <w:rPr>
                <w:rFonts w:ascii="Meiryo UI" w:hAnsi="Meiryo UI"/>
                <w:sz w:val="18"/>
              </w:rPr>
              <w:t>配当政策と株主還元余力</w:t>
            </w:r>
          </w:p>
        </w:tc>
        <w:tc>
          <w:tcPr>
            <w:tcW w:type="dxa" w:w="2351"/>
          </w:tcPr>
          <w:p>
            <w:r>
              <w:rPr>
                <w:rFonts w:ascii="Meiryo UI" w:hAnsi="Meiryo UI"/>
                <w:sz w:val="18"/>
              </w:rPr>
              <w:t>中</w:t>
            </w:r>
          </w:p>
        </w:tc>
        <w:tc>
          <w:tcPr>
            <w:tcW w:type="dxa" w:w="2351"/>
          </w:tcPr>
          <w:p>
            <w:r>
              <w:rPr>
                <w:rFonts w:ascii="Meiryo UI" w:hAnsi="Meiryo UI"/>
                <w:sz w:val="18"/>
              </w:rPr>
              <w:t>⚠️ FCFの変動性に注意</w:t>
            </w:r>
          </w:p>
        </w:tc>
        <w:tc>
          <w:tcPr>
            <w:tcW w:type="dxa" w:w="2351"/>
          </w:tcPr>
          <w:p>
            <w:r>
              <w:rPr>
                <w:rFonts w:ascii="Meiryo UI" w:hAnsi="Meiryo UI"/>
                <w:sz w:val="18"/>
              </w:rPr>
              <w:t>概ね整合</w:t>
            </w:r>
          </w:p>
        </w:tc>
      </w:tr>
      <w:tr>
        <w:tc>
          <w:tcPr>
            <w:tcW w:type="dxa" w:w="2351"/>
            <w:shd w:val="clear" w:color="auto" w:fill="DDEBF7"/>
          </w:tcPr>
          <w:p>
            <w:r>
              <w:rPr>
                <w:rFonts w:ascii="Meiryo UI" w:hAnsi="Meiryo UI"/>
                <w:sz w:val="18"/>
              </w:rPr>
              <w:t>総合スコア: +62（BUY）</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 本源的価値でも支持</w:t>
            </w:r>
          </w:p>
        </w:tc>
        <w:tc>
          <w:tcPr>
            <w:tcW w:type="dxa" w:w="2351"/>
            <w:shd w:val="clear" w:color="auto" w:fill="DDEBF7"/>
          </w:tcPr>
          <w:p>
            <w:r>
              <w:rPr>
                <w:rFonts w:ascii="Meiryo UI" w:hAnsi="Meiryo UI"/>
                <w:sz w:val="18"/>
              </w:rPr>
              <w:t>✅ 強化</w:t>
            </w:r>
          </w:p>
        </w:tc>
      </w:tr>
    </w:tbl>
    <w:p/>
    <w:p>
      <w:pPr>
        <w:pStyle w:val="Heading3"/>
      </w:pPr>
      <w:r>
        <w:rPr>
          <w:rFonts w:ascii="Meiryo UI" w:hAnsi="Meiryo UI"/>
          <w:color w:val="2E74B5"/>
        </w:rPr>
        <w:t>7.2 センチメント vs 本源的価値ギャップ</w:t>
      </w:r>
    </w:p>
    <w:p/>
    <w:p>
      <w:pPr>
        <w:shd w:val="clear" w:color="auto" w:fill="F2F2F2"/>
      </w:pPr>
      <w:r>
        <w:rPr>
          <w:rFonts w:ascii="Courier New" w:hAnsi="Courier New"/>
          <w:sz w:val="16"/>
        </w:rPr>
        <w:t>【ギャップ分析マップ】</w:t>
        <w:br/>
        <w:br/>
        <w:t>本源的価値（DCF中央値）: ¥3,500</w:t>
        <w:br/>
        <w:t xml:space="preserve">        │</w:t>
        <w:br/>
        <w:t xml:space="preserve">        │ ↑ GAP: +¥1,300〜1,700（推定割安）</w:t>
        <w:br/>
        <w:t xml:space="preserve">        │</w:t>
        <w:br/>
        <w:t>現在株価推定:            ¥1,800〜2,200</w:t>
        <w:br/>
        <w:br/>
        <w:t>解釈:</w:t>
        <w:br/>
        <w:t>→ 浅井+62スコアはセンチメント的強気を示すが、</w:t>
        <w:br/>
        <w:t xml:space="preserve">  ファンダメンタル的にも本源的価値を大幅に下回って取引中</w:t>
        <w:br/>
        <w:t>→ センチメント改善と本源的価値の両面から上昇余地あり</w:t>
        <w:br/>
        <w:t>→ 「市場の無知プレミアム」が存在（スタンダード市場の低カバレッジ）</w:t>
        <w:br/>
        <w:br/>
        <w:t>リスク:</w:t>
        <w:br/>
        <w:t>→ 流動性が低く、センチメント上昇が株価に反映されるまで時間を要する可能性</w:t>
        <w:br/>
        <w:t>→ 東証スタンダードの小型株として機関投資家の参入障壁</w:t>
      </w:r>
    </w:p>
    <w:p/>
    <w:p>
      <w:pPr>
        <w:pStyle w:val="Heading3"/>
      </w:pPr>
      <w:r>
        <w:rPr>
          <w:rFonts w:ascii="Meiryo UI" w:hAnsi="Meiryo UI"/>
          <w:color w:val="2E74B5"/>
        </w:rPr>
        <w:t>7.3 統合評価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センチメント（浅井）</w:t>
            </w:r>
          </w:p>
        </w:tc>
        <w:tc>
          <w:tcPr>
            <w:tcW w:type="dxa" w:w="3135"/>
          </w:tcPr>
          <w:p>
            <w:r>
              <w:rPr>
                <w:rFonts w:ascii="Meiryo UI" w:hAnsi="Meiryo UI"/>
                <w:sz w:val="18"/>
              </w:rPr>
              <w:t>+62 / BUY</w:t>
            </w:r>
          </w:p>
        </w:tc>
        <w:tc>
          <w:tcPr>
            <w:tcW w:type="dxa" w:w="3135"/>
          </w:tcPr>
          <w:p>
            <w:r>
              <w:rPr>
                <w:rFonts w:ascii="Meiryo UI" w:hAnsi="Meiryo UI"/>
                <w:sz w:val="18"/>
              </w:rPr>
              <w:t>業界トレンドを正確に捉えている</w:t>
            </w:r>
          </w:p>
        </w:tc>
      </w:tr>
      <w:tr>
        <w:tc>
          <w:tcPr>
            <w:tcW w:type="dxa" w:w="3135"/>
            <w:shd w:val="clear" w:color="auto" w:fill="DDEBF7"/>
          </w:tcPr>
          <w:p>
            <w:r>
              <w:rPr>
                <w:rFonts w:ascii="Meiryo UI" w:hAnsi="Meiryo UI"/>
                <w:sz w:val="18"/>
              </w:rPr>
              <w:t>本源的価値（深井DCF）</w:t>
            </w:r>
          </w:p>
        </w:tc>
        <w:tc>
          <w:tcPr>
            <w:tcW w:type="dxa" w:w="3135"/>
            <w:shd w:val="clear" w:color="auto" w:fill="DDEBF7"/>
          </w:tcPr>
          <w:p>
            <w:r>
              <w:rPr>
                <w:rFonts w:ascii="Meiryo UI" w:hAnsi="Meiryo UI"/>
                <w:sz w:val="18"/>
              </w:rPr>
              <w:t>割安（+59〜+94%アップサイド）</w:t>
            </w:r>
          </w:p>
        </w:tc>
        <w:tc>
          <w:tcPr>
            <w:tcW w:type="dxa" w:w="3135"/>
            <w:shd w:val="clear" w:color="auto" w:fill="DDEBF7"/>
          </w:tcPr>
          <w:p>
            <w:r>
              <w:rPr>
                <w:rFonts w:ascii="Meiryo UI" w:hAnsi="Meiryo UI"/>
                <w:sz w:val="18"/>
              </w:rPr>
              <w:t>ファンダメンタルで裏付け済</w:t>
            </w:r>
          </w:p>
        </w:tc>
      </w:tr>
      <w:tr>
        <w:tc>
          <w:tcPr>
            <w:tcW w:type="dxa" w:w="3135"/>
          </w:tcPr>
          <w:p>
            <w:r>
              <w:rPr>
                <w:rFonts w:ascii="Meiryo UI" w:hAnsi="Meiryo UI"/>
                <w:sz w:val="18"/>
              </w:rPr>
              <w:t>統合判断</w:t>
            </w:r>
          </w:p>
        </w:tc>
        <w:tc>
          <w:tcPr>
            <w:tcW w:type="dxa" w:w="3135"/>
          </w:tcPr>
          <w:p>
            <w:r>
              <w:rPr>
                <w:rFonts w:ascii="Meiryo UI" w:hAnsi="Meiryo UI"/>
                <w:sz w:val="18"/>
              </w:rPr>
              <w:t>BUY確認</w:t>
            </w:r>
          </w:p>
        </w:tc>
        <w:tc>
          <w:tcPr>
            <w:tcW w:type="dxa" w:w="3135"/>
          </w:tcPr>
          <w:p>
            <w:r>
              <w:rPr>
                <w:rFonts w:ascii="Meiryo UI" w:hAnsi="Meiryo UI"/>
                <w:sz w:val="18"/>
              </w:rPr>
              <w:t>センチメント・価値の両面からBUY支持</w:t>
            </w:r>
          </w:p>
        </w:tc>
      </w:tr>
    </w:tbl>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【推奨エントリー戦略】</w:t>
        <w:br/>
        <w:br/>
        <w:t>■ フェーズ1（即時アクション）: 打診買い</w:t>
        <w:br/>
        <w:t xml:space="preserve">  - 購入目標: 現在株価の50%（ポジション上限の半分）</w:t>
        <w:br/>
        <w:t xml:space="preserve">  - 購入価格帯: ¥1,800〜2,200</w:t>
        <w:br/>
        <w:t xml:space="preserve">  - 購入額目安: 竹村TC運用ルール準拠（5%ポジション）</w:t>
        <w:br/>
        <w:t xml:space="preserve">  - 目的: ポジション確保。IR追跡開始</w:t>
        <w:br/>
        <w:br/>
        <w:t>■ フェーズ2（カタリスト確認後）: 本格買い増し</w:t>
        <w:br/>
        <w:t xml:space="preserve">  - トリガー: 決算短信での運賃改定実績確認（+5%超）</w:t>
        <w:br/>
        <w:t xml:space="preserve">  - 購入価格帯: ¥2,000〜2,500</w:t>
        <w:br/>
        <w:t xml:space="preserve">  - 購入額目安: 残り50%追加</w:t>
        <w:br/>
        <w:t xml:space="preserve">  - 目的: フルポジション形成</w:t>
        <w:br/>
        <w:br/>
        <w:t>■ フェーズ3（強気シナリオ進行時）: ホールド</w:t>
        <w:br/>
        <w:t xml:space="preserve">  - 目標株価: ¥3,200〜3,800（第一目標）</w:t>
        <w:br/>
        <w:t xml:space="preserve">  - 最終目標: ¥4,500〜5,000（強気シナリオ）</w:t>
      </w:r>
    </w:p>
    <w:p/>
    <w:p>
      <w:pPr>
        <w:pStyle w:val="Heading3"/>
      </w:pPr>
      <w:r>
        <w:rPr>
          <w:rFonts w:ascii="Meiryo UI" w:hAnsi="Meiryo UI"/>
          <w:color w:val="2E74B5"/>
        </w:rPr>
        <w:t>8.2 損切りライン</w:t>
      </w:r>
    </w:p>
    <w:p/>
    <w:p>
      <w:pPr>
        <w:shd w:val="clear" w:color="auto" w:fill="F2F2F2"/>
      </w:pPr>
      <w:r>
        <w:rPr>
          <w:rFonts w:ascii="Courier New" w:hAnsi="Courier New"/>
          <w:sz w:val="16"/>
        </w:rPr>
        <w:t>【リスク管理ライン】</w:t>
        <w:br/>
        <w:br/>
        <w:t>ハードストップ（絶対損切り）:</w:t>
        <w:br/>
        <w:t xml:space="preserve">  購入平均価格 × 85% = 約▲15%</w:t>
        <w:br/>
        <w:t xml:space="preserve">  → 例: 平均¥2,000なら¥1,700が損切りライン</w:t>
        <w:br/>
        <w:br/>
        <w:t>ソフトアラート（ポジション縮小検討）:</w:t>
        <w:br/>
        <w:t xml:space="preserve">  購入平均価格 × 90% = 約▲10%</w:t>
        <w:br/>
        <w:br/>
        <w:t>損切り判断基準:</w:t>
        <w:br/>
        <w:t xml:space="preserve">  □ 決算で運賃改定が全くない（0%）場合</w:t>
        <w:br/>
        <w:t xml:space="preserve">  □ 営業利益が前期比▲20%超の下落</w:t>
        <w:br/>
        <w:t xml:space="preserve">  □ 有利子負債が大幅増加（新規設備投資失敗）</w:t>
        <w:br/>
        <w:t xml:space="preserve">  □ 荷主との長期契約喪失の報道</w:t>
      </w:r>
    </w:p>
    <w:p/>
    <w:p>
      <w:pPr>
        <w:pStyle w:val="Heading3"/>
      </w:pPr>
      <w:r>
        <w:rPr>
          <w:rFonts w:ascii="Meiryo UI" w:hAnsi="Meiryo UI"/>
          <w:color w:val="2E74B5"/>
        </w:rPr>
        <w:t>8.3 時間軸とマイルストーン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確認事項</w:t>
            </w:r>
          </w:p>
        </w:tc>
      </w:tr>
      <w:tr>
        <w:tc>
          <w:tcPr>
            <w:tcW w:type="dxa" w:w="3135"/>
          </w:tcPr>
          <w:p>
            <w:r>
              <w:rPr>
                <w:rFonts w:ascii="Meiryo UI" w:hAnsi="Meiryo UI"/>
                <w:sz w:val="18"/>
              </w:rPr>
              <w:t>即時（2026年4月）</w:t>
            </w:r>
          </w:p>
        </w:tc>
        <w:tc>
          <w:tcPr>
            <w:tcW w:type="dxa" w:w="3135"/>
          </w:tcPr>
          <w:p>
            <w:r>
              <w:rPr>
                <w:rFonts w:ascii="Meiryo UI" w:hAnsi="Meiryo UI"/>
                <w:sz w:val="18"/>
              </w:rPr>
              <w:t>フェーズ1打診買い</w:t>
            </w:r>
          </w:p>
        </w:tc>
        <w:tc>
          <w:tcPr>
            <w:tcW w:type="dxa" w:w="3135"/>
          </w:tcPr>
          <w:p>
            <w:r>
              <w:rPr>
                <w:rFonts w:ascii="Meiryo UI" w:hAnsi="Meiryo UI"/>
                <w:sz w:val="18"/>
              </w:rPr>
              <w:t>IR資料・決算短信収集</w:t>
            </w:r>
          </w:p>
        </w:tc>
      </w:tr>
      <w:tr>
        <w:tc>
          <w:tcPr>
            <w:tcW w:type="dxa" w:w="3135"/>
            <w:shd w:val="clear" w:color="auto" w:fill="DDEBF7"/>
          </w:tcPr>
          <w:p>
            <w:r>
              <w:rPr>
                <w:rFonts w:ascii="Meiryo UI" w:hAnsi="Meiryo UI"/>
                <w:sz w:val="18"/>
              </w:rPr>
              <w:t>2026年5月（本決算）</w:t>
            </w:r>
          </w:p>
        </w:tc>
        <w:tc>
          <w:tcPr>
            <w:tcW w:type="dxa" w:w="3135"/>
            <w:shd w:val="clear" w:color="auto" w:fill="DDEBF7"/>
          </w:tcPr>
          <w:p>
            <w:r>
              <w:rPr>
                <w:rFonts w:ascii="Meiryo UI" w:hAnsi="Meiryo UI"/>
                <w:sz w:val="18"/>
              </w:rPr>
              <w:t>業績確認</w:t>
            </w:r>
          </w:p>
        </w:tc>
        <w:tc>
          <w:tcPr>
            <w:tcW w:type="dxa" w:w="3135"/>
            <w:shd w:val="clear" w:color="auto" w:fill="DDEBF7"/>
          </w:tcPr>
          <w:p>
            <w:r>
              <w:rPr>
                <w:rFonts w:ascii="Meiryo UI" w:hAnsi="Meiryo UI"/>
                <w:sz w:val="18"/>
              </w:rPr>
              <w:t>運賃改定実績・FY2027ガイダンス</w:t>
            </w:r>
          </w:p>
        </w:tc>
      </w:tr>
      <w:tr>
        <w:tc>
          <w:tcPr>
            <w:tcW w:type="dxa" w:w="3135"/>
          </w:tcPr>
          <w:p>
            <w:r>
              <w:rPr>
                <w:rFonts w:ascii="Meiryo UI" w:hAnsi="Meiryo UI"/>
                <w:sz w:val="18"/>
              </w:rPr>
              <w:t>2026年8月（1Q決算）</w:t>
            </w:r>
          </w:p>
        </w:tc>
        <w:tc>
          <w:tcPr>
            <w:tcW w:type="dxa" w:w="3135"/>
          </w:tcPr>
          <w:p>
            <w:r>
              <w:rPr>
                <w:rFonts w:ascii="Meiryo UI" w:hAnsi="Meiryo UI"/>
                <w:sz w:val="18"/>
              </w:rPr>
              <w:t>進捗確認</w:t>
            </w:r>
          </w:p>
        </w:tc>
        <w:tc>
          <w:tcPr>
            <w:tcW w:type="dxa" w:w="3135"/>
          </w:tcPr>
          <w:p>
            <w:r>
              <w:rPr>
                <w:rFonts w:ascii="Meiryo UI" w:hAnsi="Meiryo UI"/>
                <w:sz w:val="18"/>
              </w:rPr>
              <w:t>売上高・営業利益の前年比確認</w:t>
            </w:r>
          </w:p>
        </w:tc>
      </w:tr>
      <w:tr>
        <w:tc>
          <w:tcPr>
            <w:tcW w:type="dxa" w:w="3135"/>
            <w:shd w:val="clear" w:color="auto" w:fill="DDEBF7"/>
          </w:tcPr>
          <w:p>
            <w:r>
              <w:rPr>
                <w:rFonts w:ascii="Meiryo UI" w:hAnsi="Meiryo UI"/>
                <w:sz w:val="18"/>
              </w:rPr>
              <w:t>2026年11月（2Q決算）</w:t>
            </w:r>
          </w:p>
        </w:tc>
        <w:tc>
          <w:tcPr>
            <w:tcW w:type="dxa" w:w="3135"/>
            <w:shd w:val="clear" w:color="auto" w:fill="DDEBF7"/>
          </w:tcPr>
          <w:p>
            <w:r>
              <w:rPr>
                <w:rFonts w:ascii="Meiryo UI" w:hAnsi="Meiryo UI"/>
                <w:sz w:val="18"/>
              </w:rPr>
              <w:t>フェーズ2判断</w:t>
            </w:r>
          </w:p>
        </w:tc>
        <w:tc>
          <w:tcPr>
            <w:tcW w:type="dxa" w:w="3135"/>
            <w:shd w:val="clear" w:color="auto" w:fill="DDEBF7"/>
          </w:tcPr>
          <w:p>
            <w:r>
              <w:rPr>
                <w:rFonts w:ascii="Meiryo UI" w:hAnsi="Meiryo UI"/>
                <w:sz w:val="18"/>
              </w:rPr>
              <w:t>モーダルシフト需要の数値確認</w:t>
            </w:r>
          </w:p>
        </w:tc>
      </w:tr>
      <w:tr>
        <w:tc>
          <w:tcPr>
            <w:tcW w:type="dxa" w:w="3135"/>
          </w:tcPr>
          <w:p>
            <w:r>
              <w:rPr>
                <w:rFonts w:ascii="Meiryo UI" w:hAnsi="Meiryo UI"/>
                <w:sz w:val="18"/>
              </w:rPr>
              <w:t>2027年3月</w:t>
            </w:r>
          </w:p>
        </w:tc>
        <w:tc>
          <w:tcPr>
            <w:tcW w:type="dxa" w:w="3135"/>
          </w:tcPr>
          <w:p>
            <w:r>
              <w:rPr>
                <w:rFonts w:ascii="Meiryo UI" w:hAnsi="Meiryo UI"/>
                <w:sz w:val="18"/>
              </w:rPr>
              <w:t>中間評価</w:t>
            </w:r>
          </w:p>
        </w:tc>
        <w:tc>
          <w:tcPr>
            <w:tcW w:type="dxa" w:w="3135"/>
          </w:tcPr>
          <w:p>
            <w:r>
              <w:rPr>
                <w:rFonts w:ascii="Meiryo UI" w:hAnsi="Meiryo UI"/>
                <w:sz w:val="18"/>
              </w:rPr>
              <w:t>理論株価への収束状況確認</w:t>
            </w:r>
          </w:p>
        </w:tc>
      </w:tr>
      <w:tr>
        <w:tc>
          <w:tcPr>
            <w:tcW w:type="dxa" w:w="3135"/>
            <w:shd w:val="clear" w:color="auto" w:fill="DDEBF7"/>
          </w:tcPr>
          <w:p>
            <w:r>
              <w:rPr>
                <w:rFonts w:ascii="Meiryo UI" w:hAnsi="Meiryo UI"/>
                <w:sz w:val="18"/>
              </w:rPr>
              <w:t>2027年5月</w:t>
            </w:r>
          </w:p>
        </w:tc>
        <w:tc>
          <w:tcPr>
            <w:tcW w:type="dxa" w:w="3135"/>
            <w:shd w:val="clear" w:color="auto" w:fill="DDEBF7"/>
          </w:tcPr>
          <w:p>
            <w:r>
              <w:rPr>
                <w:rFonts w:ascii="Meiryo UI" w:hAnsi="Meiryo UI"/>
                <w:sz w:val="18"/>
              </w:rPr>
              <w:t>フル評価</w:t>
            </w:r>
          </w:p>
        </w:tc>
        <w:tc>
          <w:tcPr>
            <w:tcW w:type="dxa" w:w="3135"/>
            <w:shd w:val="clear" w:color="auto" w:fill="DDEBF7"/>
          </w:tcPr>
          <w:p>
            <w:r>
              <w:rPr>
                <w:rFonts w:ascii="Meiryo UI" w:hAnsi="Meiryo UI"/>
                <w:sz w:val="18"/>
              </w:rPr>
              <w:t>出口戦略検討</w:t>
            </w:r>
          </w:p>
        </w:tc>
      </w:tr>
    </w:tbl>
    <w:p/>
    <w:p>
      <w:pPr>
        <w:pStyle w:val="Heading3"/>
      </w:pPr>
      <w:r>
        <w:rPr>
          <w:rFonts w:ascii="Meiryo UI" w:hAnsi="Meiryo UI"/>
          <w:color w:val="2E74B5"/>
        </w:rPr>
        <w:t>8.4 ポジションサイジング推奨</w:t>
      </w:r>
    </w:p>
    <w:p/>
    <w:p>
      <w:pPr>
        <w:shd w:val="clear" w:color="auto" w:fill="F2F2F2"/>
      </w:pPr>
      <w:r>
        <w:rPr>
          <w:rFonts w:ascii="Courier New" w:hAnsi="Courier New"/>
          <w:sz w:val="16"/>
        </w:rPr>
        <w:t>リスク分類: 中リスク（流動性リスクあり）</w:t>
        <w:br/>
        <w:t>推奨ポジション上限: ポートフォリオの3〜5%</w:t>
        <w:br/>
        <w:t>最大許容損失額（MDD）: ポートフォリオの0.6〜0.75%</w:t>
        <w:br/>
        <w:br/>
        <w:t>スタンダード市場小型株のため:</w:t>
        <w:br/>
        <w:t>→ 分割購入（一括でなく3〜5回に分散）を推奨</w:t>
        <w:br/>
        <w:t>→ 出来高の少ない日は指値注文を強く推奨</w:t>
      </w:r>
    </w:p>
    <w:p/>
    <w:p>
      <w:r>
        <w:t>──────────────────────────────────────────────────</w:t>
      </w:r>
    </w:p>
    <w:p/>
    <w:p>
      <w:pPr>
        <w:pStyle w:val="Heading2"/>
      </w:pPr>
      <w:r>
        <w:rPr>
          <w:rFonts w:ascii="Meiryo UI" w:hAnsi="Meiryo UI"/>
          <w:color w:val="2E74B5"/>
        </w:rPr>
        <w:t>9. 金利感応度分析（Sensitivity Analysis）</w:t>
      </w:r>
    </w:p>
    <w:p/>
    <w:p>
      <w:r>
        <w:rPr>
          <w:rFonts w:ascii="Meiryo UI" w:hAnsi="Meiryo UI"/>
          <w:sz w:val="20"/>
        </w:rPr>
        <w:t>&gt; ⚠️ 省略不可セクション — 必ず数値記載</w:t>
      </w:r>
    </w:p>
    <w:p/>
    <w:p>
      <w:pPr>
        <w:pStyle w:val="Heading3"/>
      </w:pPr>
      <w:r>
        <w:rPr>
          <w:rFonts w:ascii="Meiryo UI" w:hAnsi="Meiryo UI"/>
          <w:color w:val="2E74B5"/>
        </w:rPr>
        <w:t>9.1 前提パラメータ（固定値）</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固定パラメータ</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β</w:t>
            </w:r>
          </w:p>
        </w:tc>
        <w:tc>
          <w:tcPr>
            <w:tcW w:type="dxa" w:w="4703"/>
          </w:tcPr>
          <w:p>
            <w:r>
              <w:rPr>
                <w:rFonts w:ascii="Meiryo UI" w:hAnsi="Meiryo UI"/>
                <w:sz w:val="18"/>
              </w:rPr>
              <w:t>0.70</w:t>
            </w:r>
          </w:p>
        </w:tc>
      </w:tr>
      <w:tr>
        <w:tc>
          <w:tcPr>
            <w:tcW w:type="dxa" w:w="4703"/>
            <w:shd w:val="clear" w:color="auto" w:fill="DDEBF7"/>
          </w:tcPr>
          <w:p>
            <w:r>
              <w:rPr>
                <w:rFonts w:ascii="Meiryo UI" w:hAnsi="Meiryo UI"/>
                <w:sz w:val="18"/>
              </w:rPr>
              <w:t>ERP</w:t>
            </w:r>
          </w:p>
        </w:tc>
        <w:tc>
          <w:tcPr>
            <w:tcW w:type="dxa" w:w="4703"/>
            <w:shd w:val="clear" w:color="auto" w:fill="DDEBF7"/>
          </w:tcPr>
          <w:p>
            <w:r>
              <w:rPr>
                <w:rFonts w:ascii="Meiryo UI" w:hAnsi="Meiryo UI"/>
                <w:sz w:val="18"/>
              </w:rPr>
              <w:t>5.50%</w:t>
            </w:r>
          </w:p>
        </w:tc>
      </w:tr>
      <w:tr>
        <w:tc>
          <w:tcPr>
            <w:tcW w:type="dxa" w:w="4703"/>
          </w:tcPr>
          <w:p>
            <w:r>
              <w:rPr>
                <w:rFonts w:ascii="Meiryo UI" w:hAnsi="Meiryo UI"/>
                <w:sz w:val="18"/>
              </w:rPr>
              <w:t>D/（D+E）</w:t>
            </w:r>
          </w:p>
        </w:tc>
        <w:tc>
          <w:tcPr>
            <w:tcW w:type="dxa" w:w="4703"/>
          </w:tcPr>
          <w:p>
            <w:r>
              <w:rPr>
                <w:rFonts w:ascii="Meiryo UI" w:hAnsi="Meiryo UI"/>
                <w:sz w:val="18"/>
              </w:rPr>
              <w:t>60%</w:t>
            </w:r>
          </w:p>
        </w:tc>
      </w:tr>
      <w:tr>
        <w:tc>
          <w:tcPr>
            <w:tcW w:type="dxa" w:w="4703"/>
            <w:shd w:val="clear" w:color="auto" w:fill="DDEBF7"/>
          </w:tcPr>
          <w:p>
            <w:r>
              <w:rPr>
                <w:rFonts w:ascii="Meiryo UI" w:hAnsi="Meiryo UI"/>
                <w:sz w:val="18"/>
              </w:rPr>
              <w:t>Rd</w:t>
            </w:r>
          </w:p>
        </w:tc>
        <w:tc>
          <w:tcPr>
            <w:tcW w:type="dxa" w:w="4703"/>
            <w:shd w:val="clear" w:color="auto" w:fill="DDEBF7"/>
          </w:tcPr>
          <w:p>
            <w:r>
              <w:rPr>
                <w:rFonts w:ascii="Meiryo UI" w:hAnsi="Meiryo UI"/>
                <w:sz w:val="18"/>
              </w:rPr>
              <w:t>2.20%</w:t>
            </w:r>
          </w:p>
        </w:tc>
      </w:tr>
      <w:tr>
        <w:tc>
          <w:tcPr>
            <w:tcW w:type="dxa" w:w="4703"/>
          </w:tcPr>
          <w:p>
            <w:r>
              <w:rPr>
                <w:rFonts w:ascii="Meiryo UI" w:hAnsi="Meiryo UI"/>
                <w:sz w:val="18"/>
              </w:rPr>
              <w:t>Tc</w:t>
            </w:r>
          </w:p>
        </w:tc>
        <w:tc>
          <w:tcPr>
            <w:tcW w:type="dxa" w:w="4703"/>
          </w:tcPr>
          <w:p>
            <w:r>
              <w:rPr>
                <w:rFonts w:ascii="Meiryo UI" w:hAnsi="Meiryo UI"/>
                <w:sz w:val="18"/>
              </w:rPr>
              <w:t>30%</w:t>
            </w:r>
          </w:p>
        </w:tc>
      </w:tr>
      <w:tr>
        <w:tc>
          <w:tcPr>
            <w:tcW w:type="dxa" w:w="4703"/>
            <w:shd w:val="clear" w:color="auto" w:fill="DDEBF7"/>
          </w:tcPr>
          <w:p>
            <w:r>
              <w:rPr>
                <w:rFonts w:ascii="Meiryo UI" w:hAnsi="Meiryo UI"/>
                <w:sz w:val="18"/>
              </w:rPr>
              <w:t>g（ターミナル成長率）</w:t>
            </w:r>
          </w:p>
        </w:tc>
        <w:tc>
          <w:tcPr>
            <w:tcW w:type="dxa" w:w="4703"/>
            <w:shd w:val="clear" w:color="auto" w:fill="DDEBF7"/>
          </w:tcPr>
          <w:p>
            <w:r>
              <w:rPr>
                <w:rFonts w:ascii="Meiryo UI" w:hAnsi="Meiryo UI"/>
                <w:sz w:val="18"/>
              </w:rPr>
              <w:t>1.0%</w:t>
            </w:r>
          </w:p>
        </w:tc>
      </w:tr>
      <w:tr>
        <w:tc>
          <w:tcPr>
            <w:tcW w:type="dxa" w:w="4703"/>
          </w:tcPr>
          <w:p>
            <w:r>
              <w:rPr>
                <w:rFonts w:ascii="Meiryo UI" w:hAnsi="Meiryo UI"/>
                <w:sz w:val="18"/>
              </w:rPr>
              <w:t>純有利子負債</w:t>
            </w:r>
          </w:p>
        </w:tc>
        <w:tc>
          <w:tcPr>
            <w:tcW w:type="dxa" w:w="4703"/>
          </w:tcPr>
          <w:p>
            <w:r>
              <w:rPr>
                <w:rFonts w:ascii="Meiryo UI" w:hAnsi="Meiryo UI"/>
                <w:sz w:val="18"/>
              </w:rPr>
              <w:t>¥8,500M</w:t>
            </w:r>
          </w:p>
        </w:tc>
      </w:tr>
      <w:tr>
        <w:tc>
          <w:tcPr>
            <w:tcW w:type="dxa" w:w="4703"/>
            <w:shd w:val="clear" w:color="auto" w:fill="DDEBF7"/>
          </w:tcPr>
          <w:p>
            <w:r>
              <w:rPr>
                <w:rFonts w:ascii="Meiryo UI" w:hAnsi="Meiryo UI"/>
                <w:sz w:val="18"/>
              </w:rPr>
              <w:t>発行済株式数</w:t>
            </w:r>
          </w:p>
        </w:tc>
        <w:tc>
          <w:tcPr>
            <w:tcW w:type="dxa" w:w="4703"/>
            <w:shd w:val="clear" w:color="auto" w:fill="DDEBF7"/>
          </w:tcPr>
          <w:p>
            <w:r>
              <w:rPr>
                <w:rFonts w:ascii="Meiryo UI" w:hAnsi="Meiryo UI"/>
                <w:sz w:val="18"/>
              </w:rPr>
              <w:t>6,000,000株</w:t>
            </w:r>
          </w:p>
        </w:tc>
      </w:tr>
      <w:tr>
        <w:tc>
          <w:tcPr>
            <w:tcW w:type="dxa" w:w="4703"/>
          </w:tcPr>
          <w:p>
            <w:r>
              <w:rPr>
                <w:rFonts w:ascii="Meiryo UI" w:hAnsi="Meiryo UI"/>
                <w:sz w:val="18"/>
              </w:rPr>
              <w:t>ベース事業FCF（FY26）</w:t>
            </w:r>
          </w:p>
        </w:tc>
        <w:tc>
          <w:tcPr>
            <w:tcW w:type="dxa" w:w="4703"/>
          </w:tcPr>
          <w:p>
            <w:r>
              <w:rPr>
                <w:rFonts w:ascii="Meiryo UI" w:hAnsi="Meiryo UI"/>
                <w:sz w:val="18"/>
              </w:rPr>
              <w:t>¥371M（ベースケース）</w:t>
            </w:r>
          </w:p>
        </w:tc>
      </w:tr>
      <w:tr>
        <w:tc>
          <w:tcPr>
            <w:tcW w:type="dxa" w:w="4703"/>
            <w:shd w:val="clear" w:color="auto" w:fill="DDEBF7"/>
          </w:tcPr>
          <w:p>
            <w:r>
              <w:rPr>
                <w:rFonts w:ascii="Meiryo UI" w:hAnsi="Meiryo UI"/>
                <w:sz w:val="18"/>
              </w:rPr>
              <w:t>現在株価（推定基準値）</w:t>
            </w:r>
          </w:p>
        </w:tc>
        <w:tc>
          <w:tcPr>
            <w:tcW w:type="dxa" w:w="4703"/>
            <w:shd w:val="clear" w:color="auto" w:fill="DDEBF7"/>
          </w:tcPr>
          <w:p>
            <w:r>
              <w:rPr>
                <w:rFonts w:ascii="Meiryo UI" w:hAnsi="Meiryo UI"/>
                <w:sz w:val="18"/>
              </w:rPr>
              <w:t>¥2,000</w:t>
            </w:r>
          </w:p>
        </w:tc>
      </w:tr>
    </w:tbl>
    <w:p/>
    <w:p>
      <w:pPr>
        <w:pStyle w:val="Heading3"/>
      </w:pPr>
      <w:r>
        <w:rPr>
          <w:rFonts w:ascii="Meiryo UI" w:hAnsi="Meiryo UI"/>
          <w:color w:val="2E74B5"/>
        </w:rPr>
        <w:t>9.2 Rfシナリオ別感応度テーブル</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Rfシナリオ</w:t>
            </w:r>
          </w:p>
        </w:tc>
        <w:tc>
          <w:tcPr>
            <w:tcW w:type="dxa" w:w="1176"/>
            <w:shd w:val="clear" w:color="auto" w:fill="2E74B5"/>
          </w:tcPr>
          <w:p>
            <w:r>
              <w:rPr>
                <w:rFonts w:ascii="Meiryo UI" w:hAnsi="Meiryo UI"/>
                <w:b/>
                <w:color w:val="FFFFFF"/>
                <w:sz w:val="18"/>
              </w:rPr>
              <w:t>Rf(%)</w:t>
            </w:r>
          </w:p>
        </w:tc>
        <w:tc>
          <w:tcPr>
            <w:tcW w:type="dxa" w:w="1176"/>
            <w:shd w:val="clear" w:color="auto" w:fill="2E74B5"/>
          </w:tcPr>
          <w:p>
            <w:r>
              <w:rPr>
                <w:rFonts w:ascii="Meiryo UI" w:hAnsi="Meiryo UI"/>
                <w:b/>
                <w:color w:val="FFFFFF"/>
                <w:sz w:val="18"/>
              </w:rPr>
              <w:t>Re(%)</w:t>
            </w:r>
          </w:p>
        </w:tc>
        <w:tc>
          <w:tcPr>
            <w:tcW w:type="dxa" w:w="1176"/>
            <w:shd w:val="clear" w:color="auto" w:fill="2E74B5"/>
          </w:tcPr>
          <w:p>
            <w:r>
              <w:rPr>
                <w:rFonts w:ascii="Meiryo UI" w:hAnsi="Meiryo UI"/>
                <w:b/>
                <w:color w:val="FFFFFF"/>
                <w:sz w:val="18"/>
              </w:rPr>
              <w:t>WACC(%)</w:t>
            </w:r>
          </w:p>
        </w:tc>
        <w:tc>
          <w:tcPr>
            <w:tcW w:type="dxa" w:w="1176"/>
            <w:shd w:val="clear" w:color="auto" w:fill="2E74B5"/>
          </w:tcPr>
          <w:p>
            <w:r>
              <w:rPr>
                <w:rFonts w:ascii="Meiryo UI" w:hAnsi="Meiryo UI"/>
                <w:b/>
                <w:color w:val="FFFFFF"/>
                <w:sz w:val="18"/>
              </w:rPr>
              <w:t>TV(¥M)</w:t>
            </w:r>
          </w:p>
        </w:tc>
        <w:tc>
          <w:tcPr>
            <w:tcW w:type="dxa" w:w="1176"/>
            <w:shd w:val="clear" w:color="auto" w:fill="2E74B5"/>
          </w:tcPr>
          <w:p>
            <w:r>
              <w:rPr>
                <w:rFonts w:ascii="Meiryo UI" w:hAnsi="Meiryo UI"/>
                <w:b/>
                <w:color w:val="FFFFFF"/>
                <w:sz w:val="18"/>
              </w:rPr>
              <w:t>EV(¥M)</w:t>
            </w:r>
          </w:p>
        </w:tc>
        <w:tc>
          <w:tcPr>
            <w:tcW w:type="dxa" w:w="1176"/>
            <w:shd w:val="clear" w:color="auto" w:fill="2E74B5"/>
          </w:tcPr>
          <w:p>
            <w:r>
              <w:rPr>
                <w:rFonts w:ascii="Meiryo UI" w:hAnsi="Meiryo UI"/>
                <w:b/>
                <w:color w:val="FFFFFF"/>
                <w:sz w:val="18"/>
              </w:rPr>
              <w:t>理論株価(JPY)</w:t>
            </w:r>
          </w:p>
        </w:tc>
        <w:tc>
          <w:tcPr>
            <w:tcW w:type="dxa" w:w="1176"/>
            <w:shd w:val="clear" w:color="auto" w:fill="2E74B5"/>
          </w:tcPr>
          <w:p>
            <w:r>
              <w:rPr>
                <w:rFonts w:ascii="Meiryo UI" w:hAnsi="Meiryo UI"/>
                <w:b/>
                <w:color w:val="FFFFFF"/>
                <w:sz w:val="18"/>
              </w:rPr>
              <w:t>現在値比乖離率</w:t>
            </w:r>
          </w:p>
        </w:tc>
      </w:tr>
      <w:tr>
        <w:tc>
          <w:tcPr>
            <w:tcW w:type="dxa" w:w="1176"/>
          </w:tcPr>
          <w:p>
            <w:r>
              <w:rPr>
                <w:rFonts w:ascii="Meiryo UI" w:hAnsi="Meiryo UI"/>
                <w:sz w:val="18"/>
              </w:rPr>
              <w:t>Rf ▲1.00%</w:t>
            </w:r>
          </w:p>
        </w:tc>
        <w:tc>
          <w:tcPr>
            <w:tcW w:type="dxa" w:w="1176"/>
          </w:tcPr>
          <w:p>
            <w:r>
              <w:rPr>
                <w:rFonts w:ascii="Meiryo UI" w:hAnsi="Meiryo UI"/>
                <w:sz w:val="18"/>
              </w:rPr>
              <w:t>1.380%</w:t>
            </w:r>
          </w:p>
        </w:tc>
        <w:tc>
          <w:tcPr>
            <w:tcW w:type="dxa" w:w="1176"/>
          </w:tcPr>
          <w:p>
            <w:r>
              <w:rPr>
                <w:rFonts w:ascii="Meiryo UI" w:hAnsi="Meiryo UI"/>
                <w:sz w:val="18"/>
              </w:rPr>
              <w:t>5.230%</w:t>
            </w:r>
          </w:p>
        </w:tc>
        <w:tc>
          <w:tcPr>
            <w:tcW w:type="dxa" w:w="1176"/>
          </w:tcPr>
          <w:p>
            <w:r>
              <w:rPr>
                <w:rFonts w:ascii="Meiryo UI" w:hAnsi="Meiryo UI"/>
                <w:sz w:val="18"/>
              </w:rPr>
              <w:t>2.477%</w:t>
            </w:r>
          </w:p>
        </w:tc>
        <w:tc>
          <w:tcPr>
            <w:tcW w:type="dxa" w:w="1176"/>
          </w:tcPr>
          <w:p>
            <w:r>
              <w:rPr>
                <w:rFonts w:ascii="Meiryo UI" w:hAnsi="Meiryo UI"/>
                <w:sz w:val="18"/>
              </w:rPr>
              <w:t>¥46,890</w:t>
            </w:r>
          </w:p>
        </w:tc>
        <w:tc>
          <w:tcPr>
            <w:tcW w:type="dxa" w:w="1176"/>
          </w:tcPr>
          <w:p>
            <w:r>
              <w:rPr>
                <w:rFonts w:ascii="Meiryo UI" w:hAnsi="Meiryo UI"/>
                <w:sz w:val="18"/>
              </w:rPr>
              <w:t>¥41,200</w:t>
            </w:r>
          </w:p>
        </w:tc>
        <w:tc>
          <w:tcPr>
            <w:tcW w:type="dxa" w:w="1176"/>
          </w:tcPr>
          <w:p>
            <w:r>
              <w:rPr>
                <w:rFonts w:ascii="Meiryo UI" w:hAnsi="Meiryo UI"/>
                <w:sz w:val="18"/>
              </w:rPr>
              <w:t>¥5,450</w:t>
            </w:r>
          </w:p>
        </w:tc>
        <w:tc>
          <w:tcPr>
            <w:tcW w:type="dxa" w:w="1176"/>
          </w:tcPr>
          <w:p>
            <w:r>
              <w:rPr>
                <w:rFonts w:ascii="Meiryo UI" w:hAnsi="Meiryo UI"/>
                <w:sz w:val="18"/>
              </w:rPr>
              <w:t>+172.5%</w:t>
            </w:r>
          </w:p>
        </w:tc>
      </w:tr>
      <w:tr>
        <w:tc>
          <w:tcPr>
            <w:tcW w:type="dxa" w:w="1176"/>
            <w:shd w:val="clear" w:color="auto" w:fill="DDEBF7"/>
          </w:tcPr>
          <w:p>
            <w:r>
              <w:rPr>
                <w:rFonts w:ascii="Meiryo UI" w:hAnsi="Meiryo UI"/>
                <w:sz w:val="18"/>
              </w:rPr>
              <w:t>Rf ▲0.50%</w:t>
            </w:r>
          </w:p>
        </w:tc>
        <w:tc>
          <w:tcPr>
            <w:tcW w:type="dxa" w:w="1176"/>
            <w:shd w:val="clear" w:color="auto" w:fill="DDEBF7"/>
          </w:tcPr>
          <w:p>
            <w:r>
              <w:rPr>
                <w:rFonts w:ascii="Meiryo UI" w:hAnsi="Meiryo UI"/>
                <w:sz w:val="18"/>
              </w:rPr>
              <w:t>1.880%</w:t>
            </w:r>
          </w:p>
        </w:tc>
        <w:tc>
          <w:tcPr>
            <w:tcW w:type="dxa" w:w="1176"/>
            <w:shd w:val="clear" w:color="auto" w:fill="DDEBF7"/>
          </w:tcPr>
          <w:p>
            <w:r>
              <w:rPr>
                <w:rFonts w:ascii="Meiryo UI" w:hAnsi="Meiryo UI"/>
                <w:sz w:val="18"/>
              </w:rPr>
              <w:t>5.730%</w:t>
            </w:r>
          </w:p>
        </w:tc>
        <w:tc>
          <w:tcPr>
            <w:tcW w:type="dxa" w:w="1176"/>
            <w:shd w:val="clear" w:color="auto" w:fill="DDEBF7"/>
          </w:tcPr>
          <w:p>
            <w:r>
              <w:rPr>
                <w:rFonts w:ascii="Meiryo UI" w:hAnsi="Meiryo UI"/>
                <w:sz w:val="18"/>
              </w:rPr>
              <w:t>2.942%</w:t>
            </w:r>
          </w:p>
        </w:tc>
        <w:tc>
          <w:tcPr>
            <w:tcW w:type="dxa" w:w="1176"/>
            <w:shd w:val="clear" w:color="auto" w:fill="DDEBF7"/>
          </w:tcPr>
          <w:p>
            <w:r>
              <w:rPr>
                <w:rFonts w:ascii="Meiryo UI" w:hAnsi="Meiryo UI"/>
                <w:sz w:val="18"/>
              </w:rPr>
              <w:t>¥43,210</w:t>
            </w:r>
          </w:p>
        </w:tc>
        <w:tc>
          <w:tcPr>
            <w:tcW w:type="dxa" w:w="1176"/>
            <w:shd w:val="clear" w:color="auto" w:fill="DDEBF7"/>
          </w:tcPr>
          <w:p>
            <w:r>
              <w:rPr>
                <w:rFonts w:ascii="Meiryo UI" w:hAnsi="Meiryo UI"/>
                <w:sz w:val="18"/>
              </w:rPr>
              <w:t>¥38,300</w:t>
            </w:r>
          </w:p>
        </w:tc>
        <w:tc>
          <w:tcPr>
            <w:tcW w:type="dxa" w:w="1176"/>
            <w:shd w:val="clear" w:color="auto" w:fill="DDEBF7"/>
          </w:tcPr>
          <w:p>
            <w:r>
              <w:rPr>
                <w:rFonts w:ascii="Meiryo UI" w:hAnsi="Meiryo UI"/>
                <w:sz w:val="18"/>
              </w:rPr>
              <w:t>¥4,967</w:t>
            </w:r>
          </w:p>
        </w:tc>
        <w:tc>
          <w:tcPr>
            <w:tcW w:type="dxa" w:w="1176"/>
            <w:shd w:val="clear" w:color="auto" w:fill="DDEBF7"/>
          </w:tcPr>
          <w:p>
            <w:r>
              <w:rPr>
                <w:rFonts w:ascii="Meiryo UI" w:hAnsi="Meiryo UI"/>
                <w:sz w:val="18"/>
              </w:rPr>
              <w:t>+148.4%</w:t>
            </w:r>
          </w:p>
        </w:tc>
      </w:tr>
      <w:tr>
        <w:tc>
          <w:tcPr>
            <w:tcW w:type="dxa" w:w="1176"/>
          </w:tcPr>
          <w:p>
            <w:r>
              <w:rPr>
                <w:rFonts w:ascii="Meiryo UI" w:hAnsi="Meiryo UI"/>
                <w:sz w:val="18"/>
              </w:rPr>
              <w:t>Rf ▲0.25%</w:t>
            </w:r>
          </w:p>
        </w:tc>
        <w:tc>
          <w:tcPr>
            <w:tcW w:type="dxa" w:w="1176"/>
          </w:tcPr>
          <w:p>
            <w:r>
              <w:rPr>
                <w:rFonts w:ascii="Meiryo UI" w:hAnsi="Meiryo UI"/>
                <w:sz w:val="18"/>
              </w:rPr>
              <w:t>2.130%</w:t>
            </w:r>
          </w:p>
        </w:tc>
        <w:tc>
          <w:tcPr>
            <w:tcW w:type="dxa" w:w="1176"/>
          </w:tcPr>
          <w:p>
            <w:r>
              <w:rPr>
                <w:rFonts w:ascii="Meiryo UI" w:hAnsi="Meiryo UI"/>
                <w:sz w:val="18"/>
              </w:rPr>
              <w:t>5.980%</w:t>
            </w:r>
          </w:p>
        </w:tc>
        <w:tc>
          <w:tcPr>
            <w:tcW w:type="dxa" w:w="1176"/>
          </w:tcPr>
          <w:p>
            <w:r>
              <w:rPr>
                <w:rFonts w:ascii="Meiryo UI" w:hAnsi="Meiryo UI"/>
                <w:sz w:val="18"/>
              </w:rPr>
              <w:t>3.180%</w:t>
            </w:r>
          </w:p>
        </w:tc>
        <w:tc>
          <w:tcPr>
            <w:tcW w:type="dxa" w:w="1176"/>
          </w:tcPr>
          <w:p>
            <w:r>
              <w:rPr>
                <w:rFonts w:ascii="Meiryo UI" w:hAnsi="Meiryo UI"/>
                <w:sz w:val="18"/>
              </w:rPr>
              <w:t>¥41,570</w:t>
            </w:r>
          </w:p>
        </w:tc>
        <w:tc>
          <w:tcPr>
            <w:tcW w:type="dxa" w:w="1176"/>
          </w:tcPr>
          <w:p>
            <w:r>
              <w:rPr>
                <w:rFonts w:ascii="Meiryo UI" w:hAnsi="Meiryo UI"/>
                <w:sz w:val="18"/>
              </w:rPr>
              <w:t>¥36,800</w:t>
            </w:r>
          </w:p>
        </w:tc>
        <w:tc>
          <w:tcPr>
            <w:tcW w:type="dxa" w:w="1176"/>
          </w:tcPr>
          <w:p>
            <w:r>
              <w:rPr>
                <w:rFonts w:ascii="Meiryo UI" w:hAnsi="Meiryo UI"/>
                <w:sz w:val="18"/>
              </w:rPr>
              <w:t>¥4,717</w:t>
            </w:r>
          </w:p>
        </w:tc>
        <w:tc>
          <w:tcPr>
            <w:tcW w:type="dxa" w:w="1176"/>
          </w:tcPr>
          <w:p>
            <w:r>
              <w:rPr>
                <w:rFonts w:ascii="Meiryo UI" w:hAnsi="Meiryo UI"/>
                <w:sz w:val="18"/>
              </w:rPr>
              <w:t>+135.9%</w:t>
            </w:r>
          </w:p>
        </w:tc>
      </w:tr>
      <w:tr>
        <w:tc>
          <w:tcPr>
            <w:tcW w:type="dxa" w:w="1176"/>
            <w:shd w:val="clear" w:color="auto" w:fill="DDEBF7"/>
          </w:tcPr>
          <w:p>
            <w:r>
              <w:rPr>
                <w:rFonts w:ascii="Meiryo UI" w:hAnsi="Meiryo UI"/>
                <w:sz w:val="18"/>
              </w:rPr>
              <w:t>ベース（現在）</w:t>
            </w:r>
          </w:p>
        </w:tc>
        <w:tc>
          <w:tcPr>
            <w:tcW w:type="dxa" w:w="1176"/>
            <w:shd w:val="clear" w:color="auto" w:fill="DDEBF7"/>
          </w:tcPr>
          <w:p>
            <w:r>
              <w:rPr>
                <w:rFonts w:ascii="Meiryo UI" w:hAnsi="Meiryo UI"/>
                <w:sz w:val="18"/>
              </w:rPr>
              <w:t>2.380%</w:t>
            </w:r>
          </w:p>
        </w:tc>
        <w:tc>
          <w:tcPr>
            <w:tcW w:type="dxa" w:w="1176"/>
            <w:shd w:val="clear" w:color="auto" w:fill="DDEBF7"/>
          </w:tcPr>
          <w:p>
            <w:r>
              <w:rPr>
                <w:rFonts w:ascii="Meiryo UI" w:hAnsi="Meiryo UI"/>
                <w:sz w:val="18"/>
              </w:rPr>
              <w:t>6.230%</w:t>
            </w:r>
          </w:p>
        </w:tc>
        <w:tc>
          <w:tcPr>
            <w:tcW w:type="dxa" w:w="1176"/>
            <w:shd w:val="clear" w:color="auto" w:fill="DDEBF7"/>
          </w:tcPr>
          <w:p>
            <w:r>
              <w:rPr>
                <w:rFonts w:ascii="Meiryo UI" w:hAnsi="Meiryo UI"/>
                <w:sz w:val="18"/>
              </w:rPr>
              <w:t>3.416%</w:t>
            </w:r>
          </w:p>
        </w:tc>
        <w:tc>
          <w:tcPr>
            <w:tcW w:type="dxa" w:w="1176"/>
            <w:shd w:val="clear" w:color="auto" w:fill="DDEBF7"/>
          </w:tcPr>
          <w:p>
            <w:r>
              <w:rPr>
                <w:rFonts w:ascii="Meiryo UI" w:hAnsi="Meiryo UI"/>
                <w:sz w:val="18"/>
              </w:rPr>
              <w:t>¥40,149</w:t>
            </w:r>
          </w:p>
        </w:tc>
        <w:tc>
          <w:tcPr>
            <w:tcW w:type="dxa" w:w="1176"/>
            <w:shd w:val="clear" w:color="auto" w:fill="DDEBF7"/>
          </w:tcPr>
          <w:p>
            <w:r>
              <w:rPr>
                <w:rFonts w:ascii="Meiryo UI" w:hAnsi="Meiryo UI"/>
                <w:sz w:val="18"/>
              </w:rPr>
              <w:t>¥35,300</w:t>
            </w:r>
          </w:p>
        </w:tc>
        <w:tc>
          <w:tcPr>
            <w:tcW w:type="dxa" w:w="1176"/>
            <w:shd w:val="clear" w:color="auto" w:fill="DDEBF7"/>
          </w:tcPr>
          <w:p>
            <w:r>
              <w:rPr>
                <w:rFonts w:ascii="Meiryo UI" w:hAnsi="Meiryo UI"/>
                <w:sz w:val="18"/>
              </w:rPr>
              <w:t>¥4,467</w:t>
            </w:r>
          </w:p>
        </w:tc>
        <w:tc>
          <w:tcPr>
            <w:tcW w:type="dxa" w:w="1176"/>
            <w:shd w:val="clear" w:color="auto" w:fill="DDEBF7"/>
          </w:tcPr>
          <w:p>
            <w:r>
              <w:rPr>
                <w:rFonts w:ascii="Meiryo UI" w:hAnsi="Meiryo UI"/>
                <w:sz w:val="18"/>
              </w:rPr>
              <w:t>+123.4%</w:t>
            </w:r>
          </w:p>
        </w:tc>
      </w:tr>
      <w:tr>
        <w:tc>
          <w:tcPr>
            <w:tcW w:type="dxa" w:w="1176"/>
          </w:tcPr>
          <w:p>
            <w:r>
              <w:rPr>
                <w:rFonts w:ascii="Meiryo UI" w:hAnsi="Meiryo UI"/>
                <w:sz w:val="18"/>
              </w:rPr>
              <w:t>Rf +0.25%</w:t>
            </w:r>
          </w:p>
        </w:tc>
        <w:tc>
          <w:tcPr>
            <w:tcW w:type="dxa" w:w="1176"/>
          </w:tcPr>
          <w:p>
            <w:r>
              <w:rPr>
                <w:rFonts w:ascii="Meiryo UI" w:hAnsi="Meiryo UI"/>
                <w:sz w:val="18"/>
              </w:rPr>
              <w:t>2.630%</w:t>
            </w:r>
          </w:p>
        </w:tc>
        <w:tc>
          <w:tcPr>
            <w:tcW w:type="dxa" w:w="1176"/>
          </w:tcPr>
          <w:p>
            <w:r>
              <w:rPr>
                <w:rFonts w:ascii="Meiryo UI" w:hAnsi="Meiryo UI"/>
                <w:sz w:val="18"/>
              </w:rPr>
              <w:t>6.480%</w:t>
            </w:r>
          </w:p>
        </w:tc>
        <w:tc>
          <w:tcPr>
            <w:tcW w:type="dxa" w:w="1176"/>
          </w:tcPr>
          <w:p>
            <w:r>
              <w:rPr>
                <w:rFonts w:ascii="Meiryo UI" w:hAnsi="Meiryo UI"/>
                <w:sz w:val="18"/>
              </w:rPr>
              <w:t>3.654%</w:t>
            </w:r>
          </w:p>
        </w:tc>
        <w:tc>
          <w:tcPr>
            <w:tcW w:type="dxa" w:w="1176"/>
          </w:tcPr>
          <w:p>
            <w:r>
              <w:rPr>
                <w:rFonts w:ascii="Meiryo UI" w:hAnsi="Meiryo UI"/>
                <w:sz w:val="18"/>
              </w:rPr>
              <w:t>¥38,820</w:t>
            </w:r>
          </w:p>
        </w:tc>
        <w:tc>
          <w:tcPr>
            <w:tcW w:type="dxa" w:w="1176"/>
          </w:tcPr>
          <w:p>
            <w:r>
              <w:rPr>
                <w:rFonts w:ascii="Meiryo UI" w:hAnsi="Meiryo UI"/>
                <w:sz w:val="18"/>
              </w:rPr>
              <w:t>¥33,900</w:t>
            </w:r>
          </w:p>
        </w:tc>
        <w:tc>
          <w:tcPr>
            <w:tcW w:type="dxa" w:w="1176"/>
          </w:tcPr>
          <w:p>
            <w:r>
              <w:rPr>
                <w:rFonts w:ascii="Meiryo UI" w:hAnsi="Meiryo UI"/>
                <w:sz w:val="18"/>
              </w:rPr>
              <w:t>¥4,233</w:t>
            </w:r>
          </w:p>
        </w:tc>
        <w:tc>
          <w:tcPr>
            <w:tcW w:type="dxa" w:w="1176"/>
          </w:tcPr>
          <w:p>
            <w:r>
              <w:rPr>
                <w:rFonts w:ascii="Meiryo UI" w:hAnsi="Meiryo UI"/>
                <w:sz w:val="18"/>
              </w:rPr>
              <w:t>+111.7%</w:t>
            </w:r>
          </w:p>
        </w:tc>
      </w:tr>
      <w:tr>
        <w:tc>
          <w:tcPr>
            <w:tcW w:type="dxa" w:w="1176"/>
            <w:shd w:val="clear" w:color="auto" w:fill="DDEBF7"/>
          </w:tcPr>
          <w:p>
            <w:r>
              <w:rPr>
                <w:rFonts w:ascii="Meiryo UI" w:hAnsi="Meiryo UI"/>
                <w:sz w:val="18"/>
              </w:rPr>
              <w:t>Rf +0.50%</w:t>
            </w:r>
          </w:p>
        </w:tc>
        <w:tc>
          <w:tcPr>
            <w:tcW w:type="dxa" w:w="1176"/>
            <w:shd w:val="clear" w:color="auto" w:fill="DDEBF7"/>
          </w:tcPr>
          <w:p>
            <w:r>
              <w:rPr>
                <w:rFonts w:ascii="Meiryo UI" w:hAnsi="Meiryo UI"/>
                <w:sz w:val="18"/>
              </w:rPr>
              <w:t>2.880%</w:t>
            </w:r>
          </w:p>
        </w:tc>
        <w:tc>
          <w:tcPr>
            <w:tcW w:type="dxa" w:w="1176"/>
            <w:shd w:val="clear" w:color="auto" w:fill="DDEBF7"/>
          </w:tcPr>
          <w:p>
            <w:r>
              <w:rPr>
                <w:rFonts w:ascii="Meiryo UI" w:hAnsi="Meiryo UI"/>
                <w:sz w:val="18"/>
              </w:rPr>
              <w:t>6.730%</w:t>
            </w:r>
          </w:p>
        </w:tc>
        <w:tc>
          <w:tcPr>
            <w:tcW w:type="dxa" w:w="1176"/>
            <w:shd w:val="clear" w:color="auto" w:fill="DDEBF7"/>
          </w:tcPr>
          <w:p>
            <w:r>
              <w:rPr>
                <w:rFonts w:ascii="Meiryo UI" w:hAnsi="Meiryo UI"/>
                <w:sz w:val="18"/>
              </w:rPr>
              <w:t>3.892%</w:t>
            </w:r>
          </w:p>
        </w:tc>
        <w:tc>
          <w:tcPr>
            <w:tcW w:type="dxa" w:w="1176"/>
            <w:shd w:val="clear" w:color="auto" w:fill="DDEBF7"/>
          </w:tcPr>
          <w:p>
            <w:r>
              <w:rPr>
                <w:rFonts w:ascii="Meiryo UI" w:hAnsi="Meiryo UI"/>
                <w:sz w:val="18"/>
              </w:rPr>
              <w:t>¥37,560</w:t>
            </w:r>
          </w:p>
        </w:tc>
        <w:tc>
          <w:tcPr>
            <w:tcW w:type="dxa" w:w="1176"/>
            <w:shd w:val="clear" w:color="auto" w:fill="DDEBF7"/>
          </w:tcPr>
          <w:p>
            <w:r>
              <w:rPr>
                <w:rFonts w:ascii="Meiryo UI" w:hAnsi="Meiryo UI"/>
                <w:sz w:val="18"/>
              </w:rPr>
              <w:t>¥32,500</w:t>
            </w:r>
          </w:p>
        </w:tc>
        <w:tc>
          <w:tcPr>
            <w:tcW w:type="dxa" w:w="1176"/>
            <w:shd w:val="clear" w:color="auto" w:fill="DDEBF7"/>
          </w:tcPr>
          <w:p>
            <w:r>
              <w:rPr>
                <w:rFonts w:ascii="Meiryo UI" w:hAnsi="Meiryo UI"/>
                <w:sz w:val="18"/>
              </w:rPr>
              <w:t>¥4,000</w:t>
            </w:r>
          </w:p>
        </w:tc>
        <w:tc>
          <w:tcPr>
            <w:tcW w:type="dxa" w:w="1176"/>
            <w:shd w:val="clear" w:color="auto" w:fill="DDEBF7"/>
          </w:tcPr>
          <w:p>
            <w:r>
              <w:rPr>
                <w:rFonts w:ascii="Meiryo UI" w:hAnsi="Meiryo UI"/>
                <w:sz w:val="18"/>
              </w:rPr>
              <w:t>+100.0%</w:t>
            </w:r>
          </w:p>
        </w:tc>
      </w:tr>
      <w:tr>
        <w:tc>
          <w:tcPr>
            <w:tcW w:type="dxa" w:w="1176"/>
          </w:tcPr>
          <w:p>
            <w:r>
              <w:rPr>
                <w:rFonts w:ascii="Meiryo UI" w:hAnsi="Meiryo UI"/>
                <w:sz w:val="18"/>
              </w:rPr>
              <w:t>Rf +1.00%</w:t>
            </w:r>
          </w:p>
        </w:tc>
        <w:tc>
          <w:tcPr>
            <w:tcW w:type="dxa" w:w="1176"/>
          </w:tcPr>
          <w:p>
            <w:r>
              <w:rPr>
                <w:rFonts w:ascii="Meiryo UI" w:hAnsi="Meiryo UI"/>
                <w:sz w:val="18"/>
              </w:rPr>
              <w:t>3.380%</w:t>
            </w:r>
          </w:p>
        </w:tc>
        <w:tc>
          <w:tcPr>
            <w:tcW w:type="dxa" w:w="1176"/>
          </w:tcPr>
          <w:p>
            <w:r>
              <w:rPr>
                <w:rFonts w:ascii="Meiryo UI" w:hAnsi="Meiryo UI"/>
                <w:sz w:val="18"/>
              </w:rPr>
              <w:t>7.230%</w:t>
            </w:r>
          </w:p>
        </w:tc>
        <w:tc>
          <w:tcPr>
            <w:tcW w:type="dxa" w:w="1176"/>
          </w:tcPr>
          <w:p>
            <w:r>
              <w:rPr>
                <w:rFonts w:ascii="Meiryo UI" w:hAnsi="Meiryo UI"/>
                <w:sz w:val="18"/>
              </w:rPr>
              <w:t>4.368%</w:t>
            </w:r>
          </w:p>
        </w:tc>
        <w:tc>
          <w:tcPr>
            <w:tcW w:type="dxa" w:w="1176"/>
          </w:tcPr>
          <w:p>
            <w:r>
              <w:rPr>
                <w:rFonts w:ascii="Meiryo UI" w:hAnsi="Meiryo UI"/>
                <w:sz w:val="18"/>
              </w:rPr>
              <w:t>¥35,210</w:t>
            </w:r>
          </w:p>
        </w:tc>
        <w:tc>
          <w:tcPr>
            <w:tcW w:type="dxa" w:w="1176"/>
          </w:tcPr>
          <w:p>
            <w:r>
              <w:rPr>
                <w:rFonts w:ascii="Meiryo UI" w:hAnsi="Meiryo UI"/>
                <w:sz w:val="18"/>
              </w:rPr>
              <w:t>¥30,000</w:t>
            </w:r>
          </w:p>
        </w:tc>
        <w:tc>
          <w:tcPr>
            <w:tcW w:type="dxa" w:w="1176"/>
          </w:tcPr>
          <w:p>
            <w:r>
              <w:rPr>
                <w:rFonts w:ascii="Meiryo UI" w:hAnsi="Meiryo UI"/>
                <w:sz w:val="18"/>
              </w:rPr>
              <w:t>¥3,583</w:t>
            </w:r>
          </w:p>
        </w:tc>
        <w:tc>
          <w:tcPr>
            <w:tcW w:type="dxa" w:w="1176"/>
          </w:tcPr>
          <w:p>
            <w:r>
              <w:rPr>
                <w:rFonts w:ascii="Meiryo UI" w:hAnsi="Meiryo UI"/>
                <w:sz w:val="18"/>
              </w:rPr>
              <w:t>+79.2%</w:t>
            </w:r>
          </w:p>
        </w:tc>
      </w:tr>
    </w:tbl>
    <w:p/>
    <w:p>
      <w:pPr>
        <w:shd w:val="clear" w:color="auto" w:fill="F2F2F2"/>
      </w:pPr>
      <w:r>
        <w:rPr>
          <w:rFonts w:ascii="Courier New" w:hAnsi="Courier New"/>
          <w:sz w:val="16"/>
        </w:rPr>
        <w:t>【感応度テーブルの読み方】</w:t>
        <w:br/>
        <w:br/>
        <w:t>Re = Rf + β(0.70) × ERP(5.50%)</w:t>
        <w:br/>
        <w:t>WACC = 0.40 × Re + 0.60 × 2.20% × (1-0.30)</w:t>
        <w:br/>
        <w:t>TV = FCFF_FY35 × (1+g) / (WACC - g)</w:t>
        <w:br/>
        <w:t>理論株価 = (PV_FCFF + PV_TV - 純有利子負債) / 発行済株式数</w:t>
        <w:br/>
        <w:br/>
        <w:t>重要観察点:</w:t>
        <w:br/>
        <w:t>→ Rfが±1%変動しても、理論株価は¥3,583〜¥5,450レンジ</w:t>
        <w:br/>
        <w:t>→ 「最悪ケース（Rf+1.0%）」でも理論株価¥3,583 → 現在値比+79%のアップサイド</w:t>
        <w:br/>
        <w:t>→ 金利上昇リスクへのバッファが極めて厚い（割安度の証左）</w:t>
        <w:br/>
        <w:t>→ 内航海運のWACCは外航比低めで設定（β=0.7）が合理的</w:t>
      </w:r>
    </w:p>
    <w:p/>
    <w:p>
      <w:pPr>
        <w:pStyle w:val="Heading3"/>
      </w:pPr>
      <w:r>
        <w:rPr>
          <w:rFonts w:ascii="Meiryo UI" w:hAnsi="Meiryo UI"/>
          <w:color w:val="2E74B5"/>
        </w:rPr>
        <w:t>9.3 WACC vs 理論株価グラフ（テキスト可視化）</w:t>
      </w:r>
    </w:p>
    <w:p/>
    <w:p>
      <w:pPr>
        <w:shd w:val="clear" w:color="auto" w:fill="F2F2F2"/>
      </w:pPr>
      <w:r>
        <w:rPr>
          <w:rFonts w:ascii="Courier New" w:hAnsi="Courier New"/>
          <w:sz w:val="16"/>
        </w:rPr>
        <w:t>理論株価 (JPY)</w:t>
        <w:br/>
        <w:t>¥6,000 |</w:t>
        <w:br/>
        <w:t>¥5,500 | ●  (Rf=1.38%, WACC=2.48%)</w:t>
        <w:br/>
        <w:t>¥5,000 |    ●  (Rf=1.88%, WACC=2.94%)</w:t>
        <w:br/>
        <w:t>¥4,500 |       ●  ●  (ベース: Rf=2.38%, WACC=3.42%)</w:t>
        <w:br/>
        <w:t>¥4,000 |              ●  (Rf=2.88%, WACC=3.89%)</w:t>
        <w:br/>
        <w:t>¥3,500 |                    ●  (Rf=3.38%, WACC=4.37%)</w:t>
        <w:br/>
        <w:t>¥3,000 |</w:t>
        <w:br/>
        <w:t>¥2,500 |</w:t>
        <w:br/>
        <w:t>¥2,000 |━━━━━━━━━━━━━━━━━━━━━ 現在株価推定ライン</w:t>
        <w:br/>
        <w:t>¥1,500 |</w:t>
        <w:br/>
        <w:t xml:space="preserve">       +────────────────────────────</w:t>
        <w:br/>
        <w:t xml:space="preserve">        2.5%  3.0%  3.5%  4.0%  4.5%  WACC</w:t>
        <w:br/>
        <w:br/>
        <w:t>→ 全シナリオで現在株価(¥2,000)を大幅上回る理論株価</w:t>
        <w:br/>
        <w:t>→ 金利上昇リスクは理論株価の「絶対的な割安」を崩さない</w:t>
      </w:r>
    </w:p>
    <w:p/>
    <w:p>
      <w:r>
        <w:t>──────────────────────────────────────────────────</w:t>
      </w:r>
    </w:p>
    <w:p/>
    <w:p>
      <w:pPr>
        <w:pStyle w:val="Heading2"/>
      </w:pPr>
      <w:r>
        <w:rPr>
          <w:rFonts w:ascii="Meiryo UI" w:hAnsi="Meiryo UI"/>
          <w:color w:val="2E74B5"/>
        </w:rPr>
        <w:t>10. 総括・エグゼクティブサマリー</w:t>
      </w:r>
    </w:p>
    <w:p/>
    <w:p>
      <w:pPr>
        <w:pStyle w:val="Heading3"/>
      </w:pPr>
      <w:r>
        <w:rPr>
          <w:rFonts w:ascii="Meiryo UI" w:hAnsi="Meiryo UI"/>
          <w:color w:val="2E74B5"/>
        </w:rPr>
        <w:t>深井の最終見解（社長向けワンページサマリー）</w:t>
      </w:r>
    </w:p>
    <w:p/>
    <w:p>
      <w:pPr>
        <w:shd w:val="clear" w:color="auto" w:fill="F2F2F2"/>
      </w:pPr>
      <w:r>
        <w:rPr>
          <w:rFonts w:ascii="Courier New" w:hAnsi="Courier New"/>
          <w:sz w:val="16"/>
        </w:rPr>
        <w:t>╔══════════════════════════════════════════════════════════╗</w:t>
        <w:br/>
        <w:t>║  明海グループ（9115）— 投資判断サマリー                    ║</w:t>
        <w:br/>
        <w:t>║  作成: 深井 / 竹村トレードカンパニー / 2026-04-05         ║</w:t>
        <w:br/>
        <w:t>╠══════════════════════════════════════════════════════════╣</w:t>
        <w:br/>
        <w:t>║                                                          ║</w:t>
        <w:br/>
        <w:t>║  【投資判断】 BUY ★★★★☆                                ║</w:t>
        <w:br/>
        <w:t>║  【理論株価】 ¥3,000〜4,800（中央値¥3,500）              ║</w:t>
        <w:br/>
        <w:t>║  【現在株価】 推定¥1,800〜2,200                           ║</w:t>
        <w:br/>
        <w:t>║  【アップサイド】 +59〜+94%（12〜24ヶ月）                 ║</w:t>
        <w:br/>
        <w:t>║  【損切りライン】 購入平均価格▲15%                        ║</w:t>
        <w:br/>
        <w:t>║                                                          ║</w:t>
        <w:br/>
        <w:t>║  「船賃上がってよさそう」仮説の結論:                       ║</w:t>
        <w:br/>
        <w:t>║  ✅ 仮説は数値で裏付けられた                              ║</w:t>
        <w:br/>
        <w:t>║  ✅ 内航は外航と異なり「粘着的・遅行的」に運賃が上昇       ║</w:t>
        <w:br/>
        <w:t>║  ✅ 一旦改定されれば複数年にわたり収益貢献                 ║</w:t>
        <w:br/>
        <w:t>║  ✅ 運賃+5%で理論株価+330〜700円のインパクト試算          ║</w:t>
        <w:br/>
        <w:t>║  ✅ モーダルシフト（2024年問題）による需要増が追い風        ║</w:t>
        <w:br/>
        <w:t>║  ✅ 金利上昇シナリオ（Rf+1.0%）でも割安は維持             ║</w:t>
        <w:br/>
        <w:t>║                                                          ║</w:t>
        <w:br/>
        <w:t>║  主要リスク:                                             ║</w:t>
        <w:br/>
        <w:t>║  ⚠️ 東証スタンダード小型株の流動性リスク                  ║</w:t>
        <w:br/>
        <w:t>║  ⚠️ 大手荷主との運賃交渉の帰結（進捗要確認）              ║</w:t>
        <w:br/>
        <w:t>║  ⚠️ 代替建造投資によるFCF一時的悪化                      ║</w:t>
        <w:br/>
        <w:t>║                                                          ║</w:t>
        <w:br/>
        <w:t>║  深井推奨: 打診買い→決算確認→本格買いの2段階エントリー    ║</w:t>
        <w:br/>
        <w:t>╚══════════════════════════════════════════════════════════╝</w:t>
      </w:r>
    </w:p>
    <w:p/>
    <w:p>
      <w:r>
        <w:t>──────────────────────────────────────────────────</w:t>
      </w:r>
    </w:p>
    <w:p/>
    <w:p>
      <w:pPr>
        <w:pStyle w:val="Heading2"/>
      </w:pPr>
      <w:r>
        <w:rPr>
          <w:rFonts w:ascii="Meiryo UI" w:hAnsi="Meiryo UI"/>
          <w:color w:val="2E74B5"/>
        </w:rPr>
        <w:t>11. 免責事項</w:t>
      </w:r>
    </w:p>
    <w:p/>
    <w:p>
      <w:r>
        <w:rPr>
          <w:rFonts w:ascii="Meiryo UI" w:hAnsi="Meiryo UI"/>
          <w:sz w:val="20"/>
        </w:rPr>
        <w:t>&gt; 本レポートは竹村トレードカンパニー内部分析用途に限定される。公開情報・業界統計・推計モデルに基づき作成されており、投資結果を保証するものではない。財務数値には推計が含まれ、実際の公開数値とは差異が生じる場合がある。投資判断は最終的に社長・ポートフォリオマネージャーの責任において行うこと。Rf=2.380%は2026-04-05 19:37 JST時点の社長確認値を使用。</w:t>
      </w:r>
    </w:p>
    <w:p/>
    <w:p>
      <w:r>
        <w:rPr>
          <w:rFonts w:ascii="Meiryo UI" w:hAnsi="Meiryo UI"/>
          <w:sz w:val="20"/>
        </w:rPr>
        <w:t>&gt; 作成者: 深井（竹村トレードカンパニー シニアアナリスト）</w:t>
      </w:r>
    </w:p>
    <w:p>
      <w:r>
        <w:rPr>
          <w:rFonts w:ascii="Meiryo UI" w:hAnsi="Meiryo UI"/>
          <w:sz w:val="20"/>
        </w:rPr>
        <w:t>&gt; 最終更新: 2026-04-05 / 社長優先3指示対応版</w:t>
      </w:r>
    </w:p>
    <w:p/>
    <w:p>
      <w:r>
        <w:t>──────────────────────────────────────────────────</w:t>
      </w:r>
    </w:p>
    <w:p/>
    <w:p>
      <w:r>
        <w:rPr>
          <w:rFonts w:ascii="Meiryo UI" w:hAnsi="Meiryo UI"/>
          <w:sz w:val="20"/>
        </w:rPr>
        <w:t>— 以上、明海グループ（9115）DeepResearchレポート 完 —</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2026-04-05 19:37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9115_明海グループ【社_BUY_DeepResearch_20260405.md を出力しました。</w:t>
      </w:r>
    </w:p>
    <w:p>
      <w:r>
        <w:rPr>
          <w:rFonts w:ascii="Meiryo UI" w:hAnsi="Meiryo UI"/>
          <w:sz w:val="20"/>
        </w:rPr>
        <w:t>浅井スコア +62 の銘柄 [9115]明海グループ【社長優先3指示】 についてDeepResearch完了。</w:t>
      </w:r>
    </w:p>
    <w:p>
      <w:r>
        <w:rPr>
          <w:rFonts w:ascii="Meiryo UI" w:hAnsi="Meiryo UI"/>
          <w:sz w:val="20"/>
        </w:rPr>
        <w:t>使用Rf: 2.380%（取得: 2026-04-05 19:37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