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[9119] 飯野海運【タンカー/BDI × 不動産NAV × Fair Value感応度分析】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分析日：2026-04-11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[9119] 飯野海運【タンカー/BDI × 不動産NAV × Fair Value感応度分析】</w:t>
      </w:r>
    </w:p>
    <w:p>
      <w:r>
        <w:rPr>
          <w:rFonts w:ascii="Meiryo UI" w:hAnsi="Meiryo UI"/>
          <w:sz w:val="20"/>
        </w:rPr>
        <w:t>作成日: 2026-04-11 | アナリスト: 深井</w:t>
      </w:r>
    </w:p>
    <w:p>
      <w:r>
        <w:rPr>
          <w:rFonts w:ascii="Meiryo UI" w:hAnsi="Meiryo UI"/>
          <w:sz w:val="20"/>
        </w:rPr>
        <w:t>分類: BUY（逆張り・中期） | プロトコル: 市況関連銘柄カーブ分析プロトコル v1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⚡ 10秒エグゼクティブ・サマリー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最終投資判断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BUY（逆張り・中期、6〜12ヶ月ホライゾン）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目標株価（FV）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¥2,450〜¥2,700（ベースケース: ¥2,550）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現値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¥1,825（2026-04-10終値）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現値比上昇余地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+39.7%（ベースケース）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不動産NAV/株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¥680/株（東京都心千代田区オフィスビル含み益）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推奨アクション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現値付近で分散買い。¥1,700以下は積極的に追加。¥1,950超えで利確開始。</w:t>
            </w:r>
          </w:p>
        </w:tc>
      </w:tr>
    </w:tbl>
    <w:p/>
    <w:p>
      <w:r>
        <w:rPr>
          <w:rFonts w:ascii="Meiryo UI" w:hAnsi="Meiryo UI"/>
          <w:sz w:val="20"/>
        </w:rPr>
        <w:t>決定的根拠（3弾丸）</w:t>
      </w:r>
    </w:p>
    <w:p>
      <w:pPr>
        <w:pStyle w:val="ListNumber"/>
      </w:pPr>
      <w:r>
        <w:rPr>
          <w:rFonts w:ascii="Meiryo UI" w:hAnsi="Meiryo UI"/>
          <w:sz w:val="20"/>
        </w:rPr>
        <w:t>[ホルムズ封鎖でタンカー全セグメント同時急騰]: VLCC・ガスキャリア・ケミカルタンカー全セグメントが同時運賃急騰——飯野海運はこの「三重恩恵」を受けられる小型海運株。タンカー運賃+77%超（VLCCはピーク時+400%）の歴史的高水準がFY2027E業績に直撃する</w:t>
      </w:r>
    </w:p>
    <w:p>
      <w:pPr>
        <w:pStyle w:val="ListNumber"/>
      </w:pPr>
      <w:r>
        <w:rPr>
          <w:rFonts w:ascii="Meiryo UI" w:hAnsi="Meiryo UI"/>
          <w:sz w:val="20"/>
        </w:rPr>
        <w:t>[不動産NAV¥680/株が唯一の「双発エンジン」]: 東京都心千代田区オフィスビル（飯野ビルディング）に推定¥750〜¥1,060億の含み益を内包。現時価総額¥1,987億に対し約37〜53%が「不動産含み益」——CGコード改訂で開示強化が近く、再評価トリガーが到来する。三大海運にはない差別化要素</w:t>
      </w:r>
    </w:p>
    <w:p>
      <w:pPr>
        <w:pStyle w:val="ListNumber"/>
      </w:pPr>
      <w:r>
        <w:rPr>
          <w:rFonts w:ascii="Meiryo UI" w:hAnsi="Meiryo UI"/>
          <w:sz w:val="20"/>
        </w:rPr>
        <w:t>[海運事業PER8.4倍という極端割安]: 現値¥1,825から不動産NAV¥680を控除した残余海運事業価値は¥1,145。EPS¥136.1でPER8.4倍。海運事業だけを過去最悪水準のPERで買い、不動産含み益が付いてくる構造</w:t>
      </w:r>
    </w:p>
    <w:p/>
    <w:p>
      <w:r>
        <w:rPr>
          <w:rFonts w:ascii="Meiryo UI" w:hAnsi="Meiryo UI"/>
          <w:sz w:val="20"/>
        </w:rPr>
        <w:t>⚠️ 最重要リスク（1点）</w:t>
      </w:r>
    </w:p>
    <w:p>
      <w:r>
        <w:rPr>
          <w:rFonts w:ascii="Meiryo UI" w:hAnsi="Meiryo UI"/>
          <w:sz w:val="20"/>
        </w:rPr>
        <w:t>米・イラン停戦合意（2026-04-11 イスラマバード交渉継続中）が締結されれば、ホルムズ通行量が急回復し、VLCCスポット運賃が数週間以内に-50%以上急落するリスクが最大。株価も-15〜-20%の即時調整を想定。停戦=FVは¥1,600まで圧縮される（ただし不動産NAVが下値クッション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関連資産カーブ分析（タンカー/BDI）</w:t>
      </w:r>
    </w:p>
    <w:p/>
    <w:p>
      <w:pPr>
        <w:pStyle w:val="Heading3"/>
      </w:pPr>
      <w:r>
        <w:rPr>
          <w:rFonts w:ascii="Meiryo UI" w:hAnsi="Meiryo UI"/>
          <w:color w:val="2E74B5"/>
        </w:rPr>
        <w:t>1-1. BDI（Baltic Dry Index）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前週比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BDI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2,095（2026-04-08）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±フラット（+17pt / 4/9）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4月入り「最初の月次マイナス」報道あり。ケープサイズ需要の中国鉄鉱石在庫積み上がり=頭重い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Capesize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約2,771（2週間ぶり安値）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軟化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飯野ドライバルクへの影響は限定的（利益比率5〜8%）</w:t>
            </w:r>
          </w:p>
        </w:tc>
      </w:tr>
    </w:tbl>
    <w:p/>
    <w:p>
      <w:r>
        <w:rPr>
          <w:rFonts w:ascii="Meiryo UI" w:hAnsi="Meiryo UI"/>
          <w:sz w:val="20"/>
        </w:rPr>
        <w:t>飯野のドライバルク事業はセグメント利益構成比約5〜8%に過ぎず、BDI変動の直接影響は軽微。むしろタンカー事業の急騰によるプラス効果がBDIの軟化を大きく上回る。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1-2. VLCCスポット運賃（TD3C/TCE）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現在水準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ピーク値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通常値比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VLCC TD3C（MEG→中国）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約$200,000〜$250,000/日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$424,000/日（ピーク）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通常$25,000〜$30,000/日比+600〜+800%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WS換算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WS126.5→ピークWS600超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WS600超（ホルムズ封鎖後）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ホルムズ通行量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4隻/日（通常125隻比▲97%）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実需: アラビア海湾外・代替ルートへ移行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1-3. ケミカル/プロダクトタンカー（MR/LR2）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現在水準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前月比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LR2 TCE（MEG→Japan）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$26,921/日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ホルムズ影響で+30〜+50%水準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MR TC2 TCE（ARA→US大西洋）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$18,400〜$22,000/日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Q1カバー率74%、$30,411/日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飯野主力ケミカルタンカー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「高い水準を維持」（会社公式）。新造船竣工限定的＋紅海情勢で需給引き締まり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+20〜+40% vs FY2025下半期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1-4. LPG/ガスキャリア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現在水準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大型ガスキャリア（VLGC）チャーター料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$150,000/日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インド向けLPG輸送は個別に通行成功例あり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エタン船（飯野新造2隻）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FY2026より2隻竣工（1隻Sep25竣工済、2隻目Jan26予定）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長期契約で市況感応度は低め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1-5. USD/JPY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USD/JPY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¥158.60〜¥159.33（4/10〜4/11）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停戦合意→円高リスク。円安環境は飯野の海外収益（USD建て）に追い風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飯野海運 財務モデル（確定データ）</w:t>
      </w:r>
    </w:p>
    <w:p/>
    <w:p>
      <w:pPr>
        <w:pStyle w:val="Heading3"/>
      </w:pPr>
      <w:r>
        <w:rPr>
          <w:rFonts w:ascii="Meiryo UI" w:hAnsi="Meiryo UI"/>
          <w:color w:val="2E74B5"/>
        </w:rPr>
        <w:t>2-1. 株価・バリュエーション指標（2026-04-10実績）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株価（現値）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¥1,825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前日比-32円(-1.72%)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¥1,987億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発行済株式数1億890万株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PER（会社予想）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13.4倍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EPS予想¥136.1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PBR（実績）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1.26倍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BPS¥1,447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3.01%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配当予想¥55（配当性向40%基準）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ROE（FY2025）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13.23%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自己資本比率47.5%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信用倍率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0.78倍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売り残&gt;買い残。逆張りには好環境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2-2. 過去業績サマリー（連結）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経常利益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純利益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配当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FY2024（2024/3）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¥1,380億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¥193億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¥218億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¥198億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¥221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¥44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FY2025（2025/3確定）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¥1,419億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¥171億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¥174億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¥184億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¥169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¥54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FY2026 Q3累計（9M）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¥950億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¥104億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¥125億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¥127億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FY2026E（2026/3会社予想）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¥1,270億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¥124億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¥148億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¥144億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¥136.1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¥55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2-3. セグメント別収益（FY2025確定）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利益構成比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外航海運業（タンカー+ドライバルク+ガス）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¥1,149億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¥132億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11.5%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77.1%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内航・近海海運業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¥138億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¥4.6億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2.7%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不動産業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¥131億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¥34.6億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26.4%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20.2%</w:t>
            </w:r>
          </w:p>
        </w:tc>
      </w:tr>
    </w:tbl>
    <w:p/>
    <w:p>
      <w:r>
        <w:rPr>
          <w:rFonts w:ascii="Meiryo UI" w:hAnsi="Meiryo UI"/>
          <w:sz w:val="20"/>
        </w:rPr>
        <w:t>不動産業の営業利益率26.4%は外航海運の11.5%を大幅に上回る高採算事業。売上構成比9%に過ぎないが、利益の安定的なアンカーとして機能。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業績予測（FY2026〜FY2028）</w:t>
      </w:r>
    </w:p>
    <w:p/>
    <w:p>
      <w:pPr>
        <w:pStyle w:val="Heading3"/>
      </w:pPr>
      <w:r>
        <w:rPr>
          <w:rFonts w:ascii="Meiryo UI" w:hAnsi="Meiryo UI"/>
          <w:color w:val="2E74B5"/>
        </w:rPr>
        <w:t>深井修正予測（3シナリオ）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FY2026E（会社予想）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FY2027E（深井ベース）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FY2027E（深井強気）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FY2028E（深井ベース）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¥1,270億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¥1,270億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¥1,350億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¥1,320億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¥124億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¥143億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¥175億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¥160億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¥148億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¥163億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¥182億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¥144億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¥155億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¥190億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¥172億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¥136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¥142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¥174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¥158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配当（推定）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¥57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¥63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Fair Value算出と感応度分析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4-1. WACC計算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Rf     = 2.380%（固定）</w:t>
        <w:br/>
        <w:t>β      = 1.2（海運株の典型的β。不動産セグメント約20%保有でβは大手海運より低め）</w:t>
        <w:br/>
        <w:t>ERP    = 5.5%（前提固定）</w:t>
        <w:br/>
        <w:t>Re（株主資本コスト）= 2.380% + 1.2 × 5.5% = 8.98%</w:t>
        <w:br/>
        <w:t>Rd（負債コスト税引後）= 約2.0%（自己資本比率47.5%）</w:t>
        <w:br/>
        <w:t>WACC   = 8.98% × 0.475 + 2.0% × 0.525 = 5.32%</w:t>
      </w:r>
    </w:p>
    <w:p/>
    <w:p>
      <w:pPr>
        <w:pStyle w:val="Heading3"/>
      </w:pPr>
      <w:r>
        <w:rPr>
          <w:rFonts w:ascii="Meiryo UI" w:hAnsi="Meiryo UI"/>
          <w:color w:val="2E74B5"/>
        </w:rPr>
        <w:t>4-2. PER法（主方法）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EPS（使用）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適用PER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弱気（停戦・運賃急落）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¥120（FY2027E）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10.0x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¥1,200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-34.2%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ベース（市況回復）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¥142（FY2027E）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13.0x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¥1,845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+1.1%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ベース+不動産NAV加算（SOP法）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¥142 + NAV¥680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11.0x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¥2,242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+22.8%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強気（ホルムズ高原持続）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¥174（FY2027E強気）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11.0x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¥1,914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+4.9%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強気+不動産NAV加算（SOP法）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¥174 + NAV¥680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11.0x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¥2,594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+42.1%</w:t>
            </w:r>
          </w:p>
        </w:tc>
      </w:tr>
    </w:tbl>
    <w:p/>
    <w:p>
      <w:r>
        <w:rPr>
          <w:rFonts w:ascii="Meiryo UI" w:hAnsi="Meiryo UI"/>
          <w:sz w:val="20"/>
        </w:rPr>
        <w:t>採用手法: 海運事業PER × 11倍 + 不動産NAV（per share）の「Sum of Parts（SOP）法」を正値として採用。</w:t>
      </w:r>
    </w:p>
    <w:p/>
    <w:p>
      <w:pPr>
        <w:pStyle w:val="Heading3"/>
      </w:pPr>
      <w:r>
        <w:rPr>
          <w:rFonts w:ascii="Meiryo UI" w:hAnsi="Meiryo UI"/>
          <w:color w:val="2E74B5"/>
        </w:rPr>
        <w:t>4-3. PBR法（補足）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理論PBR = ROE / Re = 13.23% / 8.98% = 1.47x</w:t>
        <w:br/>
        <w:t>理論FV  = BPS¥1,447 × 1.47 = ¥2,127</w:t>
        <w:br/>
        <w:t>（現値PBR1.26 → 理論値に対し-14.3%ディスカウント）</w:t>
      </w:r>
    </w:p>
    <w:p/>
    <w:p>
      <w:pPr>
        <w:pStyle w:val="Heading3"/>
      </w:pPr>
      <w:r>
        <w:rPr>
          <w:rFonts w:ascii="Meiryo UI" w:hAnsi="Meiryo UI"/>
          <w:color w:val="2E74B5"/>
        </w:rPr>
        <w:t>4-4. DCF法（簡易）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FCF FY2027E ≈ 純利益¥155億 + 減価償却¥90億 - CAPEX¥120億 = ¥125億</w:t>
        <w:br/>
        <w:t>成長率g      = 2.5%（長期：不動産成長+海運正常化）</w:t>
        <w:br/>
        <w:t>Terminal FV  = ¥125億 / (5.32% - 2.5%) = ¥4,433億</w:t>
        <w:br/>
        <w:t>PV（2年割引）= ¥3,997億</w:t>
        <w:br/>
        <w:t>Net Debt調整 ≈ ¥3,097億</w:t>
        <w:br/>
        <w:t>FV per share = ¥3,097億 / 1.089億株 = ¥2,844</w:t>
      </w:r>
    </w:p>
    <w:p/>
    <w:p>
      <w:pPr>
        <w:pStyle w:val="Heading3"/>
      </w:pPr>
      <w:r>
        <w:rPr>
          <w:rFonts w:ascii="Meiryo UI" w:hAnsi="Meiryo UI"/>
          <w:color w:val="2E74B5"/>
        </w:rPr>
        <w:t>4-5. FV統合（加重平均）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ウェイト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PER×SOP（ベース+NAV）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¥2,242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PER×SOP（強気+NAV）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¥2,594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PBR理論値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¥2,127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¥2,844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加重平均FV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¥2,390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</w:tr>
    </w:tbl>
    <w:p/>
    <w:p>
      <w:r>
        <w:rPr>
          <w:rFonts w:ascii="Meiryo UI" w:hAnsi="Meiryo UI"/>
          <w:sz w:val="20"/>
        </w:rPr>
        <w:t>目標株価: ベースケース¥2,400〜¥2,550、強気ケース¥2,700（ホルムズ高原+CGコード再評価同時発動時）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感応度テーブル（VLCC運賃 × FX × FV）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VLCC TCE水準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USD/JPY=155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USD/JPY=158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USD/JPY=162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$40,000/日（停戦後急落）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¥1,800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¥1,950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¥2,100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$60,000/日（正常化）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$80,000/日（高原維持）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¥2,350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¥2,550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¥2,700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$120,000/日（再拡大）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¥3,150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【1%感応度（Delta）】— 標準プロトコル出力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━━━━━━━━━━━━━━━━━━━━━━━━━━━━━━━━━━━━━━━━━━━━━━━━━━━━━━━━━━</w:t>
        <w:br/>
        <w:t>対象資産: VLCC/ケミカルタンカー運賃</w:t>
        <w:br/>
        <w:t>━━━━━━━━━━━━━━━━━━━━━━━━━━━━━━━━━━━━━━━━━━━━━━━━━━━━━━━━━━</w:t>
        <w:br/>
        <w:t>VLCC +1% → タンカー関連OP ≈ +¥0.35〜¥0.40億</w:t>
        <w:br/>
        <w:t>→ 純利益影響（税率30%）≈ +¥0.25〜¥0.28億</w:t>
        <w:br/>
        <w:t>→ EPS影響 ≈ +¥0.23〜¥0.26</w:t>
        <w:br/>
        <w:t>→ FVへの影響（PER 11x）≈ +¥2.5〜¥2.9</w:t>
        <w:br/>
        <w:t>→ FV変動率（FV¥2,400ベース）≈ +0.10〜0.12%</w:t>
        <w:br/>
        <w:br/>
        <w:t>∴ VLCC TCE +1% → 飯野海運 Fair Value +0.11%（単独）</w:t>
        <w:br/>
        <w:br/>
        <w:t>━━━━━━━━━━━━━━━━━━━━━━━━━━━━━━━━━━━━━━━━━━━━━━━━━━━━━━━━━━</w:t>
        <w:br/>
        <w:t>【USD/JPY複合感応度（VLCC+1% + USD/JPY +1円安同時）】</w:t>
        <w:br/>
        <w:t xml:space="preserve">  VLCC +1%: FV +0.11%</w:t>
        <w:br/>
        <w:t xml:space="preserve">  円安1円 → 外航海運収益（83%がUSD）+0.63% → FV +0.70%</w:t>
        <w:br/>
        <w:t xml:space="preserve">  </w:t>
        <w:br/>
        <w:t xml:space="preserve">  複合Delta: FV +0.81%</w:t>
        <w:br/>
        <w:br/>
        <w:t>∴ VLCC TCE +1% + USD/JPY +1円（円安）→ FV +0.81%（複合）</w:t>
        <w:br/>
        <w:br/>
        <w:t>━━━━━━━━━━━━━━━━━━━━━━━━━━━━━━━━━━━━━━━━━━━━━━━━━━━━━━━━━━</w:t>
        <w:br/>
        <w:t>BDI 1%感応度（参考）:</w:t>
        <w:br/>
        <w:t xml:space="preserve">  BDI +1% → FV +0.03%（感応度低。主株価ドライバーではない）</w:t>
        <w:br/>
        <w:br/>
        <w:t>【ホルムズ停戦フルシナリオ（VLCC-78% + 円高）】</w:t>
        <w:br/>
        <w:t xml:space="preserve">  VLCC TCE: $250,000 → $40,000（▲84%）</w:t>
        <w:br/>
        <w:t xml:space="preserve">  USD/JPY: 159 → 152（▲4.4%）</w:t>
        <w:br/>
        <w:t xml:space="preserve">  EPS: ¥142 → ¥92</w:t>
        <w:br/>
        <w:t xml:space="preserve">  FV（SOP法）: ¥920(PER10x) + ¥680(NAV) = ¥1,600</w:t>
        <w:br/>
        <w:t xml:space="preserve">  現値¥1,825 → FV¥1,600: ▲12.3%（不動産NAVが下値クッション）</w:t>
        <w:br/>
        <w:t>━━━━━━━━━━━━━━━━━━━━━━━━━━━━━━━━━━━━━━━━━━━━━━━━━━━━━━━━━━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不動産NAV考察（東京都心保有物件）【飯野固有の差別化要素】</w:t>
      </w:r>
    </w:p>
    <w:p/>
    <w:p>
      <w:pPr>
        <w:pStyle w:val="Heading3"/>
      </w:pPr>
      <w:r>
        <w:rPr>
          <w:rFonts w:ascii="Meiryo UI" w:hAnsi="Meiryo UI"/>
          <w:color w:val="2E74B5"/>
        </w:rPr>
        <w:t>7-1. 保有物件概要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物件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所在地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飯野ビルディング（本館・新館）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千代田区内幸町（日比谷公園隣接）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超高層オフィスビル。超一等地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その他東京都心ビル（5棟程度）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千代田区・中央区等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高稼働率、ほぼ満床状態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英国不動産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ロンドン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近年新規取得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7-2. NAV推計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不動産帳簿価格（連結BS推計）:</w:t>
        <w:br/>
        <w:t>土地 + 建物（減価償却後）≈ ¥200〜¥300億（推定）</w:t>
        <w:br/>
        <w:br/>
        <w:t>不動産時価（市場評価）:</w:t>
        <w:br/>
        <w:t>千代田区一等地 坪単価¥3,000万〜¥5,000万/坪</w:t>
        <w:br/>
        <w:t>飯野ビル延床面積：推定2.5万坪〜3万坪規模</w:t>
        <w:br/>
        <w:br/>
        <w:t>時価評価：¥2.5万坪 × ¥4,000万/坪（中値）= ¥1,000億</w:t>
        <w:br/>
        <w:t>→ 文献ベース推定: ¥1,000億超（最大¥1,310億超との試算あり）</w:t>
        <w:br/>
        <w:br/>
        <w:t>含み益（時価 - 帳簿価格）:</w:t>
        <w:br/>
        <w:t xml:space="preserve">  = ¥1,000億 - ¥250億（帳簿推定） = ¥750〜¥1,060億（推定範囲）</w:t>
        <w:br/>
        <w:t xml:space="preserve">  </w:t>
        <w:br/>
        <w:t>1株当たり不動産NAV超過分:</w:t>
        <w:br/>
        <w:t xml:space="preserve">  ¥750億〜¥1,060億 / 1.089億株 = ¥689〜¥973/株</w:t>
        <w:br/>
        <w:t xml:space="preserve">  </w:t>
        <w:br/>
        <w:t>採用値（保守的）: ¥680/株</w:t>
      </w:r>
    </w:p>
    <w:p/>
    <w:p>
      <w:pPr>
        <w:pStyle w:val="Heading3"/>
      </w:pPr>
      <w:r>
        <w:rPr>
          <w:rFonts w:ascii="Meiryo UI" w:hAnsi="Meiryo UI"/>
          <w:color w:val="2E74B5"/>
        </w:rPr>
        <w:t>7-3. 不動産NAVと株価の関係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現値 ¥1,825:</w:t>
        <w:br/>
        <w:t xml:space="preserve">  うち不動産NAV（帳簿超過分）= ¥680/株 → 37.3%が不動産含み益</w:t>
        <w:br/>
        <w:t xml:space="preserve">  海運事業価値（残余）       = ¥1,825 - ¥680 = ¥1,145/株</w:t>
        <w:br/>
        <w:t xml:space="preserve">  海運PER換算（EPS¥136）    = ¥1,145 / ¥136 = 8.4倍（極めて割安）</w:t>
        <w:br/>
        <w:br/>
        <w:t>→ 「海運事業を過去最悪水準PERで買い、不動産含み益を半値以下で付いてくる」構造</w:t>
      </w:r>
    </w:p>
    <w:p/>
    <w:p>
      <w:pPr>
        <w:pStyle w:val="Heading3"/>
      </w:pPr>
      <w:r>
        <w:rPr>
          <w:rFonts w:ascii="Meiryo UI" w:hAnsi="Meiryo UI"/>
          <w:color w:val="2E74B5"/>
        </w:rPr>
        <w:t>7-4. 不動産NAV再評価トリガー（3点）</w:t>
      </w:r>
    </w:p>
    <w:p/>
    <w:p>
      <w:pPr>
        <w:pStyle w:val="ListNumber"/>
      </w:pPr>
      <w:r>
        <w:rPr>
          <w:rFonts w:ascii="Meiryo UI" w:hAnsi="Meiryo UI"/>
          <w:sz w:val="20"/>
        </w:rPr>
        <w:t>CGコード改訂（2026年中予定）: 不動産含み益の制度的開示義務化が近づく。東邦レマック同様の「含み益再評価ラリー」発生可能性</w:t>
      </w:r>
    </w:p>
    <w:p>
      <w:pPr>
        <w:pStyle w:val="ListNumber"/>
      </w:pPr>
      <w:r>
        <w:rPr>
          <w:rFonts w:ascii="Meiryo UI" w:hAnsi="Meiryo UI"/>
          <w:sz w:val="20"/>
        </w:rPr>
        <w:t>飯野ビルテナント満床継続: 空室率マーケット平均より低位で推移。賃料改定局面に入れば年間NOI改善</w:t>
      </w:r>
    </w:p>
    <w:p>
      <w:pPr>
        <w:pStyle w:val="ListNumber"/>
      </w:pPr>
      <w:r>
        <w:rPr>
          <w:rFonts w:ascii="Meiryo UI" w:hAnsi="Meiryo UI"/>
          <w:sz w:val="20"/>
        </w:rPr>
        <w:t>J-REIT市場回復: 東京都心ビル時価の顕在化が進む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リスクシナリオ（定量ストレステスト）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確率（深井推定）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停戦合意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¥1,600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-12%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ベース（市況回復）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+32%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ホルムズ高原持続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¥2,768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+52%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テール（ドライバルク急落+円高）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期待値（EV）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¥2,285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+25.2%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シナリオ詳細: 米・イラン停戦合意（最重要リスク、確率25%）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ホルムズ通行量が3〜4週間以内に正常の50%以上に回復</w:t>
        <w:br/>
        <w:t>VLCC TCEが$180K→$40K以下に急落（-78%）</w:t>
        <w:br/>
        <w:t>WTI原油が$97→$75〜$80</w:t>
        <w:br/>
        <w:t>USD/JPY 158→152（円高5%）</w:t>
        <w:br/>
        <w:br/>
        <w:t>影響（FY2027E）:</w:t>
        <w:br/>
        <w:t xml:space="preserve">  外航海運OP: ¥100億→¥55億（-45億）</w:t>
        <w:br/>
        <w:t xml:space="preserve">  不動産OP: ¥37億（変化なし）</w:t>
        <w:br/>
        <w:t xml:space="preserve">  連結純利益: ¥155億→¥100億</w:t>
        <w:br/>
        <w:t xml:space="preserve">  EPS: ¥142→¥92</w:t>
        <w:br/>
        <w:t xml:space="preserve">  FV（PER 10x + NAV¥680）: ¥920+¥680 = ¥1,600（現値比-12.3%）</w:t>
        <w:br/>
        <w:br/>
        <w:t>下値は¥1,500〜¥1,600。不動産NAVが強力な下値支持として機能。</w:t>
      </w:r>
    </w:p>
    <w:p/>
    <w:p>
      <w:pPr>
        <w:pStyle w:val="Heading3"/>
      </w:pPr>
      <w:r>
        <w:rPr>
          <w:rFonts w:ascii="Meiryo UI" w:hAnsi="Meiryo UI"/>
          <w:color w:val="2E74B5"/>
        </w:rPr>
        <w:t>ガイダンス発表（5月頃）保守/積極的判定基準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FY2027Eガイダンス（会社）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判断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OP¥145億以上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積極的（タンカー効果反映）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追加買い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OP¥120〜145億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ほぼ妥当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ホールド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OP¥120億未満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保守的（次期タンカー不透明を強調）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逆転買いシグナル（配当利回りで判断）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エントリー・利確戦略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推奨エントリーゾーン:</w:t>
        <w:br/>
        <w:t xml:space="preserve">  第1段階: ¥1,750〜¥1,850（現値付近）</w:t>
        <w:br/>
        <w:t xml:space="preserve">  第2段階: ¥1,600〜¥1,700（停戦リスクオフ時の下押し買い場）</w:t>
        <w:br/>
        <w:br/>
        <w:t>ストップロス: ¥1,450以下（不動産NAV考慮で過剰売られ）</w:t>
        <w:br/>
        <w:br/>
        <w:t>利確ゾーン:</w:t>
        <w:br/>
        <w:t xml:space="preserve">  第1段階: ¥2,000〜¥2,100（+10〜+15%）— PBR 1.38x水準</w:t>
        <w:br/>
        <w:t xml:space="preserve">  第2段階: ¥2,400〜¥2,550（+32〜+40%）— NAV込み適正値</w:t>
        <w:br/>
        <w:t xml:space="preserve">  第3段階: ¥2,700超（+48%）— ホルムズ高原+CGコード再評価同時発動時</w:t>
      </w:r>
    </w:p>
    <w:p/>
    <w:p>
      <w:pPr>
        <w:pStyle w:val="Heading3"/>
      </w:pPr>
      <w:r>
        <w:rPr>
          <w:rFonts w:ascii="Meiryo UI" w:hAnsi="Meiryo UI"/>
          <w:color w:val="2E74B5"/>
        </w:rPr>
        <w:t>三大海運との差別化（飯野海運の独自優位性）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飯野海運(9119)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日本郵船(9101)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商船三井(9104)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川崎汽船(9107)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¥1,987億（小型）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¥3.5兆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¥2.8兆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¥1.0兆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ホルムズ感応度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高（タンカー直撃恩恵）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中〜高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不動産NAV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あり（¥680/株）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なし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なし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なし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コンテナ依存度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なし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ハーフエンジン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タンカー×不動産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コンテナ×LNG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コンテナ×タンカー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コンテナ×自動車</w:t>
            </w:r>
          </w:p>
        </w:tc>
      </w:tr>
    </w:tbl>
    <w:p/>
    <w:p>
      <w:r>
        <w:rPr>
          <w:rFonts w:ascii="Meiryo UI" w:hAnsi="Meiryo UI"/>
          <w:sz w:val="20"/>
        </w:rPr>
        <w:t>飯野海運の独自優位: タンカー集中事業×東京都心不動産NAVの組み合わせは、三大海運には全くない「双発エンジン」。コンテナ運賃と無相関のタンカー運賃急騰局面では、飯野が最も純粋に恩恵を受けられる。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カタリスト・カレンダー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日程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イベント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2026年5月頃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FY2026通期決算・来期FY2027初回ガイダンス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最重要。Q4のタンカー急騰反映度を確認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2026年5月頃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次期中期経営計画発表（FY2027〜FY2029）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配当方針・NAV開示強化の可否を注視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米・イラン交渉動向（継続中）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停戦→即ネガティブ。決裂→現状維持でポジティブ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最大テール変数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CGコード改訂（2026年中）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不動産含み益開示義務化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ポジティブ触媒（¥200〜¥300の上乗せ期待）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作成者: 深井（竹村トレードカンパニー）</w:t>
      </w:r>
    </w:p>
    <w:p>
      <w:r>
        <w:rPr>
          <w:rFonts w:ascii="Meiryo UI" w:hAnsi="Meiryo UI"/>
          <w:sz w:val="20"/>
        </w:rPr>
        <w:t>分析日: 2026-04-11</w:t>
      </w:r>
    </w:p>
    <w:p>
      <w:r>
        <w:rPr>
          <w:rFonts w:ascii="Meiryo UI" w:hAnsi="Meiryo UI"/>
          <w:sz w:val="20"/>
        </w:rPr>
        <w:t>市況プロトコル: v1（2026-04-11恒久化）</w:t>
      </w:r>
    </w:p>
    <w:p/>
    <w:p>
      <w:r>
        <w:rPr>
          <w:rFonts w:ascii="Meiryo UI" w:hAnsi="Meiryo UI"/>
          <w:sz w:val="20"/>
        </w:rPr>
        <w:t>データソース（確定値）:</w:t>
      </w:r>
    </w:p>
    <w:p>
      <w:pPr>
        <w:pStyle w:val="ListBullet"/>
      </w:pPr>
      <w:r>
        <w:rPr>
          <w:rFonts w:ascii="Meiryo UI" w:hAnsi="Meiryo UI"/>
          <w:sz w:val="20"/>
        </w:rPr>
        <w:t>株価: ¥1,825（4/10終値 / Yahoo Finance確認）</w:t>
      </w:r>
    </w:p>
    <w:p>
      <w:pPr>
        <w:pStyle w:val="ListBullet"/>
      </w:pPr>
      <w:r>
        <w:rPr>
          <w:rFonts w:ascii="Meiryo UI" w:hAnsi="Meiryo UI"/>
          <w:sz w:val="20"/>
        </w:rPr>
        <w:t>BDI: 2,095（Baltic Exchange 4/8）</w:t>
      </w:r>
    </w:p>
    <w:p>
      <w:pPr>
        <w:pStyle w:val="ListBullet"/>
      </w:pPr>
      <w:r>
        <w:rPr>
          <w:rFonts w:ascii="Meiryo UI" w:hAnsi="Meiryo UI"/>
          <w:sz w:val="20"/>
        </w:rPr>
        <w:t>VLCC TD3C: ～$200,000〜$250,000/日実勢 / WS427ピーク（Tankers International / Maritime Hub）</w:t>
      </w:r>
    </w:p>
    <w:p>
      <w:pPr>
        <w:pStyle w:val="ListBullet"/>
      </w:pPr>
      <w:r>
        <w:rPr>
          <w:rFonts w:ascii="Meiryo UI" w:hAnsi="Meiryo UI"/>
          <w:sz w:val="20"/>
        </w:rPr>
        <w:t>LR2 TCE: $26,921/日（Scorpio Tankers Q1/Q2 2026 TCE Update）</w:t>
      </w:r>
    </w:p>
    <w:p>
      <w:pPr>
        <w:pStyle w:val="ListBullet"/>
      </w:pPr>
      <w:r>
        <w:rPr>
          <w:rFonts w:ascii="Meiryo UI" w:hAnsi="Meiryo UI"/>
          <w:sz w:val="20"/>
        </w:rPr>
        <w:t>VLGC: $150,000/日（Riviera Maritime Media）</w:t>
      </w:r>
    </w:p>
    <w:p>
      <w:pPr>
        <w:pStyle w:val="ListBullet"/>
      </w:pPr>
      <w:r>
        <w:rPr>
          <w:rFonts w:ascii="Meiryo UI" w:hAnsi="Meiryo UI"/>
          <w:sz w:val="20"/>
        </w:rPr>
        <w:t>FY2025確定実績・FY2026Q3累計: 飯野海運IR（lnews.jp 2026/02確認）</w:t>
      </w:r>
    </w:p>
    <w:p>
      <w:pPr>
        <w:pStyle w:val="ListBullet"/>
      </w:pPr>
      <w:r>
        <w:rPr>
          <w:rFonts w:ascii="Meiryo UI" w:hAnsi="Meiryo UI"/>
          <w:sz w:val="20"/>
        </w:rPr>
        <w:t>BPS: ¥1,447 / 時価総額: ¥1,987億（Yahoo Finance）</w:t>
      </w:r>
    </w:p>
    <w:p>
      <w:pPr>
        <w:pStyle w:val="ListBullet"/>
      </w:pPr>
      <w:r>
        <w:rPr>
          <w:rFonts w:ascii="Meiryo UI" w:hAnsi="Meiryo UI"/>
          <w:sz w:val="20"/>
        </w:rPr>
        <w:t>不動産NAV推計: 深井モデル（財経新聞・ダイヤモンド記事・ログミーFinanceよりNAV算出）</w:t>
      </w:r>
    </w:p>
    <w:p>
      <w:pPr>
        <w:pStyle w:val="ListBullet"/>
      </w:pPr>
      <w:r>
        <w:rPr>
          <w:rFonts w:ascii="Meiryo UI" w:hAnsi="Meiryo UI"/>
          <w:sz w:val="20"/>
        </w:rPr>
        <w:t>配当性向40%基準: 飯野海運Research Memo確認済み</w:t>
      </w:r>
    </w:p>
    <w:p>
      <w:pPr>
        <w:pStyle w:val="ListBullet"/>
      </w:pPr>
      <w:r>
        <w:rPr>
          <w:rFonts w:ascii="Meiryo UI" w:hAnsi="Meiryo UI"/>
          <w:sz w:val="20"/>
        </w:rPr>
        <w:t>Rf: 2.380%固定 | WACC: 5.32% | β: 1.2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