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9270 バリュエンスホールディングス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9270 バリュエンスホールディングス Deep Research</w:t>
      </w:r>
    </w:p>
    <w:p>
      <w:r>
        <w:rPr>
          <w:rFonts w:ascii="Meiryo UI" w:hAnsi="Meiryo UI"/>
          <w:sz w:val="20"/>
        </w:rPr>
        <w:t>作成日: 2026-04-10  担当: 深井  優先度: 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¥3,100（理論PBR4.78x、+20.3% from PTS¥2,577）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¥2,000（心理的節目・金価格急落シグナル連動）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¥2,091（終値▲2.61%）/ PTS ¥2,577（+23.2%・新高値）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 OP前年比5.1倍×H1進捗率64.6%×増配¥10→¥45（+350%）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核心テーゼ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地金高騰×粗利重視仕入方針転換の掛け算が構造的変化を生んでいる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本日決算（2026-04-10発表）核心サマリー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通期業績修正（FY2026.08）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¥106,000M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¥84,841M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+278.5%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¥5,260M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¥1,315M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+300.0%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+340.5%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¥227.7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¥52.0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+337.9%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¥45（+¥15増額）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+350.0%</w:t>
            </w:r>
          </w:p>
        </w:tc>
      </w:tr>
    </w:tbl>
    <w:p/>
    <w:p>
      <w:r>
        <w:rPr>
          <w:rFonts w:ascii="Meiryo UI" w:hAnsi="Meiryo UI"/>
          <w:sz w:val="20"/>
        </w:rPr>
        <w:t>上方修正幅: OP +¥1,500M（+37.5%）。配当¥10→¥45（+350%）は「これは一過性でない」という経営陣の強いメッセージ。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上期（H1）実績 FY2026.08（2025年9月〜2026年2月）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通期予想比（進捗率）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前年H1比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¥51,970M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+23.4%（推定）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+5.09倍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¥2,252M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75.1%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大幅黒字転換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¥171.0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H1進捗率64.6%: 上期で通期予想の3分の2以上を達成済み。H2は¥1,946Mで十分。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四半期別業績トレンド（モメンタム加速の証拠）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OPマージン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前年同期比OP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Q1 (24.09-11)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¥18,823M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▲¥80M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Q2 (24.12-02)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¥22,008M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¥778M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Q3 (25.03-05)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¥22,267M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¥587M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Q4 (25.06-08)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¥21,743M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 Q1 (25.09-11)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¥24,528M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¥1,505M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黒字転換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Q2 (25.12-02)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¥27,442M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¥2,049M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+163.4%</w:t>
            </w:r>
          </w:p>
        </w:tc>
      </w:tr>
    </w:tbl>
    <w:p/>
    <w:p>
      <w:r>
        <w:rPr>
          <w:rFonts w:ascii="Meiryo UI" w:hAnsi="Meiryo UI"/>
          <w:sz w:val="20"/>
        </w:rPr>
        <w:t>Q2単体 OPマージン7.5%はFY2025通年OPM1.7%から実に+5.8pt改善。Q1→Q2でもマージンが加速しており、H2（Q3: Mar-May, Q4: Jun-Aug）への勢いが続いている。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ビジネスモデルと構造変化の本質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事業概要</w:t>
      </w:r>
    </w:p>
    <w:p/>
    <w:p>
      <w:r>
        <w:rPr>
          <w:rFonts w:ascii="Meiryo UI" w:hAnsi="Meiryo UI"/>
          <w:sz w:val="20"/>
        </w:rPr>
        <w:t>バリュエンスは中古高級品（ブランドバッグ・時計・宝飾品・地金）の買取・販売・オークション事業。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リテール買取・販売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一般消費者からの直接買取 → 店舗・EC・海外販売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オークション（B2B委託）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業者向けオークションを主催し委託落札額に応じた手数料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地金・貴金属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金・プラチナ等の地金買取・販売（相場連動）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今期の構造変化3本柱（深井分析）</w:t>
      </w:r>
    </w:p>
    <w:p/>
    <w:p>
      <w:r>
        <w:rPr>
          <w:rFonts w:ascii="Meiryo UI" w:hAnsi="Meiryo UI"/>
          <w:sz w:val="20"/>
        </w:rPr>
        <w:t>① 地金相場の歴史的高騰</w:t>
      </w:r>
    </w:p>
    <w:p>
      <w:pPr>
        <w:pStyle w:val="ListBullet"/>
      </w:pPr>
      <w:r>
        <w:rPr>
          <w:rFonts w:ascii="Meiryo UI" w:hAnsi="Meiryo UI"/>
          <w:sz w:val="20"/>
        </w:rPr>
        <w:t>金: $4,749（4/8）→ $4,792（4/9）→ 史上最高値更新中</w:t>
      </w:r>
    </w:p>
    <w:p>
      <w:pPr>
        <w:pStyle w:val="ListBullet"/>
      </w:pPr>
      <w:r>
        <w:rPr>
          <w:rFonts w:ascii="Meiryo UI" w:hAnsi="Meiryo UI"/>
          <w:sz w:val="20"/>
        </w:rPr>
        <w:t>金高騰 → 地金買取・販売の粗利拡大 → OP直撃ポジティブ</w:t>
      </w:r>
    </w:p>
    <w:p>
      <w:pPr>
        <w:pStyle w:val="ListBullet"/>
      </w:pPr>
      <w:r>
        <w:rPr>
          <w:rFonts w:ascii="Meiryo UI" w:hAnsi="Meiryo UI"/>
          <w:sz w:val="20"/>
        </w:rPr>
        <w:t>我々の市況メモ（4/8コモディティ: 金$4,749 +2%）と完全整合</w:t>
      </w:r>
    </w:p>
    <w:p/>
    <w:p>
      <w:r>
        <w:rPr>
          <w:rFonts w:ascii="Meiryo UI" w:hAnsi="Meiryo UI"/>
          <w:sz w:val="20"/>
        </w:rPr>
        <w:t>② 「粗利重視仕入方針」への転換（企業固有の変革）</w:t>
      </w:r>
    </w:p>
    <w:p>
      <w:pPr>
        <w:pStyle w:val="ListBullet"/>
      </w:pPr>
      <w:r>
        <w:rPr>
          <w:rFonts w:ascii="Meiryo UI" w:hAnsi="Meiryo UI"/>
          <w:sz w:val="20"/>
        </w:rPr>
        <w:t>旧方針: 仕入量を最大化 → 在庫過剰・評価損（FY2024赤字の主因）</w:t>
      </w:r>
    </w:p>
    <w:p>
      <w:pPr>
        <w:pStyle w:val="ListBullet"/>
      </w:pPr>
      <w:r>
        <w:rPr>
          <w:rFonts w:ascii="Meiryo UI" w:hAnsi="Meiryo UI"/>
          <w:sz w:val="20"/>
        </w:rPr>
        <w:t>新方針: 粗利率を重視した選別仕入 → 在庫回転率改善 × 利益率急改善</w:t>
      </w:r>
    </w:p>
    <w:p>
      <w:pPr>
        <w:pStyle w:val="ListBullet"/>
      </w:pPr>
      <w:r>
        <w:rPr>
          <w:rFonts w:ascii="Meiryo UI" w:hAnsi="Meiryo UI"/>
          <w:sz w:val="20"/>
        </w:rPr>
        <w:t>Q2 OPM7.5%はこの方針転換が実を結んでいる証拠</w:t>
      </w:r>
    </w:p>
    <w:p/>
    <w:p>
      <w:r>
        <w:rPr>
          <w:rFonts w:ascii="Meiryo UI" w:hAnsi="Meiryo UI"/>
          <w:sz w:val="20"/>
        </w:rPr>
        <w:t>③ オークション委託落札額の拡大（B2Bフロー型収益化）</w:t>
      </w:r>
    </w:p>
    <w:p>
      <w:pPr>
        <w:pStyle w:val="ListBullet"/>
      </w:pPr>
      <w:r>
        <w:rPr>
          <w:rFonts w:ascii="Meiryo UI" w:hAnsi="Meiryo UI"/>
          <w:sz w:val="20"/>
        </w:rPr>
        <w:t>在庫リスクなしで手数料収益を積み上げるアセットライト型</w:t>
      </w:r>
    </w:p>
    <w:p>
      <w:pPr>
        <w:pStyle w:val="ListBullet"/>
      </w:pPr>
      <w:r>
        <w:rPr>
          <w:rFonts w:ascii="Meiryo UI" w:hAnsi="Meiryo UI"/>
          <w:sz w:val="20"/>
        </w:rPr>
        <w:t>業界内での存在感向上 → 出品量・落札額のネットワーク効果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地金価格との収益連動分析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$5,000超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¥7,000M+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¥3,600+(+39.7% from PTS)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$4,700-5,000（現状）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¥227.7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¥2,577（PTS水準）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$4,000-4,700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$3,000-4,000（停戦シナリオ）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¥1,340（SL割れ）</w:t>
            </w:r>
          </w:p>
        </w:tc>
      </w:tr>
    </w:tbl>
    <w:p/>
    <w:p>
      <w:r>
        <w:rPr>
          <w:rFonts w:ascii="Meiryo UI" w:hAnsi="Meiryo UI"/>
          <w:sz w:val="20"/>
        </w:rPr>
        <w:t>現在の金価格$4,700台は会社ガイダンス¥5,500Mの想定と整合。金が高原維持する限り、ガイダンスは達成確実。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終値基準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PTS後（¥2,577）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¥2,091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¥2,577（52週新高値）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¥291億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¥359億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11.3x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3.22x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3.97x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1.75%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¥649.1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¥649.1（不変）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10.91倍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WACC・理論PBR</w:t>
      </w:r>
    </w:p>
    <w:p/>
    <w:p>
      <w:pPr>
        <w:pStyle w:val="ListBullet"/>
      </w:pPr>
      <w:r>
        <w:rPr>
          <w:rFonts w:ascii="Meiryo UI" w:hAnsi="Meiryo UI"/>
          <w:sz w:val="20"/>
        </w:rPr>
        <w:t>JGB10Y: 2.425%、β: 1.541（高ベータ・地金相場連動）、ERP: 5.5%</w:t>
      </w:r>
    </w:p>
    <w:p>
      <w:pPr>
        <w:pStyle w:val="ListBullet"/>
      </w:pPr>
      <w:r>
        <w:rPr>
          <w:rFonts w:ascii="Meiryo UI" w:hAnsi="Meiryo UI"/>
          <w:sz w:val="20"/>
        </w:rPr>
        <w:t>WACC = 2.425% + 1.541 × 5.5% = 10.9%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PTS後PBR 3.97x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g=3%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3.14x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割高（PTS後超過）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4.78x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割安（+20%余地）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g=7%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6.77x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大幅割安（+70%余地）</w:t>
            </w:r>
          </w:p>
        </w:tc>
      </w:tr>
    </w:tbl>
    <w:p/>
    <w:p>
      <w:r>
        <w:rPr>
          <w:rFonts w:ascii="Meiryo UI" w:hAnsi="Meiryo UI"/>
          <w:sz w:val="20"/>
        </w:rPr>
        <w:t>ROE33%・g=5%前提での理論PBR4.78x → 理論株価¥649×4.78x = ¥3,102</w:t>
      </w:r>
    </w:p>
    <w:p>
      <w:r>
        <w:rPr>
          <w:rFonts w:ascii="Meiryo UI" w:hAnsi="Meiryo UI"/>
          <w:sz w:val="20"/>
        </w:rPr>
        <w:t>PTS後¥2,577 &lt; ¥3,102 → まだ割安圏内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目標株価算定</w:t>
      </w:r>
    </w:p>
    <w:p/>
    <w:p>
      <w:r>
        <w:rPr>
          <w:rFonts w:ascii="Meiryo UI" w:hAnsi="Meiryo UI"/>
          <w:sz w:val="20"/>
        </w:rPr>
        <w:t>ベースケース: ¥3,100（ROE33%・g=5%の理論PBR達成）</w:t>
      </w:r>
    </w:p>
    <w:p>
      <w:pPr>
        <w:pStyle w:val="ListBullet"/>
      </w:pPr>
      <w:r>
        <w:rPr>
          <w:rFonts w:ascii="Meiryo UI" w:hAnsi="Meiryo UI"/>
          <w:sz w:val="20"/>
        </w:rPr>
        <w:t>金価格$4,700維持 + 粗利重視方針継続 → FY2026ガイダンス達成 → ROE33%実現</w:t>
      </w:r>
    </w:p>
    <w:p/>
    <w:p>
      <w:r>
        <w:rPr>
          <w:rFonts w:ascii="Meiryo UI" w:hAnsi="Meiryo UI"/>
          <w:sz w:val="20"/>
        </w:rPr>
        <w:t>強気: ¥3,600（金$5,000突破）</w:t>
      </w:r>
    </w:p>
    <w:p>
      <w:pPr>
        <w:pStyle w:val="ListBullet"/>
      </w:pPr>
      <w:r>
        <w:rPr>
          <w:rFonts w:ascii="Meiryo UI" w:hAnsi="Meiryo UI"/>
          <w:sz w:val="20"/>
        </w:rPr>
        <w:t>OP¥7,000M → EPS¥300 × 12x</w:t>
      </w:r>
    </w:p>
    <w:p/>
    <w:p>
      <w:r>
        <w:rPr>
          <w:rFonts w:ascii="Meiryo UI" w:hAnsi="Meiryo UI"/>
          <w:sz w:val="20"/>
        </w:rPr>
        <w:t>弱気（停戦シナリオ）: ¥1,600</w:t>
      </w:r>
    </w:p>
    <w:p>
      <w:pPr>
        <w:pStyle w:val="ListBullet"/>
      </w:pPr>
      <w:r>
        <w:rPr>
          <w:rFonts w:ascii="Meiryo UI" w:hAnsi="Meiryo UI"/>
          <w:sz w:val="20"/>
        </w:rPr>
        <w:t>金$3,000台（有事プレミアム消滅）→ OP¥2,500M → EPS¥103 × 15x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不動産含み益考察（必須項目）</w:t>
      </w:r>
    </w:p>
    <w:p/>
    <w:p>
      <w:r>
        <w:rPr>
          <w:rFonts w:ascii="Meiryo UI" w:hAnsi="Meiryo UI"/>
          <w:sz w:val="20"/>
        </w:rPr>
        <w:t>バリュエンスは買取専門店のため、自社保有不動産は限定的。店舗は全て賃借（オペレーティングリース）。</w:t>
      </w:r>
    </w:p>
    <w:p/>
    <w:p>
      <w:pPr>
        <w:pStyle w:val="ListBullet"/>
      </w:pPr>
      <w:r>
        <w:rPr>
          <w:rFonts w:ascii="Meiryo UI" w:hAnsi="Meiryo UI"/>
          <w:sz w:val="20"/>
        </w:rPr>
        <w:t>主要資産: 仕入商品在庫（ブランド品・貴金属）= 相場変動資産</w:t>
      </w:r>
    </w:p>
    <w:p>
      <w:pPr>
        <w:pStyle w:val="ListBullet"/>
      </w:pPr>
      <w:r>
        <w:rPr>
          <w:rFonts w:ascii="Meiryo UI" w:hAnsi="Meiryo UI"/>
          <w:sz w:val="20"/>
        </w:rPr>
        <w:t>不動産含み益: 実質ゼロ（NAV観点での分析対象外）</w:t>
      </w:r>
    </w:p>
    <w:p>
      <w:pPr>
        <w:pStyle w:val="ListBullet"/>
      </w:pPr>
      <w:r>
        <w:rPr>
          <w:rFonts w:ascii="Meiryo UI" w:hAnsi="Meiryo UI"/>
          <w:sz w:val="20"/>
        </w:rPr>
        <w:t>真のバリュードライバー: ブランドネットワーク・オークション顧客基盤（B/S非計上の無形資産）</w:t>
      </w:r>
    </w:p>
    <w:p/>
    <w:p>
      <w:r>
        <w:rPr>
          <w:rFonts w:ascii="Meiryo UI" w:hAnsi="Meiryo UI"/>
          <w:sz w:val="20"/>
        </w:rPr>
        <w:t>→ 投資判断は「金価格連動EPS成長」と「事業モデル転換プレミアム」で行うべき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Q-1定性変化考察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FY2026（Sep-Nov）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 FY2026（Dec-Feb）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+1.4pt加速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¥24,528M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¥27,442M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+11.9% QoQ成長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¥72.5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¥98.5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加速中</w:t>
            </w:r>
          </w:p>
        </w:tc>
      </w:tr>
    </w:tbl>
    <w:p/>
    <w:p>
      <w:r>
        <w:rPr>
          <w:rFonts w:ascii="Meiryo UI" w:hAnsi="Meiryo UI"/>
          <w:sz w:val="20"/>
        </w:rPr>
        <w:t>Narrative Change: 「加速方向にポジティブ変化」</w:t>
      </w:r>
    </w:p>
    <w:p>
      <w:pPr>
        <w:pStyle w:val="ListBullet"/>
      </w:pPr>
      <w:r>
        <w:rPr>
          <w:rFonts w:ascii="Meiryo UI" w:hAnsi="Meiryo UI"/>
          <w:sz w:val="20"/>
        </w:rPr>
        <w:t>Q1で黒字転換確認 → Q2でさらにマージン改善を確認</w:t>
      </w:r>
    </w:p>
    <w:p>
      <w:pPr>
        <w:pStyle w:val="ListBullet"/>
      </w:pPr>
      <w:r>
        <w:rPr>
          <w:rFonts w:ascii="Meiryo UI" w:hAnsi="Meiryo UI"/>
          <w:sz w:val="20"/>
        </w:rPr>
        <w:t>「一時的な金価格恩恵」ではなく「事業モデル転換の複合効果」であることをQ2が証明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ガイダンス保守的/積極的判定</w:t>
      </w:r>
    </w:p>
    <w:p/>
    <w:p>
      <w:r>
        <w:rPr>
          <w:rFonts w:ascii="Meiryo UI" w:hAnsi="Meiryo UI"/>
          <w:sz w:val="20"/>
        </w:rPr>
        <w:t>FY2026 OP¥5,500M（修正後）: 「保守的（上振れ余地あり）」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H1進捗64.6%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H2¥1,946Mで足りる。Q2単体¥2,049Mを下回って良い水準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金相場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$4,700台維持なら自然達成。$5,000突破なら大幅上振れ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方針継続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粗利重視仕入は来期以降も継続方針（経営陣発言）</w:t>
            </w:r>
          </w:p>
        </w:tc>
      </w:tr>
    </w:tbl>
    <w:p/>
    <w:p>
      <w:r>
        <w:rPr>
          <w:rFonts w:ascii="Meiryo UI" w:hAnsi="Meiryo UI"/>
          <w:sz w:val="20"/>
        </w:rPr>
        <w:t>→ 達成確度85%。上振れ余地（¥6,000M+）も十分ある。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シナリオA: 金価格急落（停戦×有事プレミアム消滅）（確率30%）</w:t>
      </w:r>
    </w:p>
    <w:p/>
    <w:p>
      <w:r>
        <w:rPr>
          <w:rFonts w:ascii="Meiryo UI" w:hAnsi="Meiryo UI"/>
          <w:sz w:val="20"/>
        </w:rPr>
        <w:t>これが最大リスク。我々の浅井スコア履歴でも「INPEX▲100」と同じ地政学シナリオ。</w:t>
      </w:r>
    </w:p>
    <w:p/>
    <w:p>
      <w:pPr>
        <w:pStyle w:val="ListBullet"/>
      </w:pPr>
      <w:r>
        <w:rPr>
          <w:rFonts w:ascii="Meiryo UI" w:hAnsi="Meiryo UI"/>
          <w:sz w:val="20"/>
        </w:rPr>
        <w:t>停戦合意 → WTIと同様に金$4,749 → $3,000台へ急落</w:t>
      </w:r>
    </w:p>
    <w:p>
      <w:pPr>
        <w:pStyle w:val="ListBullet"/>
      </w:pPr>
      <w:r>
        <w:rPr>
          <w:rFonts w:ascii="Meiryo UI" w:hAnsi="Meiryo UI"/>
          <w:sz w:val="20"/>
        </w:rPr>
        <w:t>在庫評価損発生 → FY2024赤字（OP▲¥426M）の悪夢再現リスク</w:t>
      </w:r>
    </w:p>
    <w:p>
      <w:pPr>
        <w:pStyle w:val="ListBullet"/>
      </w:pPr>
      <w:r>
        <w:rPr>
          <w:rFonts w:ascii="Meiryo UI" w:hAnsi="Meiryo UI"/>
          <w:sz w:val="20"/>
        </w:rPr>
        <w:t>FY2026 OP修正後¥2,500M → EPS¥103 × 15x = ¥1,545（SL¥2,000割れ）</w:t>
      </w:r>
    </w:p>
    <w:p/>
    <w:p>
      <w:r>
        <w:rPr>
          <w:rFonts w:ascii="Meiryo UI" w:hAnsi="Meiryo UI"/>
          <w:sz w:val="20"/>
        </w:rPr>
        <w:t>&gt; SL¥2,000は「金$3,800割れ」と連動させて管理推奨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シナリオB: 信用倍率10.91倍の反動（確率25%）</w:t>
      </w:r>
    </w:p>
    <w:p/>
    <w:p>
      <w:pPr>
        <w:pStyle w:val="ListBullet"/>
      </w:pPr>
      <w:r>
        <w:rPr>
          <w:rFonts w:ascii="Meiryo UI" w:hAnsi="Meiryo UI"/>
          <w:sz w:val="20"/>
        </w:rPr>
        <w:t>PTS急騰→翌日寄り付きで信用買いが集中 → 短期利益確定が重なり急反落</w:t>
      </w:r>
    </w:p>
    <w:p>
      <w:pPr>
        <w:pStyle w:val="ListBullet"/>
      </w:pPr>
      <w:r>
        <w:rPr>
          <w:rFonts w:ascii="Meiryo UI" w:hAnsi="Meiryo UI"/>
          <w:sz w:val="20"/>
        </w:rPr>
        <w:t>¥2,200〜¥2,400レンジへの押し戻し → 逆に追加エントリー機会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シナリオC: 中古高級品需要低迷（景気後退）（確率15%）</w:t>
      </w:r>
    </w:p>
    <w:p/>
    <w:p>
      <w:pPr>
        <w:pStyle w:val="ListBullet"/>
      </w:pPr>
      <w:r>
        <w:rPr>
          <w:rFonts w:ascii="Meiryo UI" w:hAnsi="Meiryo UI"/>
          <w:sz w:val="20"/>
        </w:rPr>
        <w:t>個人消費悪化 → ブランド品買取量減少 → 売上¥90,000M台に圧縮</w:t>
      </w:r>
    </w:p>
    <w:p>
      <w:pPr>
        <w:pStyle w:val="ListBullet"/>
      </w:pPr>
      <w:r>
        <w:rPr>
          <w:rFonts w:ascii="Meiryo UI" w:hAnsi="Meiryo UI"/>
          <w:sz w:val="20"/>
        </w:rPr>
        <w:t>OP¥3,500M → EPS¥150 × 12x = ¥1,800（SL割れ）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需給・フロー分析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PTS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¥2,577（+23.2%）52週新高値更新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決算サプライズへの強烈反応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10.91倍（買い≫売り）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過熱感あり。ただし踏み上げの燃料にも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¥291億（小型株）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機関の本格参入余地あり。流動性リスクも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金相場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$4,792（+2%、4/9）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業績に直結。本日もBull継続確認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¥2,596M（4/10）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本日は低調（PTS前）→ 翌日急増予想</w:t>
            </w:r>
          </w:p>
        </w:tc>
      </w:tr>
    </w:tbl>
    <w:p/>
    <w:p>
      <w:r>
        <w:rPr>
          <w:rFonts w:ascii="Meiryo UI" w:hAnsi="Meiryo UI"/>
          <w:sz w:val="20"/>
        </w:rPr>
        <w:t>信用倍率10.91倍の両面性:</w:t>
      </w:r>
    </w:p>
    <w:p>
      <w:pPr>
        <w:pStyle w:val="ListBullet"/>
      </w:pPr>
      <w:r>
        <w:rPr>
          <w:rFonts w:ascii="Meiryo UI" w:hAnsi="Meiryo UI"/>
          <w:sz w:val="20"/>
        </w:rPr>
        <w:t>ポジティブ面: 信用売りが少ない → 空売り踏み上げ圧力</w:t>
      </w:r>
    </w:p>
    <w:p>
      <w:pPr>
        <w:pStyle w:val="ListBullet"/>
      </w:pPr>
      <w:r>
        <w:rPr>
          <w:rFonts w:ascii="Meiryo UI" w:hAnsi="Meiryo UI"/>
          <w:sz w:val="20"/>
        </w:rPr>
        <w:t>ネガティブ面: 信用買いが多すぎる → 反落時に返済売りが集中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競合・類似株比較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予想PER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9270 バリュエンス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中古高級品買取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11.3x（PTS）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3.97x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2780 コメ兵HD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リユース全般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3093 トレファク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リユース衣料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~25x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~3x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バリュエンスは高ROE×低PERの組み合わせが際立つ。地金高騰という独自触媒が他社にはない。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投資判断まとめ</w:t>
      </w:r>
    </w:p>
    <w:p/>
    <w:p>
      <w:r>
        <w:rPr>
          <w:rFonts w:ascii="Meiryo UI" w:hAnsi="Meiryo UI"/>
          <w:sz w:val="20"/>
        </w:rPr>
        <w:t>「H1進捗64.6%で通期達成ほぼ確実。金相場維持が続く限りBUY一択。停戦急進展が唯一の撤退トリガー。」</w:t>
      </w:r>
    </w:p>
    <w:p/>
    <w:p>
      <w:pPr>
        <w:pStyle w:val="ListBullet"/>
      </w:pPr>
      <w:r>
        <w:rPr>
          <w:rFonts w:ascii="Meiryo UI" w:hAnsi="Meiryo UI"/>
          <w:sz w:val="20"/>
        </w:rPr>
        <w:t>70%シナリオ（BUY継続）: 金$4,500以上維持 → H2¥1,946M達成 → FY2026 EPS¥227.7 → ¥3,100到達</w:t>
      </w:r>
    </w:p>
    <w:p>
      <w:pPr>
        <w:pStyle w:val="ListBullet"/>
      </w:pPr>
      <w:r>
        <w:rPr>
          <w:rFonts w:ascii="Meiryo UI" w:hAnsi="Meiryo UI"/>
          <w:sz w:val="20"/>
        </w:rPr>
        <w:t>30%シナリオ（SL撤退）: 停戦急転×金$3,000台突入 → SL¥2,000で即撤退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モニタリングトリガー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判断変更基準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金スポット価格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$3,800割れ→SL接近 / $5,000超え→TP¥3,600に引上げ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浅井スコア（地政学軸）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停戦シナリオ強化→即時リスク評価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Q3決算（Mar-May）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2026年7月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OP¥1,500M以上→通期大幅超過確定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10倍超継続→過熱警戒・ポジション調整検討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H1 OP5.1倍・進捗64.6%・EPS¥228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PTS+23%・52週新高値・6M+102%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需給フロー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信用倍率過熱気味も踏み上げ期待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地政学・マクロ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金$4,792継続・有事プレミアム維持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停戦リスク×信用倍率過熱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本レポートは2026年4月10日発表の決算データに基づく。株価はリアルタイム取得（Yahoo Finance）、財務指標はkabutanより取得。金価格はコモディティ市況メモ（4/9: $4,792）と整合済み。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