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eastAsia="Yu Gothic"/>
          <w:rFonts w:ascii="Yu Gothic" w:hAnsi="Yu Gothic"/>
          <w:b w:val="0"/>
          <w:color w:val="1F497D"/>
          <w:sz w:val="22"/>
        </w:rPr>
        <w:t>オーキッドツリーキャピタル アナリストチーム</w:t>
      </w:r>
    </w:p>
    <w:p/>
    <w:p>
      <w:pPr>
        <w:jc w:val="center"/>
      </w:pPr>
      <w:r>
        <w:rPr>
          <w:rFonts w:eastAsia="Yu Gothic"/>
          <w:rFonts w:ascii="Yu Gothic" w:hAnsi="Yu Gothic"/>
          <w:b/>
          <w:color w:val="00467F"/>
          <w:sz w:val="40"/>
        </w:rPr>
        <w:t>9412 スカパーJSATホールディングス</w:t>
      </w:r>
    </w:p>
    <w:p/>
    <w:p>
      <w:pPr>
        <w:jc w:val="center"/>
      </w:pPr>
      <w:r>
        <w:rPr>
          <w:rFonts w:eastAsia="Yu Gothic"/>
          <w:rFonts w:ascii="Yu Gothic" w:hAnsi="Yu Gothic"/>
          <w:b/>
          <w:color w:val="1F497D"/>
          <w:sz w:val="28"/>
        </w:rPr>
        <w:t>Deep Research — WATCH/打診買い +72（FY2026/3本決算反映版）</w:t>
      </w:r>
    </w:p>
    <w:p/>
    <w:p/>
    <w:p>
      <w:pPr>
        <w:jc w:val="center"/>
      </w:pPr>
      <w:r>
        <w:rPr>
          <w:rFonts w:eastAsia="Yu Gothic"/>
          <w:rFonts w:ascii="Yu Gothic" w:hAnsi="Yu Gothic"/>
          <w:b w:val="0"/>
          <w:sz w:val="21"/>
        </w:rPr>
        <w:t>担当アナリスト：深井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1"/>
        </w:rPr>
        <w:t>分析日：2026-04-28（本日決算発表日）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1"/>
        </w:rPr>
        <w:t>投資判断：WATCH → 打診買い  スコア +72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1"/>
        </w:rPr>
        <w:t>現在株価：¥3,195（本日+3.40%、決算日ポジティブプリント確認）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1"/>
        </w:rPr>
        <w:t>Base TP（12ヶ月）：¥4,100（+28.3%）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1"/>
        </w:rPr>
        <w:t>Bull TP：¥5,200（+62.8%）— 防衛省長期契約開示シナリオ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1"/>
        </w:rPr>
        <w:t>Bear TP：¥2,300（▲28.0%）— メディア崩壊×防衛失望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1"/>
        </w:rPr>
        <w:t>FY2026/3 NI推計：¥215-220億（+13-15% YoY）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1"/>
        </w:rPr>
        <w:t>FWD NI（コンセンサス）：¥198億（要確認：本日ガイダンスが最重要）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1"/>
        </w:rPr>
        <w:t>EV/EBITDA：18.5x（グローバル衛星ピア比プレミアム）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1"/>
        </w:rPr>
        <w:t>PBR / ROE：3.19x / 7.9%（PBR-ROE乖離 = 最大リスク）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1"/>
        </w:rPr>
        <w:t>Beta：0.176（低ボラティリティ＝防衛的特性）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1"/>
        </w:rPr>
        <w:t>推奨アクション：打診30%。FY2027/3ガイダンス NI¥210億以上確認で本玉60%追加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1"/>
        </w:rPr>
        <w:t>損切り水準：¥2,800（25MA大幅割れ、▲12.4%）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1"/>
        </w:rPr>
        <w:t>最大リスク：PBR3.19x vs ROE7.9% — ROEが上がらないと株価正当化困難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1"/>
        </w:rPr>
        <w:t>投資テーマ：GEO衛星スロット独占×ホルムズ地政学×日本防衛費2%GDP目標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1"/>
        </w:rPr>
        <w:t>IRコンタクト：https://www.skyperfectjsat.space/jsat/ir/contact/</w:t>
      </w:r>
    </w:p>
    <w:p>
      <w:r>
        <w:br w:type="page"/>
      </w:r>
    </w:p>
    <w:p>
      <w:pPr>
        <w:spacing w:before="20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00467F"/>
          <w:sz w:val="32"/>
        </w:rPr>
        <w:t>9412 スカパーJSATホールディングス Deep Research</w:t>
      </w:r>
    </w:p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⚡ 10秒サマリー（執行版）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判定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WATCH → 打診買い  +72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現在株価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¥3,195（本日+3.40%、決算日）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Base TP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¥4,100（+28.3%）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Bull TP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¥5,200（+62.8%）防衛契約フル認識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Bear TP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¥2,300（▲28.0%）メディア崩壊×防衛失望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安全域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BPS ¥1,003/株 → PBR 3.19x（純資産比3倍で下値は資産よりテーマ次第）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3弾丸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①GEO衛星スロットという取替不可能な希少国家資産　②ホルムズ緊張が宇宙防衛通信の戦略的価値を不可逆的に顕在化　③FY2026/3 NI推計¥215-220億（+13-15% YoY）、本日+3.40%がポジティブプリント確認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最大リスク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コンセンサスFWD NI ¥198億 ＜ FY2026/3推計¥220億 = FY2027/3ガイダンス保守的または利益ピークアウト懸念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推奨アクション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打診30%。本日発表のFY2027/3ガイダンス数値確認後に本玉判断。52週高値¥3,420まで7%</w:t>
            </w:r>
          </w:p>
        </w:tc>
      </w:tr>
    </w:tbl>
    <w:p/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IRページ・コンタクト</w:t>
      </w:r>
    </w:p>
    <w:p/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IRページ</w:t>
      </w:r>
      <w:r>
        <w:rPr>
          <w:rFonts w:eastAsia="Yu Gothic"/>
          <w:rFonts w:ascii="Yu Gothic" w:hAnsi="Yu Gothic"/>
          <w:b w:val="0"/>
          <w:sz w:val="20"/>
        </w:rPr>
        <w:t>：https://www.skyperfectjsat.space/jsat/ir/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IR問合せ</w:t>
      </w:r>
      <w:r>
        <w:rPr>
          <w:rFonts w:eastAsia="Yu Gothic"/>
          <w:rFonts w:ascii="Yu Gothic" w:hAnsi="Yu Gothic"/>
          <w:b w:val="0"/>
          <w:sz w:val="20"/>
        </w:rPr>
        <w:t>：https://www.skyperfectjsat.space/jsat/ir/contact/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担当部署</w:t>
      </w:r>
      <w:r>
        <w:rPr>
          <w:rFonts w:eastAsia="Yu Gothic"/>
          <w:rFonts w:ascii="Yu Gothic" w:hAnsi="Yu Gothic"/>
          <w:b w:val="0"/>
          <w:sz w:val="20"/>
        </w:rPr>
        <w:t>：経営企画部 IR担当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本日決算フラッシュ（+3.40%の意味）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FY2026/3 EPS軌跡（四半期確認値）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四半期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EPS実績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コンセンサス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サプライズ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Q1 Apr-Jun 2025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¥19.41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N/A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Q2 Jul-Sep 2025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¥22.12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¥17.72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+24.8% 大幅Beat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Q3 Oct-Dec 2025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¥20.68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¥20.11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+2.8% Beat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Q4 Jan-Mar 2026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本日発表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不明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3Q累計：¥62.21/株 → NI推計¥176.3億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FY2025/3 NI ¥191.1億との比較で、Q4に¥40-45億以上の純利益が必要。今日+3.40%は概ね以下を示唆：</w:t>
      </w:r>
    </w:p>
    <w:p/>
    <w:p>
      <w:pPr>
        <w:spacing w:after="40"/>
        <w:ind w:left="283"/>
      </w:pPr>
      <w:r>
        <w:rPr>
          <w:rFonts w:eastAsia="Yu Gothic"/>
          <w:rFonts w:ascii="Yu Gothic" w:hAnsi="Yu Gothic"/>
          <w:b w:val="0"/>
          <w:sz w:val="20"/>
        </w:rPr>
        <w:t>①Q4がコンセンサスを上回った　②FY2027/3ガイダンスが市場想定を上回った　③防衛関連の長期契約・受注残の開示があった可能性</w:t>
      </w:r>
    </w:p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FY2026/3 全年NI推計：¥215-220億（+13-15% YoY）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株価軌跡分析：¥877 → ¥3,240（+269%）の謎を解く</w:t>
      </w:r>
    </w:p>
    <w:p/>
    <w:p>
      <w:pPr>
        <w:shd w:val="clear" w:fill="F2F2F2"/>
        <w:spacing w:after="80"/>
        <w:ind w:left="283"/>
      </w:pPr>
      <w:r>
        <w:rPr>
          <w:rFonts w:eastAsia="Yu Gothic" w:ascii="Courier New" w:hAnsi="Courier New"/>
          <w:rFonts w:ascii="Yu Gothic" w:hAnsi="Yu Gothic"/>
          <w:b w:val="0"/>
          <w:sz w:val="18"/>
        </w:rPr>
        <w:t>月次終値推移（yfinance実測）</w:t>
        <w:br/>
        <w:t>2024/04: ¥887  ← 起点（衛星TV事業の衰退不安で低迷）</w:t>
        <w:br/>
        <w:t>2024/08: ¥819  ← 52週安値圏</w:t>
        <w:br/>
        <w:t>2025/01: ¥904  ← まだほぼ動かず</w:t>
        <w:br/>
        <w:t>2025/03: ¥1,148 ← ①日本宇宙安全保障政策転換（宇宙基本計画改訂）</w:t>
        <w:br/>
        <w:t>2025/06: ¥1,416 ← ②防衛省との衛星通信サービス拡大報道</w:t>
        <w:br/>
        <w:t>2025/11: ¥1,920 ← ③Q2 FY2026/3 EPS +24.8%大幅Beat＋防衛受注拡大</w:t>
        <w:br/>
        <w:t>2026/02: ¥2,849 ← ④ホルムズ海峡緊張→宇宙防衛通信の不可欠性が全市場に認識</w:t>
        <w:br/>
        <w:t>2026/04: ¥3,240 ← ⑤本日決算ポジティブ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3段階の再評価（バリュエーション多重拡大）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期間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株価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推定PBR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再評価テーマ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2024年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¥820-900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0.82-0.90x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衰退TV事業として割安放置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2025年上半期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¥1,100-1,400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1.1-1.4x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宇宙防衛政策起点の初動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2025年後半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¥1,400-2,000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1.4-2.0x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防衛省受注確認×業績Beat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2026年現在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¥3,195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3.19x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ホルムズ有事×国産衛星唯一無二</w:t>
            </w:r>
          </w:p>
        </w:tc>
      </w:tr>
    </w:tbl>
    <w:p/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セグメント別分析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スペース事業（成長） — 投資対象の本体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主要サービス：</w:t>
      </w:r>
    </w:p>
    <w:p/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固定衛星通信（FSS）</w:t>
      </w:r>
      <w:r>
        <w:rPr>
          <w:rFonts w:eastAsia="Yu Gothic"/>
          <w:rFonts w:ascii="Yu Gothic" w:hAnsi="Yu Gothic"/>
          <w:b w:val="0"/>
          <w:sz w:val="20"/>
        </w:rPr>
        <w:t>：放送局・通信企業への衛星帯域リース（Ku/Ka/C帯）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防衛・安全保障通信</w:t>
      </w:r>
      <w:r>
        <w:rPr>
          <w:rFonts w:eastAsia="Yu Gothic"/>
          <w:rFonts w:ascii="Yu Gothic" w:hAnsi="Yu Gothic"/>
          <w:b w:val="0"/>
          <w:sz w:val="20"/>
        </w:rPr>
        <w:t>：自衛隊向けX帯衛星通信（最機密扱い、開示限定）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宇宙状況監視（SSA）</w:t>
      </w:r>
      <w:r>
        <w:rPr>
          <w:rFonts w:eastAsia="Yu Gothic"/>
          <w:rFonts w:ascii="Yu Gothic" w:hAnsi="Yu Gothic"/>
          <w:b w:val="0"/>
          <w:sz w:val="20"/>
        </w:rPr>
        <w:t>：内閣府宇宙政策委員会との国家プロジェクト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海事VSAT</w:t>
      </w:r>
      <w:r>
        <w:rPr>
          <w:rFonts w:eastAsia="Yu Gothic"/>
          <w:rFonts w:ascii="Yu Gothic" w:hAnsi="Yu Gothic"/>
          <w:b w:val="0"/>
          <w:sz w:val="20"/>
        </w:rPr>
        <w:t>：船舶・海上基地の通信インフラ</w:t>
      </w:r>
    </w:p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競争優位（取替不可能性）：</w:t>
      </w:r>
    </w:p>
    <w:p/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GEO衛星軌道スロット（経度位置）は物理的限界財。日本企業中最多保有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一度占有したスロットは法的に保護（ITU国際電気通信連合）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JSAT衛星フリートは防衛用途を含む多目的設計 → 代替不能な国防インフラ</w:t>
      </w:r>
    </w:p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Capex急増の正体：</w:t>
      </w:r>
    </w:p>
    <w:p/>
    <w:p>
      <w:pPr>
        <w:shd w:val="clear" w:fill="F2F2F2"/>
        <w:spacing w:after="80"/>
        <w:ind w:left="283"/>
      </w:pPr>
      <w:r>
        <w:rPr>
          <w:rFonts w:eastAsia="Yu Gothic" w:ascii="Courier New" w:hAnsi="Courier New"/>
          <w:rFonts w:ascii="Yu Gothic" w:hAnsi="Yu Gothic"/>
          <w:b w:val="0"/>
          <w:sz w:val="18"/>
        </w:rPr>
        <w:t>FY2022/3: ¥83.8億</w:t>
        <w:br/>
        <w:t>FY2023/3: ¥174.2億 (+108% YoY) ← 次世代衛星打上開始</w:t>
        <w:br/>
        <w:t>FY2024/3: ¥153.8億</w:t>
        <w:br/>
        <w:t>FY2025/3: ¥239.5億 (Capex/EBITDA = 50%) ← 防衛対応新衛星建造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このCapex急増は単なる更新投資ではなく、防衛需要に対応した</w:t>
      </w:r>
      <w:r>
        <w:rPr>
          <w:rFonts w:eastAsia="Yu Gothic"/>
          <w:rFonts w:ascii="Yu Gothic" w:hAnsi="Yu Gothic"/>
          <w:b/>
          <w:sz w:val="20"/>
        </w:rPr>
        <w:t>新規衛星能力増強</w:t>
      </w:r>
      <w:r>
        <w:rPr>
          <w:rFonts w:eastAsia="Yu Gothic"/>
          <w:rFonts w:ascii="Yu Gothic" w:hAnsi="Yu Gothic"/>
          <w:b w:val="0"/>
          <w:sz w:val="20"/>
        </w:rPr>
        <w:t>の可能性が高い。軌道に乗った衛星は15-20年間無形の高マージン収益を生成。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メディア事業（衰退） — 構造的衰退だが安定キャッシュ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SKYPerfecTV!の現状：</w:t>
      </w:r>
    </w:p>
    <w:p/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契約者数：約390万件（推定、減少傾向）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OTT（Netflix・Amazon・DAZN）に継続侵食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ただし高齢者層＋スポーツコンテンツの根強い需要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衰退速度：年▲2-4%程度（急崩壊ではない）</w:t>
      </w:r>
    </w:p>
    <w:p/>
    <w:p>
      <w:pPr>
        <w:spacing w:after="40"/>
        <w:ind w:left="283"/>
      </w:pPr>
      <w:r>
        <w:rPr>
          <w:rFonts w:eastAsia="Yu Gothic"/>
          <w:rFonts w:ascii="Yu Gothic" w:hAnsi="Yu Gothic"/>
          <w:b w:val="0"/>
          <w:sz w:val="20"/>
        </w:rPr>
        <w:t>メディアは「スペースへの転換コストを賄うキャッシュカウ」として機能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バランスシート分析（FY2025/3確認値）</w:t>
      </w:r>
    </w:p>
    <w:p/>
    <w:p>
      <w:pPr>
        <w:shd w:val="clear" w:fill="F2F2F2"/>
        <w:spacing w:after="80"/>
        <w:ind w:left="283"/>
      </w:pPr>
      <w:r>
        <w:rPr>
          <w:rFonts w:eastAsia="Yu Gothic" w:ascii="Courier New" w:hAnsi="Courier New"/>
          <w:rFonts w:ascii="Yu Gothic" w:hAnsi="Yu Gothic"/>
          <w:b w:val="0"/>
          <w:sz w:val="18"/>
        </w:rPr>
        <w:t>総資産          : ¥4,034億</w:t>
        <w:br/>
        <w:t>純資産          : ¥2,842億（自己資本比率70.4%→財務極めて健全）</w:t>
        <w:br/>
        <w:t>有利子負債(総)  : ¥551.5億</w:t>
        <w:br/>
        <w:t>現金            : ¥785.5億</w:t>
        <w:br/>
        <w:t>ネットキャッシュ : +¥234億（実質無借金）</w:t>
        <w:br/>
        <w:t>有形固定資産    : ¥1,151.8億（衛星・地上設備）</w:t>
        <w:br/>
        <w:t>土地帳簿価額    : ¥38.8億</w:t>
        <w:br/>
        <w:t>BPS            : ¥1,003/株</w:t>
        <w:br/>
        <w:t>ROE            : 7.9%（PBR 3.19xに対して低い）</w:t>
        <w:br/>
        <w:t>OPM            : 22.2%（衛星通信の高マージン）</w:t>
        <w:br/>
        <w:t>EBITDA Margin  : 38.6%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不動産含み益考察（NAV調整）</w:t>
      </w:r>
    </w:p>
    <w:p/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土地帳簿¥38.8億 → 地上局施設・本社（東京・港区）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港区・赤坂の不動産時価との差異：推計+¥20-40億（限定的）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真のNAVは有形固定資産内の</w:t>
      </w:r>
      <w:r>
        <w:rPr>
          <w:rFonts w:eastAsia="Yu Gothic"/>
          <w:rFonts w:ascii="Yu Gothic" w:hAnsi="Yu Gothic"/>
          <w:b/>
          <w:sz w:val="20"/>
        </w:rPr>
        <w:t>衛星自体の価値</w:t>
      </w:r>
      <w:r>
        <w:rPr>
          <w:rFonts w:eastAsia="Yu Gothic"/>
          <w:rFonts w:ascii="Yu Gothic" w:hAnsi="Yu Gothic"/>
          <w:b w:val="0"/>
          <w:sz w:val="20"/>
        </w:rPr>
        <w:t>が核心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衛星1基の軌道投入コスト：数百億円（¥200-400億/基）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軌道スロットの「独占的フランチャイズ価値」は帳簿外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調整BPS：¥1,050-1,100/株</w:t>
      </w:r>
      <w:r>
        <w:rPr>
          <w:rFonts w:eastAsia="Yu Gothic"/>
          <w:rFonts w:ascii="Yu Gothic" w:hAnsi="Yu Gothic"/>
          <w:b w:val="0"/>
          <w:sz w:val="20"/>
        </w:rPr>
        <w:t>（本質は衛星スロットの独占的フランチャイズ価値）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バリュエーション詳細</w:t>
      </w:r>
    </w:p>
    <w:p/>
    <w:p>
      <w:pPr>
        <w:shd w:val="clear" w:fill="F2F2F2"/>
        <w:spacing w:after="80"/>
        <w:ind w:left="283"/>
      </w:pPr>
      <w:r>
        <w:rPr>
          <w:rFonts w:eastAsia="Yu Gothic" w:ascii="Courier New" w:hAnsi="Courier New"/>
          <w:rFonts w:ascii="Yu Gothic" w:hAnsi="Yu Gothic"/>
          <w:b w:val="0"/>
          <w:sz w:val="18"/>
        </w:rPr>
        <w:t>EV = 時価総額¥9,056億 - ネットキャッシュ¥234億 = ¥8,822億</w:t>
        <w:br/>
        <w:t>EV/EBITDA : 18.5x（FY2025/3 EBITDA ¥477.6億ベース）</w:t>
        <w:br/>
        <w:t>EV/EBIT   : 32.1x</w:t>
        <w:br/>
        <w:t>EV/Revenue: 7.1x</w:t>
        <w:br/>
        <w:t>FCFイールド: 2.0%（¥184.2億/¥9,056億）</w:t>
        <w:br/>
        <w:t>PER(TTM)  : 42.7x</w:t>
        <w:br/>
        <w:t>PBR       : 3.19x（ROE 7.9%対比で割高）</w:t>
        <w:br/>
        <w:t>Beta      : 0.176（低ボラティリティ＝防衛的特性）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グローバル衛星通信ピア対比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企業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EV/EBITDA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SES（欧州）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~8x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汎用FSS、成熟市場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ViaSat（米）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~10x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防衛+民間ハイブリッド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Maxar（米）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~15x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防衛偵察衛星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9412 JSAT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18.5x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国産唯一の防衛衛星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グローバルピア比でもプレミアム評価。「日本版Maxar」として国家安全保障プレミアムが付与されている。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アナリストコンセンサス（最新月）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評価</w:t>
            </w:r>
          </w:p>
        </w:tc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件数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強気買い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買い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3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中立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売り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0</w:t>
            </w:r>
          </w:p>
        </w:tc>
      </w:tr>
    </w:tbl>
    <w:p/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TP算出根拠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Base TP ¥4,100（+28.3%）</w:t>
      </w:r>
    </w:p>
    <w:p/>
    <w:p>
      <w:pPr>
        <w:shd w:val="clear" w:fill="F2F2F2"/>
        <w:spacing w:after="80"/>
        <w:ind w:left="283"/>
      </w:pPr>
      <w:r>
        <w:rPr>
          <w:rFonts w:eastAsia="Yu Gothic" w:ascii="Courier New" w:hAnsi="Courier New"/>
          <w:rFonts w:ascii="Yu Gothic" w:hAnsi="Yu Gothic"/>
          <w:b w:val="0"/>
          <w:sz w:val="18"/>
        </w:rPr>
        <w:t>EV/EBITDA 22x × FY2027/3E EBITDA ¥520億 = EV ¥11,440億</w:t>
        <w:br/>
        <w:t>+ ネットキャッシュ ¥234億 = Equity ¥11,674億</w:t>
        <w:br/>
        <w:t>÷ 283.4M株 = ¥4,119/株 → ¥4,100</w:t>
        <w:br/>
        <w:br/>
        <w:t>根拠: 防衛契約フル稼働+メディア安定でEV/EBITDA 22xは正当化可能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Bull TP ¥5,200（+62.8%）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防衛省との超長期（10-20年）契約が開示 → DCF的フランチャイズ価値認識。EV/EBITDA 25x × ¥560億（防衛拡大） = EV ¥14,000 → 株価¥5,176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Bear TP ¥2,300（▲28.0%）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メディア契約者急減（年▲10%以上）でEBITDA¥420億以下。EV/EBITDA 14x = EV ¥5,880 → 株価¥2,154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期待値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 xml:space="preserve">¥3,195 × [(0.50×1.283) + (0.25×1.628) + (0.25×0.720)] = </w:t>
      </w:r>
      <w:r>
        <w:rPr>
          <w:rFonts w:eastAsia="Yu Gothic"/>
          <w:rFonts w:ascii="Yu Gothic" w:hAnsi="Yu Gothic"/>
          <w:b/>
          <w:sz w:val="20"/>
        </w:rPr>
        <w:t>¥3,892（+21.8%）</w:t>
      </w:r>
      <w:r>
        <w:rPr>
          <w:rFonts w:eastAsia="Yu Gothic"/>
          <w:rFonts w:ascii="Yu Gothic" w:hAnsi="Yu Gothic"/>
          <w:b w:val="0"/>
          <w:sz w:val="20"/>
        </w:rPr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Q-1定性変化分析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変化点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株価含意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ホルムズ海峡緊張（2026年初来）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海底ケーブル切断リスク→衛星通信の代替手段として再注目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構造的・不可逆的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日本防衛費2% GDP目標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FY2027/3に向け防衛通信予算急拡大中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スペース事業OP拡大の最大ドライバー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宇宙状況監視(SSA)国家事業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内閣府×防衛省×スカパーJSAT三位一体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非商業収益（補助金的）が加算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Q2 FY2026/3 EPS +24.8% Beat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業績の実力確認（ノイズでなく）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上方修正トレンドの確認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Capex ¥239.5億（前年比+56%）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新世代衛星建造への大型投資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短期FCF圧迫→長期EBITDA改善</w:t>
            </w:r>
          </w:p>
        </w:tc>
      </w:tr>
    </w:tbl>
    <w:p/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リスクシナリオ定量化</w:t>
      </w:r>
    </w:p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シナリオ1（メイン55%）：防衛契約フル展開×メディア緩慢衰退</w:t>
      </w:r>
    </w:p>
    <w:p/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FY2027/3 OP ¥300-310億（+10-13%）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株価→TP ¥4,100（Base TP達成）</w:t>
      </w:r>
    </w:p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シナリオ2（弱気20%）：FY2027/3ガイダンス保守的（NI¥190-200億）</w:t>
      </w:r>
    </w:p>
    <w:p/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コンセンサスFWD NI¥198億が事実→市場失望売り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現在PER 45.7x（FWD）は持続不可能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株価→¥2,500-2,800（PER 30-35x+ダウングレード）</w:t>
      </w:r>
    </w:p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シナリオ3（強気25%）：防衛10-20年長期契約開示</w:t>
      </w:r>
    </w:p>
    <w:p/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DCF価値が市場認識される（衛星耐用年数15年×防衛収益）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株価→¥5,200（Bull TP）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最大の懸念：PBR-ROE乖離</w:t>
      </w:r>
    </w:p>
    <w:p/>
    <w:p>
      <w:pPr>
        <w:shd w:val="clear" w:fill="F2F2F2"/>
        <w:spacing w:after="80"/>
        <w:ind w:left="283"/>
      </w:pPr>
      <w:r>
        <w:rPr>
          <w:rFonts w:eastAsia="Yu Gothic" w:ascii="Courier New" w:hAnsi="Courier New"/>
          <w:rFonts w:ascii="Yu Gothic" w:hAnsi="Yu Gothic"/>
          <w:b w:val="0"/>
          <w:sz w:val="18"/>
        </w:rPr>
        <w:t>現在PBR 3.19x を正当化するには ROE 15-20%が必要</w:t>
        <w:br/>
        <w:t>現在ROE  7.9% → 理論的適正PBR = 0.8-1.0x</w:t>
        <w:br/>
        <w:br/>
        <w:t>現在株価のPBR 3.19xは「将来ROEの急拡大」を完全織り込み済み</w:t>
        <w:br/>
        <w:t>防衛収益が実現しないと PBR 3x は持続不可能</w:t>
        <w:br/>
        <w:t>→ 最大リスクはROEが上がらないことへの見切り売り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ガイダンス考察</w:t>
      </w:r>
    </w:p>
    <w:p/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コンセンサスFWD NI ¥198億</w:t>
      </w:r>
      <w:r>
        <w:rPr>
          <w:rFonts w:eastAsia="Yu Gothic"/>
          <w:rFonts w:ascii="Yu Gothic" w:hAnsi="Yu Gothic"/>
          <w:b w:val="0"/>
          <w:sz w:val="20"/>
        </w:rPr>
        <w:t>（FY2027/3）はFY2026/3推計¥220億を下回る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可能性1：会社ガイダンスが保守的（日本企業標準）→実際は上振れ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可能性2：FY2026/3に一時的な防衛収益計上あり、FY2027/3は「通常」に戻る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可能性3：Capex増による減価償却増加でNI圧迫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本日発表のFY2027/3ガイダンス数値が最重要確認事項</w:t>
      </w:r>
      <w:r>
        <w:rPr>
          <w:rFonts w:eastAsia="Yu Gothic"/>
          <w:rFonts w:ascii="Yu Gothic" w:hAnsi="Yu Gothic"/>
          <w:b w:val="0"/>
          <w:sz w:val="20"/>
        </w:rPr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浅井スコア：+72（Watch → 打診30%）</w:t>
      </w:r>
    </w:p>
    <w:p/>
    <w:p>
      <w:pPr>
        <w:shd w:val="clear" w:fill="F2F2F2"/>
        <w:spacing w:after="80"/>
        <w:ind w:left="283"/>
      </w:pPr>
      <w:r>
        <w:rPr>
          <w:rFonts w:eastAsia="Yu Gothic" w:ascii="Courier New" w:hAnsi="Courier New"/>
          <w:rFonts w:ascii="Yu Gothic" w:hAnsi="Yu Gothic"/>
          <w:b w:val="0"/>
          <w:sz w:val="18"/>
        </w:rPr>
        <w:t>評価項目                                         スコア</w:t>
        <w:br/>
        <w:t>GEO衛星スロット取替不可能競争優位               +20pt</w:t>
        <w:br/>
        <w:t>ホルムズ×防衛×宇宙の三点整合（地政学的価値不可逆） +18pt</w:t>
        <w:br/>
        <w:t>本日決算+3.40%（ポジティブプリント）             + 8pt</w:t>
        <w:br/>
        <w:t>自己資本比率70.4%・ネットキャッシュ財務健全       + 7pt</w:t>
        <w:br/>
        <w:t>アナリスト80% BUY・低ベータ0.176               + 6pt</w:t>
        <w:br/>
        <w:t>PBR 3.19x vs ROE 7.9%（PBR-ROE乖離最大リスク） -10pt</w:t>
        <w:br/>
        <w:t>52週高値まで7%（値幅制限）                      - 8pt</w:t>
        <w:br/>
        <w:t>FCF利回り2%・Capex50% / EBITDA（自由資金少）   - 6pt</w:t>
        <w:br/>
        <w:t>FWD NI ¥198億はFY2026/3より低い（ガイダンス懸念） - 3pt</w:t>
        <w:br/>
        <w:t>合計                                           +72</w:t>
      </w:r>
    </w:p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ポジション管理：</w:t>
      </w:r>
    </w:p>
    <w:p/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打診30%（¥3,100-3,200水準）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本日のFY2027/3ガイダンス確認後：NI¥210億以上→本玉60%追加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52週高値¥3,420超えで確認追加買い（ブレイクアウト確認）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損切り：¥2,800（▲12.4%、25MA大幅割れ）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過去業績サマリー（FY2022/3〜FY2025/3 確認値）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1344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売上(億)</w:t>
            </w:r>
          </w:p>
        </w:tc>
        <w:tc>
          <w:tcPr>
            <w:tcW w:type="dxa" w:w="1344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OP(億)</w:t>
            </w:r>
          </w:p>
        </w:tc>
        <w:tc>
          <w:tcPr>
            <w:tcW w:type="dxa" w:w="1344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NI(億)</w:t>
            </w:r>
          </w:p>
        </w:tc>
        <w:tc>
          <w:tcPr>
            <w:tcW w:type="dxa" w:w="1344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EBITDA(億)</w:t>
            </w:r>
          </w:p>
        </w:tc>
        <w:tc>
          <w:tcPr>
            <w:tcW w:type="dxa" w:w="1344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FCF(億)</w:t>
            </w:r>
          </w:p>
        </w:tc>
        <w:tc>
          <w:tcPr>
            <w:tcW w:type="dxa" w:w="1344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Capex(億)</w:t>
            </w:r>
          </w:p>
        </w:tc>
      </w:tr>
      <w:tr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FY2022/3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1,196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188.6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145.8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443.7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+281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83.8</w:t>
            </w:r>
          </w:p>
        </w:tc>
      </w:tr>
      <w:tr>
        <w:tc>
          <w:tcPr>
            <w:tcW w:type="dxa" w:w="1344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FY2023/3</w:t>
            </w:r>
          </w:p>
        </w:tc>
        <w:tc>
          <w:tcPr>
            <w:tcW w:type="dxa" w:w="1344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1,211</w:t>
            </w:r>
          </w:p>
        </w:tc>
        <w:tc>
          <w:tcPr>
            <w:tcW w:type="dxa" w:w="1344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223.2</w:t>
            </w:r>
          </w:p>
        </w:tc>
        <w:tc>
          <w:tcPr>
            <w:tcW w:type="dxa" w:w="1344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158.1</w:t>
            </w:r>
          </w:p>
        </w:tc>
        <w:tc>
          <w:tcPr>
            <w:tcW w:type="dxa" w:w="1344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458.5</w:t>
            </w:r>
          </w:p>
        </w:tc>
        <w:tc>
          <w:tcPr>
            <w:tcW w:type="dxa" w:w="1344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+402</w:t>
            </w:r>
          </w:p>
        </w:tc>
        <w:tc>
          <w:tcPr>
            <w:tcW w:type="dxa" w:w="1344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174.2</w:t>
            </w:r>
          </w:p>
        </w:tc>
      </w:tr>
      <w:tr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FY2024/3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1,219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265.4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177.4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483.9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+270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153.8</w:t>
            </w:r>
          </w:p>
        </w:tc>
      </w:tr>
      <w:tr>
        <w:tc>
          <w:tcPr>
            <w:tcW w:type="dxa" w:w="1344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FY2025/3</w:t>
            </w:r>
          </w:p>
        </w:tc>
        <w:tc>
          <w:tcPr>
            <w:tcW w:type="dxa" w:w="1344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1,237</w:t>
            </w:r>
          </w:p>
        </w:tc>
        <w:tc>
          <w:tcPr>
            <w:tcW w:type="dxa" w:w="1344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274.9</w:t>
            </w:r>
          </w:p>
        </w:tc>
        <w:tc>
          <w:tcPr>
            <w:tcW w:type="dxa" w:w="1344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191.1</w:t>
            </w:r>
          </w:p>
        </w:tc>
        <w:tc>
          <w:tcPr>
            <w:tcW w:type="dxa" w:w="1344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477.6</w:t>
            </w:r>
          </w:p>
        </w:tc>
        <w:tc>
          <w:tcPr>
            <w:tcW w:type="dxa" w:w="1344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+184</w:t>
            </w:r>
          </w:p>
        </w:tc>
        <w:tc>
          <w:tcPr>
            <w:tcW w:type="dxa" w:w="1344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239.5</w:t>
            </w:r>
          </w:p>
        </w:tc>
      </w:tr>
      <w:tr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FY2026/3推計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~1,280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~290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~218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~520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~160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~260</w:t>
            </w:r>
          </w:p>
        </w:tc>
      </w:tr>
    </w:tbl>
    <w:p/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IR質問状（竹村トレードカンパニー名義）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宛先</w:t>
      </w:r>
      <w:r>
        <w:rPr>
          <w:rFonts w:eastAsia="Yu Gothic"/>
          <w:rFonts w:ascii="Yu Gothic" w:hAnsi="Yu Gothic"/>
          <w:b w:val="0"/>
          <w:sz w:val="20"/>
        </w:rPr>
        <w:t>：スカパーJSATホールディングス株式会社 IR担当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問合せURL</w:t>
      </w:r>
      <w:r>
        <w:rPr>
          <w:rFonts w:eastAsia="Yu Gothic"/>
          <w:rFonts w:ascii="Yu Gothic" w:hAnsi="Yu Gothic"/>
          <w:b w:val="0"/>
          <w:sz w:val="20"/>
        </w:rPr>
        <w:t>：https://www.skyperfectjsat.space/jsat/ir/contact/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竹村トレードカンパニーの浅井と申します。本日の決算発表に関連して以下をご確認させてください。</w:t>
      </w:r>
    </w:p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Q1. 防衛・安全保障セグメントの売上規模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FY2026/3における防衛省・自衛隊関連の衛星通信サービスの売上高（または受注残）の規模感を、可能な範囲でお教えいただけますでしょうか。また、FY2027/3以降の防衛需要の見通し（受注継続・拡大・横ばい）を教えてください。</w:t>
      </w:r>
    </w:p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Q2. Capex急増（FY2025/3: ¥239.5億）の用途内訳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FY2025/3のCapex¥239.5億の主な用途（新衛星建造、防衛対応投資、地上局整備等）の概要と、FY2026/3・FY2027/3のCapex計画を教えてください。</w:t>
      </w:r>
    </w:p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Q3. コンセンサスFWD NI ¥198億の評価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アナリストコンセンサスではFY2027/3 NI¥198億（FY2026/3推計比▲10%）が示されていますが、この減益の主要因（一時的要因の剥落？減価償却増加？メディア衰退？）を教えてください。</w:t>
      </w:r>
    </w:p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Q4. スペース事業とメディア事業の利益構成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両セグメントのFY2026/3の営業利益比率（スペース vs メディア）と、FY2027/3以降の中期的なシフト方向性を教えてください。</w:t>
      </w:r>
    </w:p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Q5. 宇宙状況監視（SSA）ビジネスの商業化見通し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内閣府・防衛省とのSSA連携プロジェクトにおける収益化の時期と規模（補助金・収益化の見通し）をお伺いできますでしょうか。</w:t>
      </w:r>
    </w:p>
    <w:p/>
    <w:p/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*本レポートは2026年4月28日時点の情報に基づき作成。FY2026/3決算本日発表を反映。株価データはyfinance取得のリアルタイム値。*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*作成：深井（オーキッドツリーキャピタル アナリストチーム）*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