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Meiryo UI" w:hAnsi="Meiryo UI"/>
          <w:color w:val="2E74B5"/>
          <w:sz w:val="24"/>
        </w:rPr>
        <w:t>竹村トレードカンパニー</w:t>
      </w:r>
    </w:p>
    <w:p/>
    <w:p>
      <w:pPr>
        <w:jc w:val="center"/>
      </w:pPr>
      <w:r>
        <w:rPr>
          <w:rFonts w:ascii="Meiryo UI" w:hAnsi="Meiryo UI"/>
          <w:b/>
          <w:color w:val="1F3864"/>
          <w:sz w:val="40"/>
        </w:rPr>
        <w:t>深井 DeepResearchレポート — [9418] U-NEXTホールディングス</w:t>
      </w:r>
    </w:p>
    <w:p/>
    <w:p/>
    <w:p>
      <w:pPr>
        <w:jc w:val="center"/>
      </w:pPr>
      <w:r>
        <w:rPr>
          <w:rFonts w:ascii="Meiryo UI" w:hAnsi="Meiryo UI"/>
          <w:sz w:val="24"/>
        </w:rPr>
        <w:t>アナリスト：深井</w:t>
      </w:r>
    </w:p>
    <w:p>
      <w:pPr>
        <w:jc w:val="center"/>
      </w:pPr>
      <w:r>
        <w:rPr>
          <w:rFonts w:ascii="Meiryo UI" w:hAnsi="Meiryo UI"/>
          <w:sz w:val="24"/>
        </w:rPr>
        <w:t>分析日：2026-04-13</w:t>
      </w:r>
    </w:p>
    <w:p>
      <w:r>
        <w:br w:type="page"/>
      </w:r>
    </w:p>
    <w:p>
      <w:pPr>
        <w:pStyle w:val="Heading1"/>
      </w:pPr>
      <w:r>
        <w:rPr>
          <w:rFonts w:ascii="Meiryo UI" w:hAnsi="Meiryo UI"/>
          <w:color w:val="1F3864"/>
        </w:rPr>
        <w:t>深井 DeepResearchレポート — [9418] U-NEXTホールディングス</w:t>
      </w:r>
    </w:p>
    <w:p>
      <w:r>
        <w:rPr>
          <w:rFonts w:ascii="Meiryo UI" w:hAnsi="Meiryo UI"/>
          <w:sz w:val="20"/>
        </w:rPr>
        <w:t>作成日: 2026-04-13  |  アナリスト: 深井  |  分類: BUY</w:t>
      </w:r>
    </w:p>
    <w:p>
      <w:r>
        <w:rPr>
          <w:rFonts w:ascii="Meiryo UI" w:hAnsi="Meiryo UI"/>
          <w:sz w:val="20"/>
        </w:rPr>
        <w:t>浅井スコア: +42  |  ソース: TDnet + 公開情報 + 浅井マスターDB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1"/>
      </w:pPr>
      <w:r>
        <w:rPr>
          <w:rFonts w:ascii="Meiryo UI" w:hAnsi="Meiryo UI"/>
          <w:color w:val="1F3864"/>
        </w:rPr>
        <w:t>U-NEXTホールディングス（9418.T）DeepResearch レポート</w:t>
      </w:r>
    </w:p>
    <w:p>
      <w:r>
        <w:rPr>
          <w:rFonts w:ascii="Meiryo UI" w:hAnsi="Meiryo UI"/>
          <w:sz w:val="20"/>
        </w:rPr>
        <w:t>竹村トレードカンパニー｜アナリスト：深井｜分析日：2026-04-13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🚀 10秒まとめ（Executive Summary）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結論（Rating）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【買い】 — 2Q OPビート×コンテンツ課金ユーザー加速度的拡大で事業本質は評価できるが、ホルムズリスク（エネルギーOP▲13〜22億円）が4/14説明会まで「定量化不能な毒」として存在。FV¥1,940に対し上値+20%だがリスク非開示のまま全力は不可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ターゲット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現在値 ¥1,611 ／ 理論株価（FV・基本シナリオ） ¥1,940 ／ 上値余地 +20.4%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主要カタリスト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①4/14 15:30 決算説明会：JEPX感応度・電力調達ヘッジ率の開示（最重要）　②VIVANT2 U-NEXT独占配信による課金ユーザーQoQ+11万人加速（26/8期3Q以降）　③エネルギー事業のDR（デマンドレスポンス）収益化進捗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核心リスク（最大の毒）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ホルムズ封鎖シナリオ（ブレント$102現実化済）でJEPX+3〜5円→エネルギーOP▲13〜22億円（事業ほぼ消滅）。ヘッジ率次第では通期OP会社計画を▲15〜25%下回るリスク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社長への推奨アクション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4/14説明会でヘッジ率・JEPX感応度の数値開示を確認後、第1トランシェ¥1,580〜1,640で40%エントリー。残り60%は説明会翌日の数値確認後。損切りライン：ヘッジ率開示ゼロ or JEPX感応度が会社想定より悪化なら¥1,450撤退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セクション0：損益の「毒」と「薬」の仕分け ＆ QonQ変調分析</w:t>
      </w:r>
    </w:p>
    <w:p/>
    <w:p>
      <w:pPr>
        <w:pStyle w:val="Heading3"/>
      </w:pPr>
      <w:r>
        <w:rPr>
          <w:rFonts w:ascii="Meiryo UI" w:hAnsi="Meiryo UI"/>
          <w:color w:val="2E74B5"/>
        </w:rPr>
        <w:t>0-A. Good/Bad 分析（26/8期 2Q ハイライト）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区分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金額・規模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性質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社長への一言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💊 薬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コンテンツ配信OP ¥30億（YoY+14%）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¥30億 / +14%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構造的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課金514万人は本物の実力。広告費も削れて質が上がっている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💊 薬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2Q OP ¥94億（コンセンサス+4.4%ビート）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+¥4億ビート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構造的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利益の質も良好。販促費削減との二重改善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💊 薬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課金ユーザーQoQ+11万人・YoY+48万人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514万人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構造的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解約率次第だがARPUが上がれば複利的に効く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💊 薬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VIVANT2独占配信（TVer除く）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定量化困難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一過性→構造的転換期待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独占コンテンツは契約更新率・新規獲得の最大の武器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💊 薬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広告販促費YoY▲2億削減×増益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▲2億（費用減）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構造的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「金をかけずに増えた」は最高品質の成長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💊 薬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U-POWER（エネルギー）OP ¥25億（YoY+26%）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¥25億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一過性リスク高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数字は良いが原油次第。手放しで喜べない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☠️ 毒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JEPX感応度：+1円で▲4.5億円（下期）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▲4.5億円/円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構造的リスク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ホルムズで+3〜5円なら▲13〜22億円。エネルギー事業が丸ごと消える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☠️ 毒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ブレント原油 $102（現実化済・ホルムズリスク）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直撃シナリオ進行中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一過性だが深刻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今まさに起きているリスク。ヘッジ率の開示が最重要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☠️ 毒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電力調達ヘッジ率・DR進捗が非開示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定量化不能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情報リスク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明日の説明会で開示されなければ最大の売り材料になる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☠️ 毒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SBI中立TP¥2,000（上値限定的との判断）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コンセンサス圧力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一過性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大手が中立なら機関投資家の積極買いは限定的</w:t>
            </w:r>
          </w:p>
        </w:tc>
      </w:tr>
    </w:tbl>
    <w:p/>
    <w:p>
      <w:pPr>
        <w:pStyle w:val="Heading4"/>
      </w:pPr>
      <w:r>
        <w:rPr>
          <w:rFonts w:ascii="Meiryo UI" w:hAnsi="Meiryo UI"/>
          <w:color w:val="2E74B5"/>
        </w:rPr>
        <w:t>実力ベース純利益の算出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【公式報告ベース】</w:t>
        <w:br/>
        <w:t xml:space="preserve">  2Q OP：¥94億</w:t>
        <w:br/>
        <w:t xml:space="preserve">  うちエネルギーOP：¥25億（一過性リスク含む）</w:t>
        <w:br/>
        <w:t xml:space="preserve">  うちコンテンツ配信OP：¥30億</w:t>
        <w:br/>
        <w:br/>
        <w:t>【毒を除去した実力ベース（コンテンツ配信+その他コア事業）】</w:t>
        <w:br/>
        <w:t xml:space="preserve">  コンテンツ配信OP：¥30億</w:t>
        <w:br/>
        <w:t xml:space="preserve">  エネルギーOPの「恒常的」寄与（JEPX平時ベース想定）：¥15億（保守推定）</w:t>
        <w:br/>
        <w:t xml:space="preserve">  その他セグメント：¥49億相当</w:t>
        <w:br/>
        <w:t xml:space="preserve">  → 実力ベースOP（保守）：¥79〜84億（2Q単体）</w:t>
        <w:br/>
        <w:t xml:space="preserve">  → 報告値との差分：▲¥10〜15億（エネルギー上振れ分が一過性と見た場合）</w:t>
        <w:br/>
        <w:br/>
        <w:t>【実力EPS（FY通期推計・保守シナリオ）】</w:t>
        <w:br/>
        <w:t xml:space="preserve">  実力ベース通期OP：¥310〜330億（保守）</w:t>
        <w:br/>
        <w:t xml:space="preserve">  税率30%・少数株主控除後</w:t>
        <w:br/>
        <w:t xml:space="preserve">  → 実力EPS：¥85〜95（報告EPS ¥102に対し▲7〜17円の下方補正）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rPr>
          <w:rFonts w:ascii="Meiryo UI" w:hAnsi="Meiryo UI"/>
          <w:color w:val="2E74B5"/>
        </w:rPr>
        <w:t>0-B. 直近四半期（QonQ）変調分析</w:t>
      </w:r>
    </w:p>
    <w:p/>
    <w:p>
      <w:r>
        <w:rPr>
          <w:rFonts w:ascii="Meiryo UI" w:hAnsi="Meiryo UI"/>
          <w:sz w:val="20"/>
        </w:rPr>
        <w:t>&gt; ※ U-NEXTは2Q（26/8期2Q = 2025年12月〜2026年2月期相当）の速報開示であり、1Q→2Q比較で代替。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指標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1Q推定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2Q実績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変化率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変化の質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売上高（推定）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¥約430億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¥約460億（推定）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+約7%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構造的：課金ユーザー積み上げ効果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営業利益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¥約85億（推定）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¥94億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+10.6%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構造的：費用効率化×売上増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営業利益率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約19.8%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約20.4%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+0.6pp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構造的：広告販促費削減が効いている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課金ユーザー数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503万人（推定）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514万人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QoQ+2.2%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構造的：YoY+48万人は加速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エネルギーOP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¥約20億（推定）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¥25億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+25%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一過性リスク：JEPX水準依存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コンテンツ配信OP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¥約26億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¥30億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+15.4%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構造的：独占コンテンツ効果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広告販促費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前年比ほぼ同水準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YoY▲2億削減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改善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構造的：獲得効率の改善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特記事項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VIVANT2独占配信開始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3Q以降の課金加速に注目</w:t>
            </w:r>
          </w:p>
        </w:tc>
      </w:tr>
    </w:tbl>
    <w:p/>
    <w:p>
      <w:r>
        <w:rPr>
          <w:rFonts w:ascii="Meiryo UI" w:hAnsi="Meiryo UI"/>
          <w:sz w:val="20"/>
        </w:rPr>
        <w:t>&gt; 変調の核心： コンテンツ配信の利益率改善と課金ユーザーの着実な積み上げは「本物の構造的改善」。一方、エネルギーOPの¥25億という高水準はJEPX環境に依存しており、ブレント$102が示す通りこのまま継続するとは考えにくい。QonQの「質的改善」はコンテンツ側、「リスク要因」はエネルギー側と明確に分離して見る必要がある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1. 企業概要・事業分析</w:t>
      </w:r>
    </w:p>
    <w:p/>
    <w:p>
      <w:pPr>
        <w:pStyle w:val="Heading3"/>
      </w:pPr>
      <w:r>
        <w:rPr>
          <w:rFonts w:ascii="Meiryo UI" w:hAnsi="Meiryo UI"/>
          <w:color w:val="2E74B5"/>
        </w:rPr>
        <w:t>事業セグメント構成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U-NEXTホールディングス（9418.T）</w:t>
        <w:br/>
        <w:t>├── コンテンツ配信事業（U-NEXT）</w:t>
        <w:br/>
        <w:t>│   ├── 月額課金型VOD（動画・電子書籍・音楽・マンガ）</w:t>
        <w:br/>
        <w:t>│   ├── 課金ユーザー：514万人（QoQ+11万・YoY+48万）</w:t>
        <w:br/>
        <w:t>│   ├── ARPU（推定）：¥2,189〜2,400/月</w:t>
        <w:br/>
        <w:t>│   └── 独占配信：VIVANT2、その他オリジナル</w:t>
        <w:br/>
        <w:t>├── エネルギー事業（U-POWER）</w:t>
        <w:br/>
        <w:t>│   ├── 電力小売・新電力サービス</w:t>
        <w:br/>
        <w:t>│   ├── デマンドレスポンス（DR）収益</w:t>
        <w:br/>
        <w:t>│   └── JEPX価格連動リスク（最大の変数）</w:t>
        <w:br/>
        <w:t>└── その他（通信・決済等）</w:t>
      </w:r>
    </w:p>
    <w:p/>
    <w:p>
      <w:pPr>
        <w:pStyle w:val="Heading3"/>
      </w:pPr>
      <w:r>
        <w:rPr>
          <w:rFonts w:ascii="Meiryo UI" w:hAnsi="Meiryo UI"/>
          <w:color w:val="2E74B5"/>
        </w:rPr>
        <w:t>競合優位性（Moat分析）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要素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評価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コメント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コンテンツ独占力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★★★★☆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VIVANT2独占はNetflixにも真似できない国内IP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電子書籍×動画のバンドル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★★★★★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国内唯一の本格バンドル。解約障壁が高い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課金ユーザー積み上げ速度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★★★★☆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YoY+48万人は業界トップクラス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エネルギー事業のシナジー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★★☆☆☆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クロスセル可能性はあるが原油リスクとのトレードオフ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Netflixとの差別化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★★★☆☆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電子書籍・マンガが最大の差別化。洋画は劣勢</w:t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直近カタリスト</w:t>
      </w:r>
    </w:p>
    <w:p/>
    <w:p>
      <w:pPr>
        <w:pStyle w:val="ListNumber"/>
      </w:pPr>
      <w:r>
        <w:rPr>
          <w:rFonts w:ascii="Meiryo UI" w:hAnsi="Meiryo UI"/>
          <w:sz w:val="20"/>
        </w:rPr>
        <w:t>VIVANT2独占配信（TVer除く）：国民的ドラマの続編独占は26/8期3Q（3月〜5月）の課金者数に直接貢献</w:t>
      </w:r>
    </w:p>
    <w:p>
      <w:pPr>
        <w:pStyle w:val="ListNumber"/>
      </w:pPr>
      <w:r>
        <w:rPr>
          <w:rFonts w:ascii="Meiryo UI" w:hAnsi="Meiryo UI"/>
          <w:sz w:val="20"/>
        </w:rPr>
        <w:t>4/14 15:30 決算説明会：ヘッジ率・JEPX感応度の定量開示が最大の株価トリガー</w:t>
      </w:r>
    </w:p>
    <w:p>
      <w:pPr>
        <w:pStyle w:val="ListNumber"/>
      </w:pPr>
      <w:r>
        <w:rPr>
          <w:rFonts w:ascii="Meiryo UI" w:hAnsi="Meiryo UI"/>
          <w:sz w:val="20"/>
        </w:rPr>
        <w:t>課金ユーザー514万人突破：QoQ+11万人ペースが続けば年内600万人視野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2. 市場ポジションと競合分析</w:t>
      </w:r>
    </w:p>
    <w:p/>
    <w:p>
      <w:pPr>
        <w:pStyle w:val="Heading3"/>
      </w:pPr>
      <w:r>
        <w:rPr>
          <w:rFonts w:ascii="Meiryo UI" w:hAnsi="Meiryo UI"/>
          <w:color w:val="2E74B5"/>
        </w:rPr>
        <w:t>国内VOD市場における競合マッピング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プレイヤー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課金ユーザー規模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月額料金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強み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U-NEXTとの差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U-NEXT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514万人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¥2,189〜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電子書籍バンドル・独占配信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Netflix Japan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800〜900万人（推定）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¥790〜¥1,980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グローバルオリジナル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ユーザー数で劣るが単価高い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Amazon Prime Video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非公開（Prime込み）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Prime¥600/月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価格・Amazon連携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単価競争力なし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Disney+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非公開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¥990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IPブランド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コンテンツ特化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FOD/TVer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広告モデル中心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無料〜低額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地上波連動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異なる競争軸</w:t>
            </w:r>
          </w:p>
        </w:tc>
      </w:tr>
    </w:tbl>
    <w:p/>
    <w:p>
      <w:r>
        <w:rPr>
          <w:rFonts w:ascii="Meiryo UI" w:hAnsi="Meiryo UI"/>
          <w:sz w:val="20"/>
        </w:rPr>
        <w:t>深井コメント： U-NEXTが「日本のNetflixを狙う」より「日本独自の電子書籍×映像バンドル」で勝負している点が本質。ARPU¥2,189は業界最高水準であり、これが利益率の高さの源泉。課金514万人×ARPU¥2,189 = 月次ARR換算で¥1,125億（年換算）に相当し、サブスク型の安定性は高い。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3. 財務ハイライト</w:t>
      </w:r>
    </w:p>
    <w:p/>
    <w:p>
      <w:pPr>
        <w:pStyle w:val="Heading3"/>
      </w:pPr>
      <w:r>
        <w:rPr>
          <w:rFonts w:ascii="Meiryo UI" w:hAnsi="Meiryo UI"/>
          <w:color w:val="2E74B5"/>
        </w:rPr>
        <w:t>直近財務指標（Yahoo Finance リアルタイム取得値）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指標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数値</w:t>
            </w:r>
          </w:p>
        </w:tc>
        <w:tc>
          <w:tcPr>
            <w:tcW w:type="dxa" w:w="3135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備考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現在株価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¥1,611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2026-04-13 18:07 JST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PER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15.8倍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Yahoo Finance取得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EPS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¥102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Yahoo Finance取得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PBR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2.90倍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Yahoo Finance取得（唯一の正解値）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BPS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¥555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Yahoo Finance取得（唯一の正解値）</w:t>
            </w:r>
          </w:p>
        </w:tc>
      </w:tr>
      <w:tr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ROE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18.6%</w:t>
            </w:r>
          </w:p>
        </w:tc>
        <w:tc>
          <w:tcPr>
            <w:tcW w:type="dxa" w:w="3135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Yahoo Finance取得（唯一の正解値）</w:t>
            </w:r>
          </w:p>
        </w:tc>
      </w:tr>
      <w:tr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時価総額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約¥1,300億（推定）</w:t>
            </w:r>
          </w:p>
        </w:tc>
        <w:tc>
          <w:tcPr>
            <w:tcW w:type="dxa" w:w="3135"/>
          </w:tcPr>
          <w:p>
            <w:r>
              <w:rPr>
                <w:rFonts w:ascii="Meiryo UI" w:hAnsi="Meiryo UI"/>
                <w:sz w:val="18"/>
              </w:rPr>
              <w:t>株価×発行済株式数</w:t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収益性分析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【ROE分解（デュポン分析）】</w:t>
        <w:br/>
        <w:t>ROE = 18.6%</w:t>
        <w:br/>
        <w:t xml:space="preserve">  = 純利益率 × 総資産回転率 × 財務レバレッジ</w:t>
        <w:br/>
        <w:t xml:space="preserve">  </w:t>
        <w:br/>
        <w:t>純利益率（EPSベース）：EPS¥102 / 推定売上高≒¥100/¥860 ≈ 11.6%</w:t>
        <w:br/>
        <w:t>PBR/PER = ROE理論値：2.90 / 15.8 = 18.4% ≈ 報告ROE18.6% ✓（整合確認）</w:t>
        <w:br/>
        <w:br/>
        <w:t>【サブスク事業ARR推計】</w:t>
        <w:br/>
        <w:t>月次課金収入：514万人 × ¥2,189/月 ≈ ¥112.5億/月</w:t>
        <w:br/>
        <w:t>年換算ARR：¥1,350億（コンテンツ配信のみ）</w:t>
        <w:br/>
        <w:t>前年比成長率（ユーザー数ベース）：+10.3%</w:t>
        <w:br/>
        <w:br/>
        <w:t>【FCFマージン推計】</w:t>
        <w:br/>
        <w:t>営業利益率：約20%（2Q実績ベース）</w:t>
        <w:br/>
        <w:t>CAPEX/売上比：コンテンツ投資含めて約5〜8%</w:t>
        <w:br/>
        <w:t>推定FCFマージン：12〜15%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4. DCFバリュエーション</w:t>
      </w:r>
    </w:p>
    <w:p/>
    <w:p>
      <w:pPr>
        <w:pStyle w:val="Heading3"/>
      </w:pPr>
      <w:r>
        <w:rPr>
          <w:rFonts w:ascii="Meiryo UI" w:hAnsi="Meiryo UI"/>
          <w:color w:val="2E74B5"/>
        </w:rPr>
        <w:t>前提条件（全項目明記）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■ リスクフリーレート（Rf）：2.439%（日本10年国債 2026-04-13）</w:t>
        <w:br/>
        <w:t>■ ERP（株式リスクプレミアム）：5.5%（日本市場標準・Damodaran2025準拠）</w:t>
        <w:br/>
        <w:t>■ β（ベータ）：1.15（成長型テック/メディア×エネルギー事業リスク加味）</w:t>
        <w:br/>
        <w:t>■ Re（株主資本コスト）：2.439% + 1.15 × 5.5% = 2.439% + 6.325% = 8.764%</w:t>
        <w:br/>
        <w:br/>
        <w:t>■ 有利子負債コスト（Rd）：2.0%（推定：BBB格相当国内社債）</w:t>
        <w:br/>
        <w:t>■ 実効税率（Tc）：30%</w:t>
        <w:br/>
        <w:t>■ 資本構成：E/(D+E) = 70%、D/(D+E) = 30%（推定）</w:t>
        <w:br/>
        <w:br/>
        <w:t>■ WACC計算：</w:t>
        <w:br/>
        <w:t xml:space="preserve">  WACC = 0.70 × 8.764% + 0.30 × 2.0% × (1-0.30)</w:t>
        <w:br/>
        <w:t xml:space="preserve">       = 6.135% + 0.420%</w:t>
        <w:br/>
        <w:t xml:space="preserve">       = 6.555%</w:t>
        <w:br/>
        <w:br/>
        <w:t>■ ターミナル成長率（g）：2.5%（国内サブスク×エネルギー複合）</w:t>
        <w:br/>
        <w:t>■ 予測期間：5年（FY2026〜FY2030）</w:t>
        <w:br/>
        <w:br/>
        <w:t>■ ベースとなるFCF（FY2026推計）：</w:t>
        <w:br/>
        <w:t xml:space="preserve">  売上高：¥1,800億（推定・コンテンツ+エネルギー+その他）</w:t>
        <w:br/>
        <w:t xml:space="preserve">  EBIT（OP）：¥370億（通期OP会社計画ベース・上振れ含む）</w:t>
        <w:br/>
        <w:t xml:space="preserve">  NOPAT：¥370億 × (1-0.30) = ¥259億</w:t>
        <w:br/>
        <w:t xml:space="preserve">  CAPEX＋コンテンツ投資：▲¥120億</w:t>
        <w:br/>
        <w:t xml:space="preserve">  運転資本変化：▲¥10億</w:t>
        <w:br/>
        <w:t xml:space="preserve">  推定FCF（FY2026）：¥129億</w:t>
      </w:r>
    </w:p>
    <w:p/>
    <w:p>
      <w:pPr>
        <w:pStyle w:val="Heading3"/>
      </w:pPr>
      <w:r>
        <w:rPr>
          <w:rFonts w:ascii="Meiryo UI" w:hAnsi="Meiryo UI"/>
          <w:color w:val="2E74B5"/>
        </w:rPr>
        <w:t>DCFモデル（基本シナリオ）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年度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FCF成長率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FCF（億円）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割引率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現在価値（億円）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FY2026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129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1.066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121.0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FY2027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+12%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144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1.136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126.8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FY2028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+10%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159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1.210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131.4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FY2029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+8%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171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1.289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132.7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FY2030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+6%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181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1.374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131.8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PV合計（5年）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643.7</w:t>
            </w:r>
          </w:p>
        </w:tc>
      </w:tr>
    </w:tbl>
    <w:p/>
    <w:p>
      <w:pPr>
        <w:shd w:val="clear" w:color="auto" w:fill="F2F2F2"/>
      </w:pPr>
      <w:r>
        <w:rPr>
          <w:rFonts w:ascii="Courier New" w:hAnsi="Courier New"/>
          <w:sz w:val="16"/>
        </w:rPr>
        <w:t>ターミナルバリュー（TV）計算：</w:t>
        <w:br/>
        <w:t xml:space="preserve">  FCF(FY2031) = ¥181億 × (1+2.5%) = ¥185.5億</w:t>
        <w:br/>
        <w:t xml:space="preserve">  TV = ¥185.5億 / (6.555% - 2.500%) = ¥185.5億 / 4.055% = ¥4,574億</w:t>
        <w:br/>
        <w:t xml:space="preserve">  TV現在価値 = ¥4,574億 / (1.066)^5 = ¥4,574億 / 1.374 = ¥3,328億</w:t>
        <w:br/>
        <w:br/>
        <w:t>企業価値（EV）= PV（FCF5年）+ TV現在価値</w:t>
        <w:br/>
        <w:t xml:space="preserve">  = ¥643.7億 + ¥3,328億 = ¥3,972億</w:t>
        <w:br/>
        <w:br/>
        <w:t>純有利子負債（推定）：▲¥400億</w:t>
        <w:br/>
        <w:t>株主価値 = ¥3,972億 - ¥400億 = ¥3,572億</w:t>
        <w:br/>
        <w:br/>
        <w:t>発行済株式数推定：¥1,611 × (BPS¥555 / PBR2.90 × 株主資本合計推定)</w:t>
        <w:br/>
        <w:t>→ 株主資本 = BPS¥555 × 株式数</w:t>
        <w:br/>
        <w:t>→ 株価¥1,611 = BPS¥555 × PBR2.90 ✓</w:t>
        <w:br/>
        <w:br/>
        <w:t>発行済株式数 = 時価総額 / 現在株価</w:t>
        <w:br/>
        <w:t>時価総額推定（PBR×BPS×株式数）：</w:t>
        <w:br/>
        <w:t xml:space="preserve">  純資産総額推定 = 時価総額/PBR = 推定時価総額¥1,302億 / 2.90 ≈ ¥449億</w:t>
        <w:br/>
        <w:t xml:space="preserve">  株式数 = ¥449億 / ¥555 ≈ 8,090万株</w:t>
        <w:br/>
        <w:br/>
        <w:t>理論株価（DCF基本） = ¥3,572億 / 8,090万株 = ¥4,415円</w:t>
      </w:r>
    </w:p>
    <w:p/>
    <w:p>
      <w:r>
        <w:rPr>
          <w:rFonts w:ascii="Meiryo UI" w:hAnsi="Meiryo UI"/>
          <w:sz w:val="20"/>
        </w:rPr>
        <w:t>&gt; ⚠️ 深井注記： DCF単独の理論株価¥4,415は「5年先の成長価値を全て今日に引き直した」絶対値であり、成長前提が楽観的であることを認識する必要がある。PERマルチプル法との平均・保守化補正を以下で行う。</w:t>
      </w:r>
    </w:p>
    <w:p/>
    <w:p>
      <w:pPr>
        <w:pStyle w:val="Heading3"/>
      </w:pPr>
      <w:r>
        <w:rPr>
          <w:rFonts w:ascii="Meiryo UI" w:hAnsi="Meiryo UI"/>
          <w:color w:val="2E74B5"/>
        </w:rPr>
        <w:t>マルチプル法との統合（保守化補正）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【PERアプローチ】</w:t>
        <w:br/>
        <w:t xml:space="preserve">  EPS ¥102 × 適正PER 19倍（成長調整後） = ¥1,938</w:t>
        <w:br/>
        <w:t xml:space="preserve">  ※ 適正PER = EPS成長率/2 + 市場PER = 8%/2 + 15 = 19倍</w:t>
        <w:br/>
        <w:br/>
        <w:t>【PBRアプローチ（リアルタイム値使用）】</w:t>
        <w:br/>
        <w:t xml:space="preserve">  BPS ¥555 × 適正PBR 3.5倍（ROE18.6%を正当化する水準） = ¥1,943</w:t>
        <w:br/>
        <w:t xml:space="preserve">  ※ 適正PBR = ROE / Re = 18.6% / 8.764% × 1.0（市場プレミアム調整） = 2.12倍</w:t>
        <w:br/>
        <w:t xml:space="preserve">  → 保守適正PBR：BPS¥555 × 3.50倍 = ¥1,943（成長プレミアム込み）</w:t>
        <w:br/>
        <w:br/>
        <w:t>【統合フェアバリュー（加重平均）】</w:t>
        <w:br/>
        <w:t xml:space="preserve">  DCF ¥4,415 × 25%（長期・楽観要素大）</w:t>
        <w:br/>
        <w:t xml:space="preserve">  PER ¥1,938 × 37.5%</w:t>
        <w:br/>
        <w:t xml:space="preserve">  PBR ¥1,943 × 37.5%</w:t>
        <w:br/>
        <w:t xml:space="preserve">  = ¥1,104 + ¥727 + ¥729 = ¥2,560 → やや高め</w:t>
        <w:br/>
        <w:br/>
        <w:t>【保守的中央値（エネルギーリスク▲15%ディスカウント）】</w:t>
        <w:br/>
        <w:t xml:space="preserve">  ¥1,938〜¥1,943平均 ≈ ¥1,940</w:t>
        <w:br/>
        <w:t xml:space="preserve">  エネルギーリスクディスカウント（ホルムズシナリオ発生確率30%想定）：▲0</w:t>
        <w:br/>
        <w:t xml:space="preserve">  ※ ヘッジ率未開示のため、マルチプル中央値を基本FVとして採用</w:t>
        <w:br/>
        <w:br/>
        <w:t>■ 基本フェアバリュー（FV）：¥1,940</w:t>
        <w:br/>
        <w:t>■ 安全域（MoS20%）：¥1,552（現在値¥1,611はこのすぐ上）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5. 理論株価と投資判断</w:t>
      </w:r>
    </w:p>
    <w:p/>
    <w:p>
      <w:pPr>
        <w:pStyle w:val="Heading3"/>
      </w:pPr>
      <w:r>
        <w:rPr>
          <w:rFonts w:ascii="Meiryo UI" w:hAnsi="Meiryo UI"/>
          <w:color w:val="2E74B5"/>
        </w:rPr>
        <w:t>バリュエーションサマリー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手法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理論株価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現在値比</w:t>
            </w:r>
          </w:p>
        </w:tc>
        <w:tc>
          <w:tcPr>
            <w:tcW w:type="dxa" w:w="235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重み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DCF（5年・WACC6.56%）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¥4,415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+174%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25%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PERマルチプル（19倍）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¥1,938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+20.3%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37.5%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PBRマルチプル（3.5倍×BPS¥555）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¥1,943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+20.6%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37.5%</w:t>
            </w:r>
          </w:p>
        </w:tc>
      </w:tr>
      <w:tr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統合フェアバリュー（FV）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¥1,940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+20.4%</w:t>
            </w:r>
          </w:p>
        </w:tc>
        <w:tc>
          <w:tcPr>
            <w:tcW w:type="dxa" w:w="235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</w:tr>
      <w:tr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安全域20%適用後（保守的エントリー）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¥1,552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▲3.7%</w:t>
            </w:r>
          </w:p>
        </w:tc>
        <w:tc>
          <w:tcPr>
            <w:tcW w:type="dxa" w:w="2351"/>
          </w:tcPr>
          <w:p>
            <w:r>
              <w:rPr>
                <w:rFonts w:ascii="Meiryo UI" w:hAnsi="Meiryo UI"/>
                <w:sz w:val="18"/>
              </w:rPr>
              <w:t>—</w:t>
            </w:r>
          </w:p>
        </w:tc>
      </w:tr>
    </w:tbl>
    <w:p/>
    <w:p>
      <w:pPr>
        <w:pStyle w:val="Heading3"/>
      </w:pPr>
      <w:r>
        <w:rPr>
          <w:rFonts w:ascii="Meiryo UI" w:hAnsi="Meiryo UI"/>
          <w:color w:val="2E74B5"/>
        </w:rPr>
        <w:t>投資判断：【買い】（条件付き）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条件：4/14説明会でのJEPXヘッジ率開示が「下期調達の50%以上ヘッジ済み」であること</w:t>
        <w:br/>
        <w:t>現在値¥1,611は安全域¥1,552をわずかに上回り、FV¥1,940に対し+20.4%の余地あり</w:t>
        <w:br/>
        <w:t>現在株価¥1,611 vs BPS¥555 × PBR2.90倍 = ¥1,611 → 現在の市場価格はPBR通り（整合確認）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6. メインシナリオ vs リスクシナリオ</w:t>
      </w:r>
    </w:p>
    <w:p/>
    <w:p>
      <w:pPr>
        <w:pStyle w:val="Heading3"/>
      </w:pPr>
      <w:r>
        <w:rPr>
          <w:rFonts w:ascii="Meiryo UI" w:hAnsi="Meiryo UI"/>
          <w:color w:val="2E74B5"/>
        </w:rPr>
        <w:t>3ケース分析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シナリオ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前提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通期OP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EPS（推定）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理論株価</w:t>
            </w:r>
          </w:p>
        </w:tc>
        <w:tc>
          <w:tcPr>
            <w:tcW w:type="dxa" w:w="1568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確率</w:t>
            </w:r>
          </w:p>
        </w:tc>
      </w:tr>
      <w:tr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強気（Bull）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課金600万人突破・JEPX平時・VIVANT2大ヒット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¥400億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¥130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¥2,350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25%</w:t>
            </w:r>
          </w:p>
        </w:tc>
      </w:tr>
      <w:tr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基本（Base）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課金530万人・JEPX+1〜2円・説明会ヘッジ率50%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¥350億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¥102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¥1,940</w:t>
            </w:r>
          </w:p>
        </w:tc>
        <w:tc>
          <w:tcPr>
            <w:tcW w:type="dxa" w:w="1568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45%</w:t>
            </w:r>
          </w:p>
        </w:tc>
      </w:tr>
      <w:tr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弱気（Bear）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ホルムズ封鎖JEPX+5円・エネルギーOP消滅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¥260億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¥72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¥1,250</w:t>
            </w:r>
          </w:p>
        </w:tc>
        <w:tc>
          <w:tcPr>
            <w:tcW w:type="dxa" w:w="1568"/>
          </w:tcPr>
          <w:p>
            <w:r>
              <w:rPr>
                <w:rFonts w:ascii="Meiryo UI" w:hAnsi="Meiryo UI"/>
                <w:sz w:val="18"/>
              </w:rPr>
              <w:t>30%</w:t>
            </w:r>
          </w:p>
        </w:tc>
      </w:tr>
    </w:tbl>
    <w:p/>
    <w:p>
      <w:pPr>
        <w:shd w:val="clear" w:color="auto" w:fill="F2F2F2"/>
      </w:pPr>
      <w:r>
        <w:rPr>
          <w:rFonts w:ascii="Courier New" w:hAnsi="Courier New"/>
          <w:sz w:val="16"/>
        </w:rPr>
        <w:t>期待値計算：</w:t>
        <w:br/>
        <w:t>¥2,350×0.25 + ¥1,940×0.45 + ¥1,250×0.30</w:t>
        <w:br/>
        <w:t>= ¥587.5 + ¥873 + ¥375</w:t>
        <w:br/>
        <w:t>= ¥1,835.5</w:t>
        <w:br/>
        <w:br/>
        <w:t>期待値FV：¥1,835（現在値¥1,611比 +13.9%）</w:t>
        <w:br/>
        <w:t>→ 期待値ベースでも十分な上値余地があり、投資妙味あり</w:t>
      </w:r>
    </w:p>
    <w:p/>
    <w:p>
      <w:pPr>
        <w:pStyle w:val="Heading3"/>
      </w:pPr>
      <w:r>
        <w:rPr>
          <w:rFonts w:ascii="Meiryo UI" w:hAnsi="Meiryo UI"/>
          <w:color w:val="2E74B5"/>
        </w:rPr>
        <w:t>シナリオ別感応度（エネルギーOP）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JEPX変動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エネルギーOP影響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通期OP影響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EPS影響</w:t>
            </w:r>
          </w:p>
        </w:tc>
        <w:tc>
          <w:tcPr>
            <w:tcW w:type="dxa" w:w="1881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株価影響（PER15.8倍）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+1円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▲¥4.5億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▲¥4.5億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▲¥4.0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▲¥63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+3円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▲¥13.5億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▲¥13.5億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▲¥12.0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▲¥190</w:t>
            </w:r>
          </w:p>
        </w:tc>
      </w:tr>
      <w:tr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+5円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▲¥22.5億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▲¥22.5億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▲¥20.0</w:t>
            </w:r>
          </w:p>
        </w:tc>
        <w:tc>
          <w:tcPr>
            <w:tcW w:type="dxa" w:w="1881"/>
          </w:tcPr>
          <w:p>
            <w:r>
              <w:rPr>
                <w:rFonts w:ascii="Meiryo UI" w:hAnsi="Meiryo UI"/>
                <w:sz w:val="18"/>
              </w:rPr>
              <w:t>▲¥316</w:t>
            </w:r>
          </w:p>
        </w:tc>
      </w:tr>
      <w:tr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▲1円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+¥4.5億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+¥4.5億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+¥4.0</w:t>
            </w:r>
          </w:p>
        </w:tc>
        <w:tc>
          <w:tcPr>
            <w:tcW w:type="dxa" w:w="1881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+¥63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7. 浅井速報との統合評価</w:t>
      </w:r>
    </w:p>
    <w:p/>
    <w:p>
      <w:pPr>
        <w:pStyle w:val="Heading3"/>
      </w:pPr>
      <w:r>
        <w:rPr>
          <w:rFonts w:ascii="Meiryo UI" w:hAnsi="Meiryo UI"/>
          <w:color w:val="2E74B5"/>
        </w:rPr>
        <w:t>センチメント vs 本源的価値のギャップ分析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浅井速報スコア：+42（BUY方向）</w:t>
        <w:br/>
        <w:t>深井DCFベースFV：¥1,940（+20.4%）</w:t>
        <w:br/>
        <w:t>SBI中立TP：¥2,000（+24.1%）</w:t>
        <w:br/>
        <w:br/>
        <w:t>【ギャップ分析】</w:t>
        <w:br/>
        <w:t>① センチメント（+42）の裏付け：</w:t>
        <w:br/>
        <w:t xml:space="preserve">   - 2Q OPビートは本物（コンセンサス+4.4%）</w:t>
        <w:br/>
        <w:t xml:space="preserve">   - 課金ユーザーの質的改善（広告費削減×ユーザー増）</w:t>
        <w:br/>
        <w:t xml:space="preserve">   - VIVANT2独占は短期センチメントに強烈に効く</w:t>
        <w:br/>
        <w:t xml:space="preserve">   ✓ 本源的価値と整合：センチメントは正当</w:t>
        <w:br/>
        <w:br/>
        <w:t>② 過熱懸念（修正要因）：</w:t>
        <w:br/>
        <w:t xml:space="preserve">   - ブレント$102（リアルタイム）はホルムズリスクが現実化していることを示す</w:t>
        <w:br/>
        <w:t xml:space="preserve">   - エネルギーOPが通期OP¥370億の約27%を占める依存度</w:t>
        <w:br/>
        <w:t xml:space="preserve">   - ヘッジ率未開示による「情報の非対称性」が存在</w:t>
        <w:br/>
        <w:br/>
        <w:t>③ 統合結論：</w:t>
        <w:br/>
        <w:t xml:space="preserve">   浅井スコア+42は「買い方向」で正当だが、</w:t>
        <w:br/>
        <w:t xml:space="preserve">   「説明会前の全力エントリー」は情報不完全なギャンブル。</w:t>
        <w:br/>
        <w:t xml:space="preserve">   4/14 15:30説明会後に判断精度が劇的に向上する。</w:t>
        <w:br/>
        <w:t xml:space="preserve">   </w:t>
        <w:br/>
        <w:t xml:space="preserve">   → センチメントは正しいが、タイミングの「急ぎすぎ」に注意。</w:t>
        <w:br/>
        <w:t xml:space="preserve">     40%プレエントリー×60%説明会後が最適解。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8. 社長への推奨アクション</w:t>
      </w:r>
    </w:p>
    <w:p/>
    <w:p>
      <w:pPr>
        <w:pStyle w:val="Heading3"/>
      </w:pPr>
      <w:r>
        <w:rPr>
          <w:rFonts w:ascii="Meiryo UI" w:hAnsi="Meiryo UI"/>
          <w:color w:val="2E74B5"/>
        </w:rPr>
        <w:t>エントリー戦略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■ 推奨戦略：「条件付き段階的エントリー」</w:t>
        <w:br/>
        <w:br/>
        <w:t>【第1トランシェ（即時）：40%】</w:t>
        <w:br/>
        <w:t xml:space="preserve">  - エントリー価格：¥1,580〜1,640（現在値¥1,611周辺）</w:t>
        <w:br/>
        <w:t xml:space="preserve">  - 根拠：FV¥1,940に対しMoS3.6%確保圏、期待値+13.9%</w:t>
        <w:br/>
        <w:t xml:space="preserve">  - 前提：4/14説明会への「情報確認オプション」として保有</w:t>
        <w:br/>
        <w:br/>
        <w:t>【第2トランシェ（4/14説明会後）：60%】</w:t>
        <w:br/>
        <w:t xml:space="preserve">  - 条件①（追加買い）：</w:t>
        <w:br/>
        <w:t xml:space="preserve">    ヘッジ率50%以上開示 AND JEPX感応度が▲4.5億円/円以下と確認</w:t>
        <w:br/>
        <w:t xml:space="preserve">    → ¥1,620〜1,680で追加エントリー</w:t>
        <w:br/>
        <w:t xml:space="preserve">  - 条件②（中立維持）：</w:t>
        <w:br/>
        <w:t xml:space="preserve">    ヘッジ率30〜50%かつ感応度▲4.5億円/円 → 追加見送り・第1トランシェ保有継続</w:t>
        <w:br/>
        <w:t xml:space="preserve">  - 条件③（撤退）：</w:t>
        <w:br/>
        <w:t xml:space="preserve">    ヘッジ率ゼロ開示 OR JEPX感応度が想定より悪化 → 全力損切り</w:t>
        <w:br/>
        <w:br/>
        <w:t>【損切りライン】</w:t>
        <w:br/>
        <w:t xml:space="preserve">  - ¥1,450（現在値比▲10%、安全域を割り込む水準）</w:t>
        <w:br/>
        <w:t xml:space="preserve">  - JEPX+5円確定シナリオ：¥1,295（弱気FV▲15%安全域）</w:t>
        <w:br/>
        <w:br/>
        <w:t>【目標株価・利確ライン】</w:t>
        <w:br/>
        <w:t xml:space="preserve">  - 第1目標：¥1,940（FV基本シナリオ、+20.4%）</w:t>
        <w:br/>
        <w:t xml:space="preserve">  - 第2目標：¥2,350（強気シナリオ、+45.9%）</w:t>
        <w:br/>
        <w:t xml:space="preserve">  - 利確方針：FVに到達後、課金ユーザーの成長率が鈍化（QoQ+5万人以下）で段階売却</w:t>
        <w:br/>
        <w:br/>
        <w:t>【時間軸】</w:t>
        <w:br/>
        <w:t xml:space="preserve">  - 短期（1〜3ヶ月）：VIVANT2効果・説明会フォローアップ</w:t>
        <w:br/>
        <w:t xml:space="preserve">  - 中期（6〜12ヶ月）：課金600万人達成確認・エネルギーヘッジ効果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9. 金利感応度分析（Sensitivity Analysis）</w:t>
      </w:r>
    </w:p>
    <w:p/>
    <w:p>
      <w:pPr>
        <w:pStyle w:val="Heading3"/>
      </w:pPr>
      <w:r>
        <w:rPr>
          <w:rFonts w:ascii="Meiryo UI" w:hAnsi="Meiryo UI"/>
          <w:color w:val="2E74B5"/>
        </w:rPr>
        <w:t>Rf変動による理論株価感応度</w:t>
      </w:r>
    </w:p>
    <w:p/>
    <w:p>
      <w:r>
        <w:rPr>
          <w:rFonts w:ascii="Meiryo UI" w:hAnsi="Meiryo UI"/>
          <w:sz w:val="20"/>
        </w:rPr>
        <w:t>前提：WACC = Rf + β×ERP（Re部分）を変動させ、TV/DCFを再計算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76"/>
        <w:gridCol w:w="1176"/>
        <w:gridCol w:w="1176"/>
        <w:gridCol w:w="1176"/>
        <w:gridCol w:w="1176"/>
        <w:gridCol w:w="1176"/>
        <w:gridCol w:w="1176"/>
        <w:gridCol w:w="1176"/>
      </w:tblGrid>
      <w:tr>
        <w:tc>
          <w:tcPr>
            <w:tcW w:type="dxa" w:w="1176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Rfシナリオ</w:t>
            </w:r>
          </w:p>
        </w:tc>
        <w:tc>
          <w:tcPr>
            <w:tcW w:type="dxa" w:w="1176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Rf (%)</w:t>
            </w:r>
          </w:p>
        </w:tc>
        <w:tc>
          <w:tcPr>
            <w:tcW w:type="dxa" w:w="1176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Re (%)</w:t>
            </w:r>
          </w:p>
        </w:tc>
        <w:tc>
          <w:tcPr>
            <w:tcW w:type="dxa" w:w="1176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WACC (%)</w:t>
            </w:r>
          </w:p>
        </w:tc>
        <w:tc>
          <w:tcPr>
            <w:tcW w:type="dxa" w:w="1176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理論株価（DCFベース）</w:t>
            </w:r>
          </w:p>
        </w:tc>
        <w:tc>
          <w:tcPr>
            <w:tcW w:type="dxa" w:w="1176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現在値比乖離率</w:t>
            </w:r>
          </w:p>
        </w:tc>
        <w:tc>
          <w:tcPr>
            <w:tcW w:type="dxa" w:w="1176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PERベースFV</w:t>
            </w:r>
          </w:p>
        </w:tc>
        <w:tc>
          <w:tcPr>
            <w:tcW w:type="dxa" w:w="1176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総合FV</w:t>
            </w:r>
          </w:p>
        </w:tc>
      </w:tr>
      <w:tr>
        <w:tc>
          <w:tcPr>
            <w:tcW w:type="dxa" w:w="1176"/>
          </w:tcPr>
          <w:p>
            <w:r>
              <w:rPr>
                <w:rFonts w:ascii="Meiryo UI" w:hAnsi="Meiryo UI"/>
                <w:sz w:val="18"/>
              </w:rPr>
              <w:t>急低下（▲1.00%）</w:t>
            </w:r>
          </w:p>
        </w:tc>
        <w:tc>
          <w:tcPr>
            <w:tcW w:type="dxa" w:w="1176"/>
          </w:tcPr>
          <w:p>
            <w:r>
              <w:rPr>
                <w:rFonts w:ascii="Meiryo UI" w:hAnsi="Meiryo UI"/>
                <w:sz w:val="18"/>
              </w:rPr>
              <w:t>1.439%</w:t>
            </w:r>
          </w:p>
        </w:tc>
        <w:tc>
          <w:tcPr>
            <w:tcW w:type="dxa" w:w="1176"/>
          </w:tcPr>
          <w:p>
            <w:r>
              <w:rPr>
                <w:rFonts w:ascii="Meiryo UI" w:hAnsi="Meiryo UI"/>
                <w:sz w:val="18"/>
              </w:rPr>
              <w:t>7.764%</w:t>
            </w:r>
          </w:p>
        </w:tc>
        <w:tc>
          <w:tcPr>
            <w:tcW w:type="dxa" w:w="1176"/>
          </w:tcPr>
          <w:p>
            <w:r>
              <w:rPr>
                <w:rFonts w:ascii="Meiryo UI" w:hAnsi="Meiryo UI"/>
                <w:sz w:val="18"/>
              </w:rPr>
              <w:t>5.555%</w:t>
            </w:r>
          </w:p>
        </w:tc>
        <w:tc>
          <w:tcPr>
            <w:tcW w:type="dxa" w:w="1176"/>
          </w:tcPr>
          <w:p>
            <w:r>
              <w:rPr>
                <w:rFonts w:ascii="Meiryo UI" w:hAnsi="Meiryo UI"/>
                <w:sz w:val="18"/>
              </w:rPr>
              <w:t>¥5,420</w:t>
            </w:r>
          </w:p>
        </w:tc>
        <w:tc>
          <w:tcPr>
            <w:tcW w:type="dxa" w:w="1176"/>
          </w:tcPr>
          <w:p>
            <w:r>
              <w:rPr>
                <w:rFonts w:ascii="Meiryo UI" w:hAnsi="Meiryo UI"/>
                <w:sz w:val="18"/>
              </w:rPr>
              <w:t>+236%</w:t>
            </w:r>
          </w:p>
        </w:tc>
        <w:tc>
          <w:tcPr>
            <w:tcW w:type="dxa" w:w="1176"/>
          </w:tcPr>
          <w:p>
            <w:r>
              <w:rPr>
                <w:rFonts w:ascii="Meiryo UI" w:hAnsi="Meiryo UI"/>
                <w:sz w:val="18"/>
              </w:rPr>
              <w:t>¥2,100</w:t>
            </w:r>
          </w:p>
        </w:tc>
        <w:tc>
          <w:tcPr>
            <w:tcW w:type="dxa" w:w="1176"/>
          </w:tcPr>
          <w:p>
            <w:r>
              <w:rPr>
                <w:rFonts w:ascii="Meiryo UI" w:hAnsi="Meiryo UI"/>
                <w:sz w:val="18"/>
              </w:rPr>
              <w:t>¥2,180</w:t>
            </w:r>
          </w:p>
        </w:tc>
      </w:tr>
      <w:tr>
        <w:tc>
          <w:tcPr>
            <w:tcW w:type="dxa" w:w="1176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低下（▲0.50%）</w:t>
            </w:r>
          </w:p>
        </w:tc>
        <w:tc>
          <w:tcPr>
            <w:tcW w:type="dxa" w:w="1176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1.939%</w:t>
            </w:r>
          </w:p>
        </w:tc>
        <w:tc>
          <w:tcPr>
            <w:tcW w:type="dxa" w:w="1176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8.264%</w:t>
            </w:r>
          </w:p>
        </w:tc>
        <w:tc>
          <w:tcPr>
            <w:tcW w:type="dxa" w:w="1176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6.055%</w:t>
            </w:r>
          </w:p>
        </w:tc>
        <w:tc>
          <w:tcPr>
            <w:tcW w:type="dxa" w:w="1176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¥4,890</w:t>
            </w:r>
          </w:p>
        </w:tc>
        <w:tc>
          <w:tcPr>
            <w:tcW w:type="dxa" w:w="1176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+204%</w:t>
            </w:r>
          </w:p>
        </w:tc>
        <w:tc>
          <w:tcPr>
            <w:tcW w:type="dxa" w:w="1176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¥2,020</w:t>
            </w:r>
          </w:p>
        </w:tc>
        <w:tc>
          <w:tcPr>
            <w:tcW w:type="dxa" w:w="1176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¥2,060</w:t>
            </w:r>
          </w:p>
        </w:tc>
      </w:tr>
      <w:tr>
        <w:tc>
          <w:tcPr>
            <w:tcW w:type="dxa" w:w="1176"/>
          </w:tcPr>
          <w:p>
            <w:r>
              <w:rPr>
                <w:rFonts w:ascii="Meiryo UI" w:hAnsi="Meiryo UI"/>
                <w:sz w:val="18"/>
              </w:rPr>
              <w:t>低下（▲0.25%）</w:t>
            </w:r>
          </w:p>
        </w:tc>
        <w:tc>
          <w:tcPr>
            <w:tcW w:type="dxa" w:w="1176"/>
          </w:tcPr>
          <w:p>
            <w:r>
              <w:rPr>
                <w:rFonts w:ascii="Meiryo UI" w:hAnsi="Meiryo UI"/>
                <w:sz w:val="18"/>
              </w:rPr>
              <w:t>2.189%</w:t>
            </w:r>
          </w:p>
        </w:tc>
        <w:tc>
          <w:tcPr>
            <w:tcW w:type="dxa" w:w="1176"/>
          </w:tcPr>
          <w:p>
            <w:r>
              <w:rPr>
                <w:rFonts w:ascii="Meiryo UI" w:hAnsi="Meiryo UI"/>
                <w:sz w:val="18"/>
              </w:rPr>
              <w:t>8.514%</w:t>
            </w:r>
          </w:p>
        </w:tc>
        <w:tc>
          <w:tcPr>
            <w:tcW w:type="dxa" w:w="1176"/>
          </w:tcPr>
          <w:p>
            <w:r>
              <w:rPr>
                <w:rFonts w:ascii="Meiryo UI" w:hAnsi="Meiryo UI"/>
                <w:sz w:val="18"/>
              </w:rPr>
              <w:t>6.305%</w:t>
            </w:r>
          </w:p>
        </w:tc>
        <w:tc>
          <w:tcPr>
            <w:tcW w:type="dxa" w:w="1176"/>
          </w:tcPr>
          <w:p>
            <w:r>
              <w:rPr>
                <w:rFonts w:ascii="Meiryo UI" w:hAnsi="Meiryo UI"/>
                <w:sz w:val="18"/>
              </w:rPr>
              <w:t>¥4,640</w:t>
            </w:r>
          </w:p>
        </w:tc>
        <w:tc>
          <w:tcPr>
            <w:tcW w:type="dxa" w:w="1176"/>
          </w:tcPr>
          <w:p>
            <w:r>
              <w:rPr>
                <w:rFonts w:ascii="Meiryo UI" w:hAnsi="Meiryo UI"/>
                <w:sz w:val="18"/>
              </w:rPr>
              <w:t>+188%</w:t>
            </w:r>
          </w:p>
        </w:tc>
        <w:tc>
          <w:tcPr>
            <w:tcW w:type="dxa" w:w="1176"/>
          </w:tcPr>
          <w:p>
            <w:r>
              <w:rPr>
                <w:rFonts w:ascii="Meiryo UI" w:hAnsi="Meiryo UI"/>
                <w:sz w:val="18"/>
              </w:rPr>
              <w:t>¥1,980</w:t>
            </w:r>
          </w:p>
        </w:tc>
        <w:tc>
          <w:tcPr>
            <w:tcW w:type="dxa" w:w="1176"/>
          </w:tcPr>
          <w:p>
            <w:r>
              <w:rPr>
                <w:rFonts w:ascii="Meiryo UI" w:hAnsi="Meiryo UI"/>
                <w:sz w:val="18"/>
              </w:rPr>
              <w:t>¥2,000</w:t>
            </w:r>
          </w:p>
        </w:tc>
      </w:tr>
      <w:tr>
        <w:tc>
          <w:tcPr>
            <w:tcW w:type="dxa" w:w="1176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現状（Base）</w:t>
            </w:r>
          </w:p>
        </w:tc>
        <w:tc>
          <w:tcPr>
            <w:tcW w:type="dxa" w:w="1176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2.439%</w:t>
            </w:r>
          </w:p>
        </w:tc>
        <w:tc>
          <w:tcPr>
            <w:tcW w:type="dxa" w:w="1176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8.764%</w:t>
            </w:r>
          </w:p>
        </w:tc>
        <w:tc>
          <w:tcPr>
            <w:tcW w:type="dxa" w:w="1176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6.555%</w:t>
            </w:r>
          </w:p>
        </w:tc>
        <w:tc>
          <w:tcPr>
            <w:tcW w:type="dxa" w:w="1176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¥4,415</w:t>
            </w:r>
          </w:p>
        </w:tc>
        <w:tc>
          <w:tcPr>
            <w:tcW w:type="dxa" w:w="1176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+174%</w:t>
            </w:r>
          </w:p>
        </w:tc>
        <w:tc>
          <w:tcPr>
            <w:tcW w:type="dxa" w:w="1176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¥1,940</w:t>
            </w:r>
          </w:p>
        </w:tc>
        <w:tc>
          <w:tcPr>
            <w:tcW w:type="dxa" w:w="1176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¥1,940</w:t>
            </w:r>
          </w:p>
        </w:tc>
      </w:tr>
      <w:tr>
        <w:tc>
          <w:tcPr>
            <w:tcW w:type="dxa" w:w="1176"/>
          </w:tcPr>
          <w:p>
            <w:r>
              <w:rPr>
                <w:rFonts w:ascii="Meiryo UI" w:hAnsi="Meiryo UI"/>
                <w:sz w:val="18"/>
              </w:rPr>
              <w:t>上昇（+0.25%）</w:t>
            </w:r>
          </w:p>
        </w:tc>
        <w:tc>
          <w:tcPr>
            <w:tcW w:type="dxa" w:w="1176"/>
          </w:tcPr>
          <w:p>
            <w:r>
              <w:rPr>
                <w:rFonts w:ascii="Meiryo UI" w:hAnsi="Meiryo UI"/>
                <w:sz w:val="18"/>
              </w:rPr>
              <w:t>2.689%</w:t>
            </w:r>
          </w:p>
        </w:tc>
        <w:tc>
          <w:tcPr>
            <w:tcW w:type="dxa" w:w="1176"/>
          </w:tcPr>
          <w:p>
            <w:r>
              <w:rPr>
                <w:rFonts w:ascii="Meiryo UI" w:hAnsi="Meiryo UI"/>
                <w:sz w:val="18"/>
              </w:rPr>
              <w:t>9.014%</w:t>
            </w:r>
          </w:p>
        </w:tc>
        <w:tc>
          <w:tcPr>
            <w:tcW w:type="dxa" w:w="1176"/>
          </w:tcPr>
          <w:p>
            <w:r>
              <w:rPr>
                <w:rFonts w:ascii="Meiryo UI" w:hAnsi="Meiryo UI"/>
                <w:sz w:val="18"/>
              </w:rPr>
              <w:t>6.805%</w:t>
            </w:r>
          </w:p>
        </w:tc>
        <w:tc>
          <w:tcPr>
            <w:tcW w:type="dxa" w:w="1176"/>
          </w:tcPr>
          <w:p>
            <w:r>
              <w:rPr>
                <w:rFonts w:ascii="Meiryo UI" w:hAnsi="Meiryo UI"/>
                <w:sz w:val="18"/>
              </w:rPr>
              <w:t>¥4,120</w:t>
            </w:r>
          </w:p>
        </w:tc>
        <w:tc>
          <w:tcPr>
            <w:tcW w:type="dxa" w:w="1176"/>
          </w:tcPr>
          <w:p>
            <w:r>
              <w:rPr>
                <w:rFonts w:ascii="Meiryo UI" w:hAnsi="Meiryo UI"/>
                <w:sz w:val="18"/>
              </w:rPr>
              <w:t>+156%</w:t>
            </w:r>
          </w:p>
        </w:tc>
        <w:tc>
          <w:tcPr>
            <w:tcW w:type="dxa" w:w="1176"/>
          </w:tcPr>
          <w:p>
            <w:r>
              <w:rPr>
                <w:rFonts w:ascii="Meiryo UI" w:hAnsi="Meiryo UI"/>
                <w:sz w:val="18"/>
              </w:rPr>
              <w:t>¥1,895</w:t>
            </w:r>
          </w:p>
        </w:tc>
        <w:tc>
          <w:tcPr>
            <w:tcW w:type="dxa" w:w="1176"/>
          </w:tcPr>
          <w:p>
            <w:r>
              <w:rPr>
                <w:rFonts w:ascii="Meiryo UI" w:hAnsi="Meiryo UI"/>
                <w:sz w:val="18"/>
              </w:rPr>
              <w:t>¥1,890</w:t>
            </w:r>
          </w:p>
        </w:tc>
      </w:tr>
      <w:tr>
        <w:tc>
          <w:tcPr>
            <w:tcW w:type="dxa" w:w="1176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上昇（+0.50%）</w:t>
            </w:r>
          </w:p>
        </w:tc>
        <w:tc>
          <w:tcPr>
            <w:tcW w:type="dxa" w:w="1176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2.939%</w:t>
            </w:r>
          </w:p>
        </w:tc>
        <w:tc>
          <w:tcPr>
            <w:tcW w:type="dxa" w:w="1176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9.264%</w:t>
            </w:r>
          </w:p>
        </w:tc>
        <w:tc>
          <w:tcPr>
            <w:tcW w:type="dxa" w:w="1176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7.055%</w:t>
            </w:r>
          </w:p>
        </w:tc>
        <w:tc>
          <w:tcPr>
            <w:tcW w:type="dxa" w:w="1176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¥3,850</w:t>
            </w:r>
          </w:p>
        </w:tc>
        <w:tc>
          <w:tcPr>
            <w:tcW w:type="dxa" w:w="1176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+139%</w:t>
            </w:r>
          </w:p>
        </w:tc>
        <w:tc>
          <w:tcPr>
            <w:tcW w:type="dxa" w:w="1176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¥1,855</w:t>
            </w:r>
          </w:p>
        </w:tc>
        <w:tc>
          <w:tcPr>
            <w:tcW w:type="dxa" w:w="1176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¥1,840</w:t>
            </w:r>
          </w:p>
        </w:tc>
      </w:tr>
      <w:tr>
        <w:tc>
          <w:tcPr>
            <w:tcW w:type="dxa" w:w="1176"/>
          </w:tcPr>
          <w:p>
            <w:r>
              <w:rPr>
                <w:rFonts w:ascii="Meiryo UI" w:hAnsi="Meiryo UI"/>
                <w:sz w:val="18"/>
              </w:rPr>
              <w:t>急上昇（+1.00%）</w:t>
            </w:r>
          </w:p>
        </w:tc>
        <w:tc>
          <w:tcPr>
            <w:tcW w:type="dxa" w:w="1176"/>
          </w:tcPr>
          <w:p>
            <w:r>
              <w:rPr>
                <w:rFonts w:ascii="Meiryo UI" w:hAnsi="Meiryo UI"/>
                <w:sz w:val="18"/>
              </w:rPr>
              <w:t>3.439%</w:t>
            </w:r>
          </w:p>
        </w:tc>
        <w:tc>
          <w:tcPr>
            <w:tcW w:type="dxa" w:w="1176"/>
          </w:tcPr>
          <w:p>
            <w:r>
              <w:rPr>
                <w:rFonts w:ascii="Meiryo UI" w:hAnsi="Meiryo UI"/>
                <w:sz w:val="18"/>
              </w:rPr>
              <w:t>9.764%</w:t>
            </w:r>
          </w:p>
        </w:tc>
        <w:tc>
          <w:tcPr>
            <w:tcW w:type="dxa" w:w="1176"/>
          </w:tcPr>
          <w:p>
            <w:r>
              <w:rPr>
                <w:rFonts w:ascii="Meiryo UI" w:hAnsi="Meiryo UI"/>
                <w:sz w:val="18"/>
              </w:rPr>
              <w:t>7.555%</w:t>
            </w:r>
          </w:p>
        </w:tc>
        <w:tc>
          <w:tcPr>
            <w:tcW w:type="dxa" w:w="1176"/>
          </w:tcPr>
          <w:p>
            <w:r>
              <w:rPr>
                <w:rFonts w:ascii="Meiryo UI" w:hAnsi="Meiryo UI"/>
                <w:sz w:val="18"/>
              </w:rPr>
              <w:t>¥3,350</w:t>
            </w:r>
          </w:p>
        </w:tc>
        <w:tc>
          <w:tcPr>
            <w:tcW w:type="dxa" w:w="1176"/>
          </w:tcPr>
          <w:p>
            <w:r>
              <w:rPr>
                <w:rFonts w:ascii="Meiryo UI" w:hAnsi="Meiryo UI"/>
                <w:sz w:val="18"/>
              </w:rPr>
              <w:t>+108%</w:t>
            </w:r>
          </w:p>
        </w:tc>
        <w:tc>
          <w:tcPr>
            <w:tcW w:type="dxa" w:w="1176"/>
          </w:tcPr>
          <w:p>
            <w:r>
              <w:rPr>
                <w:rFonts w:ascii="Meiryo UI" w:hAnsi="Meiryo UI"/>
                <w:sz w:val="18"/>
              </w:rPr>
              <w:t>¥1,775</w:t>
            </w:r>
          </w:p>
        </w:tc>
        <w:tc>
          <w:tcPr>
            <w:tcW w:type="dxa" w:w="1176"/>
          </w:tcPr>
          <w:p>
            <w:r>
              <w:rPr>
                <w:rFonts w:ascii="Meiryo UI" w:hAnsi="Meiryo UI"/>
                <w:sz w:val="18"/>
              </w:rPr>
              <w:t>¥1,760</w:t>
            </w:r>
          </w:p>
        </w:tc>
      </w:tr>
    </w:tbl>
    <w:p/>
    <w:p>
      <w:r>
        <w:rPr>
          <w:rFonts w:ascii="Meiryo UI" w:hAnsi="Meiryo UI"/>
          <w:sz w:val="20"/>
        </w:rPr>
        <w:t>&gt; 感応度の解釈：</w:t>
      </w:r>
    </w:p>
    <w:p>
      <w:r>
        <w:rPr>
          <w:rFonts w:ascii="Meiryo UI" w:hAnsi="Meiryo UI"/>
          <w:sz w:val="20"/>
        </w:rPr>
        <w:t>&gt; - 金利上昇（Rf+1.00%）でも総合FV¥1,760と現在値¥1,611比+9.2%の上値余地が残る</w:t>
      </w:r>
    </w:p>
    <w:p>
      <w:r>
        <w:rPr>
          <w:rFonts w:ascii="Meiryo UI" w:hAnsi="Meiryo UI"/>
          <w:sz w:val="20"/>
        </w:rPr>
        <w:t>&gt; - DCFは金利感応度が高いが、PERマルチプルは相対的に安定</w:t>
      </w:r>
    </w:p>
    <w:p>
      <w:r>
        <w:rPr>
          <w:rFonts w:ascii="Meiryo UI" w:hAnsi="Meiryo UI"/>
          <w:sz w:val="20"/>
        </w:rPr>
        <w:t>&gt; - 日本国債金利は足元2.439%と上昇トレンドにあり、Rf+0.50〜+1.00%は現実的リスク</w:t>
      </w:r>
    </w:p>
    <w:p>
      <w:r>
        <w:rPr>
          <w:rFonts w:ascii="Meiryo UI" w:hAnsi="Meiryo UI"/>
          <w:sz w:val="20"/>
        </w:rPr>
        <w:t>&gt; - 金利耐性評価：Rf+1.00%シナリオでも理論株価が現在値を上回るため、金利リスクは許容範囲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付記：ホルムズリスク×JEPX感応度の定量マトリクス</w:t>
      </w:r>
    </w:p>
    <w:p/>
    <w:p>
      <w:pPr>
        <w:pStyle w:val="Heading3"/>
      </w:pPr>
      <w:r>
        <w:rPr>
          <w:rFonts w:ascii="Meiryo UI" w:hAnsi="Meiryo UI"/>
          <w:color w:val="2E74B5"/>
        </w:rPr>
        <w:t>社長指摘コアリスクの数値化</w:t>
      </w:r>
    </w:p>
    <w:p/>
    <w:p>
      <w:pPr>
        <w:shd w:val="clear" w:color="auto" w:fill="F2F2F2"/>
      </w:pPr>
      <w:r>
        <w:rPr>
          <w:rFonts w:ascii="Courier New" w:hAnsi="Courier New"/>
          <w:sz w:val="16"/>
        </w:rPr>
        <w:t>【ブレント原油$102（現実値）× JEPX感応度マトリクス】</w:t>
        <w:br/>
        <w:t>JEPX+1円で▲4.5億円の「公式感応度」を起点に試算：</w:t>
        <w:br/>
        <w:br/>
        <w:t>ホルムズシナリオ別エネルギーOP影響（下期）：</w:t>
        <w:br/>
        <w:br/>
        <w:t>シナリオ         | JEPX想定上昇 | OP影響（下期） | 通期OP     | 通期EPS</w:t>
        <w:br/>
        <w:t>---------------------------------------------------------------------</w:t>
        <w:br/>
        <w:t>平時             | +0〜1円     | ▲0〜4.5億円   | ¥350〜370億 | ¥100〜107</w:t>
        <w:br/>
        <w:t>軽微緊張（現状）  | +2円        | ▲9億円        | ¥341〜361億 | ¥96〜104</w:t>
        <w:br/>
        <w:t>中程度緊張       | +3円        | ▲13.5億円     | ¥337〜357億 | ¥95〜101</w:t>
        <w:br/>
        <w:t>深刻（ホルムズ）  | +4円        | ▲18億円       | ¥332〜352億 | ¥93〜99</w:t>
        <w:br/>
        <w:t>最悪（封鎖）     | +5円        | ▲22.5億円     | ¥328〜348億 | ¥92〜98</w:t>
        <w:br/>
        <w:t>エネルギー消滅   | +6円以上    | ▲27億円+      | ¥320億割れ  | ¥88以下</w:t>
        <w:br/>
        <w:br/>
        <w:t>※ ヘッジ率50%の場合、上記影響は概ね半減（▲6.75〜11.25億円/+3〜5円シナリオ）</w:t>
      </w:r>
    </w:p>
    <w:p/>
    <w:p>
      <w:r>
        <w:rPr>
          <w:rFonts w:ascii="Meiryo UI" w:hAnsi="Meiryo UI"/>
          <w:sz w:val="20"/>
        </w:rPr>
        <w:t>&gt; 結論： ブレント$102は「警戒水域」に入っている。JEPX+3〜5円シナリオでもヘッジ率50%なら通期EPSへの影響は▲¥3〜10程度に収まりコントロール可能。4/14説明会でのヘッジ率開示が株価の最大のバイナリーイベント。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免責事項</w:t>
      </w:r>
    </w:p>
    <w:p/>
    <w:p>
      <w:r>
        <w:rPr>
          <w:rFonts w:ascii="Meiryo UI" w:hAnsi="Meiryo UI"/>
          <w:sz w:val="20"/>
        </w:rPr>
        <w:t>本レポートは竹村トレードカンパニー内部分析用資料であり、投資勧誘を目的とするものではありません。DCF前提・財務推計には不確実性が伴い、実際の投資成果を保証するものではありません。投資判断は必ず自己責任において行ってください。財務指標はYahoo Finance 2026-04-13 18:07 JSTリアルタイム取得値を使用しています。</w:t>
      </w:r>
    </w:p>
    <w:p/>
    <w:p>
      <w:r>
        <w:rPr>
          <w:rFonts w:ascii="Meiryo UI" w:hAnsi="Meiryo UI"/>
          <w:sz w:val="20"/>
        </w:rPr>
        <w:t>深井｜竹村トレードカンパニー｜2026-04-13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金利エビデンス（レポート末尾必須記載）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4703"/>
            <w:shd w:val="clear" w:color="auto" w:fill="2E74B5"/>
          </w:tcPr>
          <w:p>
            <w:r>
              <w:rPr>
                <w:rFonts w:ascii="Meiryo UI" w:hAnsi="Meiryo UI"/>
                <w:b/>
                <w:color w:val="FFFFFF"/>
                <w:sz w:val="18"/>
              </w:rPr>
              <w:t>値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リスクフリーレート（Rf）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2.439%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参照指標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日本10年国債（JGB10Y）2.439%</w:t>
            </w:r>
          </w:p>
        </w:tc>
      </w:tr>
      <w:tr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データ取得日時</w:t>
            </w:r>
          </w:p>
        </w:tc>
        <w:tc>
          <w:tcPr>
            <w:tcW w:type="dxa" w:w="4703"/>
          </w:tcPr>
          <w:p>
            <w:r>
              <w:rPr>
                <w:rFonts w:ascii="Meiryo UI" w:hAnsi="Meiryo UI"/>
                <w:sz w:val="18"/>
              </w:rPr>
              <w:t>2026-04-13 18:07 JST（財務省日次 R8.4.10）</w:t>
            </w:r>
          </w:p>
        </w:tc>
      </w:tr>
      <w:tr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参照元URL</w:t>
            </w:r>
          </w:p>
        </w:tc>
        <w:tc>
          <w:tcPr>
            <w:tcW w:type="dxa" w:w="4703"/>
            <w:shd w:val="clear" w:color="auto" w:fill="DDEBF7"/>
          </w:tcPr>
          <w:p>
            <w:r>
              <w:rPr>
                <w:rFonts w:ascii="Meiryo UI" w:hAnsi="Meiryo UI"/>
                <w:sz w:val="18"/>
              </w:rPr>
              <w:t>https://jp.investing.com/rates-bonds/japan-10-year-bond-yield-streaming-chart</w:t>
            </w:r>
          </w:p>
        </w:tc>
      </w:tr>
    </w:tbl>
    <w:p/>
    <w:p>
      <w:r>
        <w:rPr>
          <w:rFonts w:ascii="Meiryo UI" w:hAnsi="Meiryo UI"/>
          <w:sz w:val="20"/>
        </w:rPr>
        <w:t>&gt; 注記: 上記Rfは分析実行時に自動取得した市場実勢値です。金利変動時は感応度分析（セクション9）を参照してください。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rFonts w:ascii="Meiryo UI" w:hAnsi="Meiryo UI"/>
          <w:color w:val="2E74B5"/>
        </w:rPr>
        <w:t>📢 全社共有（深井 → 浅井・不労・金田・豆田）</w:t>
      </w:r>
    </w:p>
    <w:p/>
    <w:p>
      <w:r>
        <w:rPr>
          <w:rFonts w:ascii="Meiryo UI" w:hAnsi="Meiryo UI"/>
          <w:sz w:val="20"/>
        </w:rPr>
        <w:t>[報告] 深井 が 9418_U-NEXTホー_BUY_DeepResearch_20260413.md を出力しました。</w:t>
      </w:r>
    </w:p>
    <w:p>
      <w:r>
        <w:rPr>
          <w:rFonts w:ascii="Meiryo UI" w:hAnsi="Meiryo UI"/>
          <w:sz w:val="20"/>
        </w:rPr>
        <w:t>浅井スコア +42 の銘柄 [9418]U-NEXTホールディングス についてDeepResearch完了。</w:t>
      </w:r>
    </w:p>
    <w:p>
      <w:r>
        <w:rPr>
          <w:rFonts w:ascii="Meiryo UI" w:hAnsi="Meiryo UI"/>
          <w:sz w:val="20"/>
        </w:rPr>
        <w:t>使用Rf: 2.439%（取得: 2026-04-13 18:07 JST（財務省日次 R8.4.10））</w:t>
      </w:r>
    </w:p>
    <w:p/>
    <w:p>
      <w:r>
        <w:rPr>
          <w:rFonts w:ascii="Meiryo UI" w:hAnsi="Meiryo UI"/>
          <w:sz w:val="20"/>
        </w:rPr>
        <w:t>_投資判断は社長の最終決裁に基づきます。_</w:t>
      </w:r>
    </w:p>
    <w:p/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