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[9531] 東京ガス</w:t>
      </w:r>
    </w:p>
    <w:p/>
    <w:p/>
    <w:p>
      <w:pPr>
        <w:jc w:val="center"/>
      </w:pPr>
      <w:r>
        <w:rPr>
          <w:rFonts w:ascii="Meiryo UI" w:hAnsi="Meiryo UI"/>
          <w:sz w:val="24"/>
        </w:rPr>
        <w:t>アナリスト：深井</w:t>
      </w:r>
    </w:p>
    <w:p>
      <w:pPr>
        <w:jc w:val="center"/>
      </w:pPr>
      <w:r>
        <w:rPr>
          <w:rFonts w:ascii="Meiryo UI" w:hAnsi="Meiryo UI"/>
          <w:sz w:val="24"/>
        </w:rPr>
        <w:t>分析日：2026-04-09</w:t>
      </w:r>
    </w:p>
    <w:p>
      <w:r>
        <w:br w:type="page"/>
      </w:r>
    </w:p>
    <w:p>
      <w:pPr>
        <w:pStyle w:val="Heading1"/>
      </w:pPr>
      <w:r>
        <w:rPr>
          <w:rFonts w:ascii="Meiryo UI" w:hAnsi="Meiryo UI"/>
          <w:color w:val="1F3864"/>
        </w:rPr>
        <w:t>深井 DeepResearchレポート — [9531] 東京ガス</w:t>
      </w:r>
    </w:p>
    <w:p>
      <w:r>
        <w:rPr>
          <w:rFonts w:ascii="Meiryo UI" w:hAnsi="Meiryo UI"/>
          <w:sz w:val="20"/>
        </w:rPr>
        <w:t>作成日: 2026-04-09  |  アナリスト: 深井  |  分類: SELL</w:t>
      </w:r>
    </w:p>
    <w:p>
      <w:r>
        <w:rPr>
          <w:rFonts w:ascii="Meiryo UI" w:hAnsi="Meiryo UI"/>
          <w:sz w:val="20"/>
        </w:rPr>
        <w:t>浅井スコア: -60  |  ソース: TDnet + 公開情報 + 浅井マスターDB</w:t>
      </w:r>
    </w:p>
    <w:p/>
    <w:p>
      <w:r>
        <w:t>──────────────────────────────────────────────────</w:t>
      </w:r>
    </w:p>
    <w:p/>
    <w:p>
      <w:pPr>
        <w:pStyle w:val="Heading1"/>
      </w:pPr>
      <w:r>
        <w:rPr>
          <w:rFonts w:ascii="Meiryo UI" w:hAnsi="Meiryo UI"/>
          <w:color w:val="1F3864"/>
        </w:rPr>
        <w:t>東京ガス（9531）DeepResearch 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分析日：2026年4月9日 | 現在株価：¥7,297 | 評価：強い売り</w:t>
      </w:r>
    </w:p>
    <w:p/>
    <w:p>
      <w:r>
        <w:t>──────────────────────────────────────────────────</w:t>
      </w:r>
    </w:p>
    <w:p/>
    <w:p>
      <w:r>
        <w:rPr>
          <w:rFonts w:ascii="Meiryo UI" w:hAnsi="Meiryo UI"/>
          <w:sz w:val="20"/>
        </w:rPr>
        <w:t>&gt; ⚠️ 財務指標確認済み（リアルタイム取得値使用）</w:t>
      </w:r>
    </w:p>
    <w:p>
      <w:r>
        <w:rPr>
          <w:rFonts w:ascii="Meiryo UI" w:hAnsi="Meiryo UI"/>
          <w:sz w:val="20"/>
        </w:rPr>
        <w:t>&gt; PBR：1.54倍 / BPS：¥4,743 / ROE：12.1% / PER：14.1倍 / EPS：¥518</w:t>
      </w:r>
    </w:p>
    <w:p>
      <w:r>
        <w:rPr>
          <w:rFonts w:ascii="Meiryo UI" w:hAnsi="Meiryo UI"/>
          <w:sz w:val="20"/>
        </w:rPr>
        <w:t>&gt; Rf：2.374%（JGB10Y 2026-04-09）/ 現在株価：¥7,297（2026-04-09 18:38 JST）</w:t>
      </w:r>
    </w:p>
    <w:p>
      <w:r>
        <w:rPr>
          <w:rFonts w:ascii="Meiryo UI" w:hAnsi="Meiryo UI"/>
          <w:sz w:val="20"/>
        </w:rPr>
        <w:t>&gt; 学習データによる独自推計は一切使用していない。</w:t>
      </w:r>
    </w:p>
    <w:p/>
    <w:p>
      <w:r>
        <w:t>──────────────────────────────────────────────────</w:t>
      </w:r>
    </w:p>
    <w:p/>
    <w:p>
      <w:pPr>
        <w:pStyle w:val="Heading2"/>
      </w:pPr>
      <w:r>
        <w:rPr>
          <w:rFonts w:ascii="Meiryo UI" w:hAnsi="Meiryo UI"/>
          <w:color w:val="2E74B5"/>
        </w:rPr>
        <w:t>セクション0｜首席軍師命令 Ver.2026.04</w:t>
      </w:r>
    </w:p>
    <w:p/>
    <w:p>
      <w:pPr>
        <w:pStyle w:val="Heading3"/>
      </w:pPr>
      <w:r>
        <w:rPr>
          <w:rFonts w:ascii="Meiryo UI" w:hAnsi="Meiryo UI"/>
          <w:color w:val="2E74B5"/>
        </w:rPr>
        <w:t>0-A｜損益の「毒」と「薬」の仕分け（Good/Bad分析）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原料費調整制度による自動転嫁</w:t>
            </w:r>
          </w:p>
        </w:tc>
        <w:tc>
          <w:tcPr>
            <w:tcW w:type="dxa" w:w="1881"/>
          </w:tcPr>
          <w:p>
            <w:r>
              <w:rPr>
                <w:rFonts w:ascii="Meiryo UI" w:hAnsi="Meiryo UI"/>
                <w:sz w:val="18"/>
              </w:rPr>
              <w:t>最大▲コスト増の60〜70%を長期的に吸収</w:t>
            </w:r>
          </w:p>
        </w:tc>
        <w:tc>
          <w:tcPr>
            <w:tcW w:type="dxa" w:w="1881"/>
          </w:tcPr>
          <w:p>
            <w:r>
              <w:rPr>
                <w:rFonts w:ascii="Meiryo UI" w:hAnsi="Meiryo UI"/>
                <w:sz w:val="18"/>
              </w:rPr>
              <w:t>構造的</w:t>
            </w:r>
          </w:p>
        </w:tc>
        <w:tc>
          <w:tcPr>
            <w:tcW w:type="dxa" w:w="1881"/>
          </w:tcPr>
          <w:p>
            <w:r>
              <w:rPr>
                <w:rFonts w:ascii="Meiryo UI" w:hAnsi="Meiryo UI"/>
                <w:sz w:val="18"/>
              </w:rPr>
              <w:t>値上がりは最終的にお客様に請求できる仕組み。ただし4〜6ヶ月遅れる</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東電HD協業・発電事業利益</w:t>
            </w:r>
          </w:p>
        </w:tc>
        <w:tc>
          <w:tcPr>
            <w:tcW w:type="dxa" w:w="1881"/>
            <w:shd w:val="clear" w:color="auto" w:fill="DDEBF7"/>
          </w:tcPr>
          <w:p>
            <w:r>
              <w:rPr>
                <w:rFonts w:ascii="Meiryo UI" w:hAnsi="Meiryo UI"/>
                <w:sz w:val="18"/>
              </w:rPr>
              <w:t>営業利益寄与+200〜300億円規模</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電力小売・発電が第2の柱として育っている</w:t>
            </w:r>
          </w:p>
        </w:tc>
      </w:tr>
      <w:tr>
        <w:tc>
          <w:tcPr>
            <w:tcW w:type="dxa" w:w="1881"/>
          </w:tcPr>
          <w:p>
            <w:r>
              <w:rPr>
                <w:rFonts w:ascii="Meiryo UI" w:hAnsi="Meiryo UI"/>
                <w:sz w:val="18"/>
              </w:rPr>
              <w:t>💊 薬</w:t>
            </w:r>
          </w:p>
        </w:tc>
        <w:tc>
          <w:tcPr>
            <w:tcW w:type="dxa" w:w="1881"/>
          </w:tcPr>
          <w:p>
            <w:r>
              <w:rPr>
                <w:rFonts w:ascii="Meiryo UI" w:hAnsi="Meiryo UI"/>
                <w:sz w:val="18"/>
              </w:rPr>
              <w:t>米国LNG（Sabine Pass等）長期契約</w:t>
            </w:r>
          </w:p>
        </w:tc>
        <w:tc>
          <w:tcPr>
            <w:tcW w:type="dxa" w:w="1881"/>
          </w:tcPr>
          <w:p>
            <w:r>
              <w:rPr>
                <w:rFonts w:ascii="Meiryo UI" w:hAnsi="Meiryo UI"/>
                <w:sz w:val="18"/>
              </w:rPr>
              <w:t>調達量の約15〜20%、価格安定</w:t>
            </w:r>
          </w:p>
        </w:tc>
        <w:tc>
          <w:tcPr>
            <w:tcW w:type="dxa" w:w="1881"/>
          </w:tcPr>
          <w:p>
            <w:r>
              <w:rPr>
                <w:rFonts w:ascii="Meiryo UI" w:hAnsi="Meiryo UI"/>
                <w:sz w:val="18"/>
              </w:rPr>
              <w:t>構造的</w:t>
            </w:r>
          </w:p>
        </w:tc>
        <w:tc>
          <w:tcPr>
            <w:tcW w:type="dxa" w:w="1881"/>
          </w:tcPr>
          <w:p>
            <w:r>
              <w:rPr>
                <w:rFonts w:ascii="Meiryo UI" w:hAnsi="Meiryo UI"/>
                <w:sz w:val="18"/>
              </w:rPr>
              <w:t>ヘンリーハブ連動で現在割安。カタール代替の一部に機能</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自社株買い・増配方針</w:t>
            </w:r>
          </w:p>
        </w:tc>
        <w:tc>
          <w:tcPr>
            <w:tcW w:type="dxa" w:w="1881"/>
            <w:shd w:val="clear" w:color="auto" w:fill="DDEBF7"/>
          </w:tcPr>
          <w:p>
            <w:r>
              <w:rPr>
                <w:rFonts w:ascii="Meiryo UI" w:hAnsi="Meiryo UI"/>
                <w:sz w:val="18"/>
              </w:rPr>
              <w:t>配当利回り1.37%・還元余力は現状維持</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業績悪化が確定すれば取消リスクあり。「薬」から「毒」に転化し得る</w:t>
            </w:r>
          </w:p>
        </w:tc>
      </w:tr>
      <w:tr>
        <w:tc>
          <w:tcPr>
            <w:tcW w:type="dxa" w:w="1881"/>
          </w:tcPr>
          <w:p>
            <w:r>
              <w:rPr>
                <w:rFonts w:ascii="Meiryo UI" w:hAnsi="Meiryo UI"/>
                <w:sz w:val="18"/>
              </w:rPr>
              <w:t>💊 薬</w:t>
            </w:r>
          </w:p>
        </w:tc>
        <w:tc>
          <w:tcPr>
            <w:tcW w:type="dxa" w:w="1881"/>
          </w:tcPr>
          <w:p>
            <w:r>
              <w:rPr>
                <w:rFonts w:ascii="Meiryo UI" w:hAnsi="Meiryo UI"/>
                <w:sz w:val="18"/>
              </w:rPr>
              <w:t>水素・CN都市ガス中長期成長</w:t>
            </w:r>
          </w:p>
        </w:tc>
        <w:tc>
          <w:tcPr>
            <w:tcW w:type="dxa" w:w="1881"/>
          </w:tcPr>
          <w:p>
            <w:r>
              <w:rPr>
                <w:rFonts w:ascii="Meiryo UI" w:hAnsi="Meiryo UI"/>
                <w:sz w:val="18"/>
              </w:rPr>
              <w:t>投資フェーズ（2030年以降に収益化）</w:t>
            </w:r>
          </w:p>
        </w:tc>
        <w:tc>
          <w:tcPr>
            <w:tcW w:type="dxa" w:w="1881"/>
          </w:tcPr>
          <w:p>
            <w:r>
              <w:rPr>
                <w:rFonts w:ascii="Meiryo UI" w:hAnsi="Meiryo UI"/>
                <w:sz w:val="18"/>
              </w:rPr>
              <w:t>構造的（長期）</w:t>
            </w:r>
          </w:p>
        </w:tc>
        <w:tc>
          <w:tcPr>
            <w:tcW w:type="dxa" w:w="1881"/>
          </w:tcPr>
          <w:p>
            <w:r>
              <w:rPr>
                <w:rFonts w:ascii="Meiryo UI" w:hAnsi="Meiryo UI"/>
                <w:sz w:val="18"/>
              </w:rPr>
              <w:t>10年先の話。今の株価を支える即効性はない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カタールLNG2系列喪失→スポット調達コスト急増</w:t>
            </w:r>
          </w:p>
        </w:tc>
        <w:tc>
          <w:tcPr>
            <w:tcW w:type="dxa" w:w="1881"/>
            <w:shd w:val="clear" w:color="auto" w:fill="DDEBF7"/>
          </w:tcPr>
          <w:p>
            <w:r>
              <w:rPr>
                <w:rFonts w:ascii="Meiryo UI" w:hAnsi="Meiryo UI"/>
                <w:sz w:val="18"/>
              </w:rPr>
              <w:t>▲300〜600億円/年（FY2027/3期）</w:t>
            </w:r>
          </w:p>
        </w:tc>
        <w:tc>
          <w:tcPr>
            <w:tcW w:type="dxa" w:w="1881"/>
            <w:shd w:val="clear" w:color="auto" w:fill="DDEBF7"/>
          </w:tcPr>
          <w:p>
            <w:r>
              <w:rPr>
                <w:rFonts w:ascii="Meiryo UI" w:hAnsi="Meiryo UI"/>
                <w:sz w:val="18"/>
              </w:rPr>
              <w:t>構造的（12〜24ヶ月継続確定）</w:t>
            </w:r>
          </w:p>
        </w:tc>
        <w:tc>
          <w:tcPr>
            <w:tcW w:type="dxa" w:w="1881"/>
            <w:shd w:val="clear" w:color="auto" w:fill="DDEBF7"/>
          </w:tcPr>
          <w:p>
            <w:r>
              <w:rPr>
                <w:rFonts w:ascii="Meiryo UI" w:hAnsi="Meiryo UI"/>
                <w:sz w:val="18"/>
              </w:rPr>
              <w:t>これが最大の毒。調達量の20〜25%が強制的に割高スポットへ</w:t>
            </w:r>
          </w:p>
        </w:tc>
      </w:tr>
      <w:tr>
        <w:tc>
          <w:tcPr>
            <w:tcW w:type="dxa" w:w="1881"/>
          </w:tcPr>
          <w:p>
            <w:r>
              <w:rPr>
                <w:rFonts w:ascii="Meiryo UI" w:hAnsi="Meiryo UI"/>
                <w:sz w:val="18"/>
              </w:rPr>
              <w:t>☠️ 毒</w:t>
            </w:r>
          </w:p>
        </w:tc>
        <w:tc>
          <w:tcPr>
            <w:tcW w:type="dxa" w:w="1881"/>
          </w:tcPr>
          <w:p>
            <w:r>
              <w:rPr>
                <w:rFonts w:ascii="Meiryo UI" w:hAnsi="Meiryo UI"/>
                <w:sz w:val="18"/>
              </w:rPr>
              <w:t>原料費調整制度の4〜6ヶ月ラグ</w:t>
            </w:r>
          </w:p>
        </w:tc>
        <w:tc>
          <w:tcPr>
            <w:tcW w:type="dxa" w:w="1881"/>
          </w:tcPr>
          <w:p>
            <w:r>
              <w:rPr>
                <w:rFonts w:ascii="Meiryo UI" w:hAnsi="Meiryo UI"/>
                <w:sz w:val="18"/>
              </w:rPr>
              <w:t>短期一時赤字幅▲150〜250億円（ラグ期間中）</w:t>
            </w:r>
          </w:p>
        </w:tc>
        <w:tc>
          <w:tcPr>
            <w:tcW w:type="dxa" w:w="1881"/>
          </w:tcPr>
          <w:p>
            <w:r>
              <w:rPr>
                <w:rFonts w:ascii="Meiryo UI" w:hAnsi="Meiryo UI"/>
                <w:sz w:val="18"/>
              </w:rPr>
              <w:t>一過性（ただし繰り返す）</w:t>
            </w:r>
          </w:p>
        </w:tc>
        <w:tc>
          <w:tcPr>
            <w:tcW w:type="dxa" w:w="1881"/>
          </w:tcPr>
          <w:p>
            <w:r>
              <w:rPr>
                <w:rFonts w:ascii="Meiryo UI" w:hAnsi="Meiryo UI"/>
                <w:sz w:val="18"/>
              </w:rPr>
              <w:t>仕組みはあっても「今月の損失」は取り戻せない。時間差で確実に痛む</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USD/JPY158円台による調達コスト増</w:t>
            </w:r>
          </w:p>
        </w:tc>
        <w:tc>
          <w:tcPr>
            <w:tcW w:type="dxa" w:w="1881"/>
            <w:shd w:val="clear" w:color="auto" w:fill="DDEBF7"/>
          </w:tcPr>
          <w:p>
            <w:r>
              <w:rPr>
                <w:rFonts w:ascii="Meiryo UI" w:hAnsi="Meiryo UI"/>
                <w:sz w:val="18"/>
              </w:rPr>
              <w:t>▲100〜200億円（対FY2026比）</w:t>
            </w:r>
          </w:p>
        </w:tc>
        <w:tc>
          <w:tcPr>
            <w:tcW w:type="dxa" w:w="1881"/>
            <w:shd w:val="clear" w:color="auto" w:fill="DDEBF7"/>
          </w:tcPr>
          <w:p>
            <w:r>
              <w:rPr>
                <w:rFonts w:ascii="Meiryo UI" w:hAnsi="Meiryo UI"/>
                <w:sz w:val="18"/>
              </w:rPr>
              <w:t>構造的（来期ガイダンスに直撃）</w:t>
            </w:r>
          </w:p>
        </w:tc>
        <w:tc>
          <w:tcPr>
            <w:tcW w:type="dxa" w:w="1881"/>
            <w:shd w:val="clear" w:color="auto" w:fill="DDEBF7"/>
          </w:tcPr>
          <w:p>
            <w:r>
              <w:rPr>
                <w:rFonts w:ascii="Meiryo UI" w:hAnsi="Meiryo UI"/>
                <w:sz w:val="18"/>
              </w:rPr>
              <w:t>LNG代金はドル建て。円安+LNG高騰のダブルパンチ</w:t>
            </w:r>
          </w:p>
        </w:tc>
      </w:tr>
      <w:tr>
        <w:tc>
          <w:tcPr>
            <w:tcW w:type="dxa" w:w="1881"/>
          </w:tcPr>
          <w:p>
            <w:r>
              <w:rPr>
                <w:rFonts w:ascii="Meiryo UI" w:hAnsi="Meiryo UI"/>
                <w:sz w:val="18"/>
              </w:rPr>
              <w:t>☠️ 毒</w:t>
            </w:r>
          </w:p>
        </w:tc>
        <w:tc>
          <w:tcPr>
            <w:tcW w:type="dxa" w:w="1881"/>
          </w:tcPr>
          <w:p>
            <w:r>
              <w:rPr>
                <w:rFonts w:ascii="Meiryo UI" w:hAnsi="Meiryo UI"/>
                <w:sz w:val="18"/>
              </w:rPr>
              <w:t>海外発電事業の先行投資コスト</w:t>
            </w:r>
          </w:p>
        </w:tc>
        <w:tc>
          <w:tcPr>
            <w:tcW w:type="dxa" w:w="1881"/>
          </w:tcPr>
          <w:p>
            <w:r>
              <w:rPr>
                <w:rFonts w:ascii="Meiryo UI" w:hAnsi="Meiryo UI"/>
                <w:sz w:val="18"/>
              </w:rPr>
              <w:t>▲50〜100億円（減価償却・金利）</w:t>
            </w:r>
          </w:p>
        </w:tc>
        <w:tc>
          <w:tcPr>
            <w:tcW w:type="dxa" w:w="1881"/>
          </w:tcPr>
          <w:p>
            <w:r>
              <w:rPr>
                <w:rFonts w:ascii="Meiryo UI" w:hAnsi="Meiryo UI"/>
                <w:sz w:val="18"/>
              </w:rPr>
              <w:t>構造的（3〜5年継続）</w:t>
            </w:r>
          </w:p>
        </w:tc>
        <w:tc>
          <w:tcPr>
            <w:tcW w:type="dxa" w:w="1881"/>
          </w:tcPr>
          <w:p>
            <w:r>
              <w:rPr>
                <w:rFonts w:ascii="Meiryo UI" w:hAnsi="Meiryo UI"/>
                <w:sz w:val="18"/>
              </w:rPr>
              <w:t>将来への布石だが今は収益を食っている</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ホルムズ紛争による船舶保険・傭船料高騰</w:t>
            </w:r>
          </w:p>
        </w:tc>
        <w:tc>
          <w:tcPr>
            <w:tcW w:type="dxa" w:w="1881"/>
            <w:shd w:val="clear" w:color="auto" w:fill="DDEBF7"/>
          </w:tcPr>
          <w:p>
            <w:r>
              <w:rPr>
                <w:rFonts w:ascii="Meiryo UI" w:hAnsi="Meiryo UI"/>
                <w:sz w:val="18"/>
              </w:rPr>
              <w:t>▲30〜80億円/年</w:t>
            </w:r>
          </w:p>
        </w:tc>
        <w:tc>
          <w:tcPr>
            <w:tcW w:type="dxa" w:w="1881"/>
            <w:shd w:val="clear" w:color="auto" w:fill="DDEBF7"/>
          </w:tcPr>
          <w:p>
            <w:r>
              <w:rPr>
                <w:rFonts w:ascii="Meiryo UI" w:hAnsi="Meiryo UI"/>
                <w:sz w:val="18"/>
              </w:rPr>
              <w:t>一過性（紛争継続中は構造的）</w:t>
            </w:r>
          </w:p>
        </w:tc>
        <w:tc>
          <w:tcPr>
            <w:tcW w:type="dxa" w:w="1881"/>
            <w:shd w:val="clear" w:color="auto" w:fill="DDEBF7"/>
          </w:tcPr>
          <w:p>
            <w:r>
              <w:rPr>
                <w:rFonts w:ascii="Meiryo UI" w:hAnsi="Meiryo UI"/>
                <w:sz w:val="18"/>
              </w:rPr>
              <w:t>LNGタンカーの保険料が急騰。コストが見えにくい形で膨らむ</w:t>
            </w:r>
          </w:p>
        </w:tc>
      </w:tr>
      <w:tr>
        <w:tc>
          <w:tcPr>
            <w:tcW w:type="dxa" w:w="1881"/>
          </w:tcPr>
          <w:p>
            <w:r>
              <w:rPr>
                <w:rFonts w:ascii="Meiryo UI" w:hAnsi="Meiryo UI"/>
                <w:sz w:val="18"/>
              </w:rPr>
              <w:t>☠️ 毒</w:t>
            </w:r>
          </w:p>
        </w:tc>
        <w:tc>
          <w:tcPr>
            <w:tcW w:type="dxa" w:w="1881"/>
          </w:tcPr>
          <w:p>
            <w:r>
              <w:rPr>
                <w:rFonts w:ascii="Meiryo UI" w:hAnsi="Meiryo UI"/>
                <w:sz w:val="18"/>
              </w:rPr>
              <w:t>規制料金改定の政治的遅延リスク</w:t>
            </w:r>
          </w:p>
        </w:tc>
        <w:tc>
          <w:tcPr>
            <w:tcW w:type="dxa" w:w="1881"/>
          </w:tcPr>
          <w:p>
            <w:r>
              <w:rPr>
                <w:rFonts w:ascii="Meiryo UI" w:hAnsi="Meiryo UI"/>
                <w:sz w:val="18"/>
              </w:rPr>
              <w:t>転嫁スピード鈍化→コスト圧縮できない</w:t>
            </w:r>
          </w:p>
        </w:tc>
        <w:tc>
          <w:tcPr>
            <w:tcW w:type="dxa" w:w="1881"/>
          </w:tcPr>
          <w:p>
            <w:r>
              <w:rPr>
                <w:rFonts w:ascii="Meiryo UI" w:hAnsi="Meiryo UI"/>
                <w:sz w:val="18"/>
              </w:rPr>
              <w:t>構造的（政治リスク）</w:t>
            </w:r>
          </w:p>
        </w:tc>
        <w:tc>
          <w:tcPr>
            <w:tcW w:type="dxa" w:w="1881"/>
          </w:tcPr>
          <w:p>
            <w:r>
              <w:rPr>
                <w:rFonts w:ascii="Meiryo UI" w:hAnsi="Meiryo UI"/>
                <w:sz w:val="18"/>
              </w:rPr>
              <w:t>選挙前は値上げしにくい。政府が「待った」をかける可能性</w:t>
            </w:r>
          </w:p>
        </w:tc>
      </w:tr>
    </w:tbl>
    <w:p/>
    <w:p>
      <w:pPr>
        <w:pStyle w:val="Heading4"/>
      </w:pPr>
      <w:r>
        <w:rPr>
          <w:rFonts w:ascii="Meiryo UI" w:hAnsi="Meiryo UI"/>
          <w:color w:val="2E74B5"/>
        </w:rPr>
        <w:t>実力ベース純利益の再計算</w:t>
      </w:r>
    </w:p>
    <w:p/>
    <w:p>
      <w:pPr>
        <w:shd w:val="clear" w:color="auto" w:fill="F2F2F2"/>
      </w:pPr>
      <w:r>
        <w:rPr>
          <w:rFonts w:ascii="Courier New" w:hAnsi="Courier New"/>
          <w:sz w:val="16"/>
        </w:rPr>
        <w:t>【FY2026/3期 公式報告値ベース】</w:t>
        <w:br/>
        <w:t xml:space="preserve">  純利益（報告値）：約¥1,730億（EPS¥518）</w:t>
        <w:br/>
        <w:br/>
        <w:t>【毒を除去した「実力ベース」試算】</w:t>
        <w:br/>
        <w:t xml:space="preserve">  ＋一過性要因除去（為替益等）：▲50億円</w:t>
        <w:br/>
        <w:t xml:space="preserve">  ＋カタールLNG2系列は FY2026/3期には部分的に影響（2026年3月発生）</w:t>
        <w:br/>
        <w:br/>
        <w:t xml:space="preserve">  実力ベース純利益（FY2026/3）：≒¥1,650〜1,680億</w:t>
        <w:br/>
        <w:t xml:space="preserve">  実力EPS：≒¥493〜503</w:t>
        <w:br/>
        <w:br/>
        <w:t>【FY2027/3期 ストレス下の実力ベース試算（後述詳細）】</w:t>
        <w:br/>
        <w:t xml:space="preserve">  ベースケース（TTF€35）：¥1,450〜1,560億（▲10〜16%）</w:t>
        <w:br/>
        <w:t xml:space="preserve">  ストレスケース（TTF€70）：¥1,210〜1,300億（▲25〜30%）</w:t>
        <w:br/>
        <w:t xml:space="preserve">  </w:t>
        <w:br/>
        <w:t xml:space="preserve">  公式報告値との差分：最大▲430〜520億円（毒のフル顕在化ケース）</w:t>
      </w:r>
    </w:p>
    <w:p/>
    <w:p>
      <w:r>
        <w:t>──────────────────────────────────────────────────</w:t>
      </w:r>
    </w:p>
    <w:p/>
    <w:p>
      <w:pPr>
        <w:pStyle w:val="Heading3"/>
      </w:pPr>
      <w:r>
        <w:rPr>
          <w:rFonts w:ascii="Meiryo UI" w:hAnsi="Meiryo UI"/>
          <w:color w:val="2E74B5"/>
        </w:rPr>
        <w:t>0-B｜直近四半期（QonQ）変調分析</w:t>
      </w:r>
    </w:p>
    <w:p/>
    <w:p>
      <w:r>
        <w:rPr>
          <w:rFonts w:ascii="Meiryo UI" w:hAnsi="Meiryo UI"/>
          <w:sz w:val="20"/>
        </w:rPr>
        <w:t>&gt; 注記：東京ガスは四半期業績開示を行っているが、詳細セグメント別四半期は半期ベースが中心。以下はH2（2025年10月〜2026年3月）vs H1（2025年4月〜2026年9月）の比較および入手可能な情報から構成。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H1（FY2026上半期）</w:t>
            </w:r>
          </w:p>
        </w:tc>
        <w:tc>
          <w:tcPr>
            <w:tcW w:type="dxa" w:w="1881"/>
            <w:shd w:val="clear" w:color="auto" w:fill="2E74B5"/>
          </w:tcPr>
          <w:p>
            <w:r>
              <w:rPr>
                <w:rFonts w:ascii="Meiryo UI" w:hAnsi="Meiryo UI"/>
                <w:b/>
                <w:color w:val="FFFFFF"/>
                <w:sz w:val="18"/>
              </w:rPr>
              <w:t>H2（FY2026下半期・推計）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w:t>
            </w:r>
          </w:p>
        </w:tc>
        <w:tc>
          <w:tcPr>
            <w:tcW w:type="dxa" w:w="1881"/>
          </w:tcPr>
          <w:p>
            <w:r>
              <w:rPr>
                <w:rFonts w:ascii="Meiryo UI" w:hAnsi="Meiryo UI"/>
                <w:sz w:val="18"/>
              </w:rPr>
              <w:t>≒¥1.22兆</w:t>
            </w:r>
          </w:p>
        </w:tc>
        <w:tc>
          <w:tcPr>
            <w:tcW w:type="dxa" w:w="1881"/>
          </w:tcPr>
          <w:p>
            <w:r>
              <w:rPr>
                <w:rFonts w:ascii="Meiryo UI" w:hAnsi="Meiryo UI"/>
                <w:sz w:val="18"/>
              </w:rPr>
              <w:t>≒¥1.28兆</w:t>
            </w:r>
          </w:p>
        </w:tc>
        <w:tc>
          <w:tcPr>
            <w:tcW w:type="dxa" w:w="1881"/>
          </w:tcPr>
          <w:p>
            <w:r>
              <w:rPr>
                <w:rFonts w:ascii="Meiryo UI" w:hAnsi="Meiryo UI"/>
                <w:sz w:val="18"/>
              </w:rPr>
              <w:t>+4.9%</w:t>
            </w:r>
          </w:p>
        </w:tc>
        <w:tc>
          <w:tcPr>
            <w:tcW w:type="dxa" w:w="1881"/>
          </w:tcPr>
          <w:p>
            <w:r>
              <w:rPr>
                <w:rFonts w:ascii="Meiryo UI" w:hAnsi="Meiryo UI"/>
                <w:sz w:val="18"/>
              </w:rPr>
              <w:t>季節性（冬季ガス需要増）</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≒9.8%</w:t>
            </w:r>
          </w:p>
        </w:tc>
        <w:tc>
          <w:tcPr>
            <w:tcW w:type="dxa" w:w="1881"/>
            <w:shd w:val="clear" w:color="auto" w:fill="DDEBF7"/>
          </w:tcPr>
          <w:p>
            <w:r>
              <w:rPr>
                <w:rFonts w:ascii="Meiryo UI" w:hAnsi="Meiryo UI"/>
                <w:sz w:val="18"/>
              </w:rPr>
              <w:t>≒10.4%</w:t>
            </w:r>
          </w:p>
        </w:tc>
        <w:tc>
          <w:tcPr>
            <w:tcW w:type="dxa" w:w="1881"/>
            <w:shd w:val="clear" w:color="auto" w:fill="DDEBF7"/>
          </w:tcPr>
          <w:p>
            <w:r>
              <w:rPr>
                <w:rFonts w:ascii="Meiryo UI" w:hAnsi="Meiryo UI"/>
                <w:sz w:val="18"/>
              </w:rPr>
              <w:t>+0.6pt</w:t>
            </w:r>
          </w:p>
        </w:tc>
        <w:tc>
          <w:tcPr>
            <w:tcW w:type="dxa" w:w="1881"/>
            <w:shd w:val="clear" w:color="auto" w:fill="DDEBF7"/>
          </w:tcPr>
          <w:p>
            <w:r>
              <w:rPr>
                <w:rFonts w:ascii="Meiryo UI" w:hAnsi="Meiryo UI"/>
                <w:sz w:val="18"/>
              </w:rPr>
              <w:t>季節性（冬季需要で固定費吸収）</w:t>
            </w:r>
          </w:p>
        </w:tc>
      </w:tr>
      <w:tr>
        <w:tc>
          <w:tcPr>
            <w:tcW w:type="dxa" w:w="1881"/>
          </w:tcPr>
          <w:p>
            <w:r>
              <w:rPr>
                <w:rFonts w:ascii="Meiryo UI" w:hAnsi="Meiryo UI"/>
                <w:sz w:val="18"/>
              </w:rPr>
              <w:t>LNG調達単価（スポット比率）</w:t>
            </w:r>
          </w:p>
        </w:tc>
        <w:tc>
          <w:tcPr>
            <w:tcW w:type="dxa" w:w="1881"/>
          </w:tcPr>
          <w:p>
            <w:r>
              <w:rPr>
                <w:rFonts w:ascii="Meiryo UI" w:hAnsi="Meiryo UI"/>
                <w:sz w:val="18"/>
              </w:rPr>
              <w:t>低位安定</w:t>
            </w:r>
          </w:p>
        </w:tc>
        <w:tc>
          <w:tcPr>
            <w:tcW w:type="dxa" w:w="1881"/>
          </w:tcPr>
          <w:p>
            <w:r>
              <w:rPr>
                <w:rFonts w:ascii="Meiryo UI" w:hAnsi="Meiryo UI"/>
                <w:sz w:val="18"/>
              </w:rPr>
              <w:t>H2後半から急騰開始（3月カタール事態）</w:t>
            </w:r>
          </w:p>
        </w:tc>
        <w:tc>
          <w:tcPr>
            <w:tcW w:type="dxa" w:w="1881"/>
          </w:tcPr>
          <w:p>
            <w:r>
              <w:rPr>
                <w:rFonts w:ascii="Meiryo UI" w:hAnsi="Meiryo UI"/>
                <w:sz w:val="18"/>
              </w:rPr>
              <w:t>+15〜25%（スポット部分）</w:t>
            </w:r>
          </w:p>
        </w:tc>
        <w:tc>
          <w:tcPr>
            <w:tcW w:type="dxa" w:w="1881"/>
          </w:tcPr>
          <w:p>
            <w:r>
              <w:rPr>
                <w:rFonts w:ascii="Meiryo UI" w:hAnsi="Meiryo UI"/>
                <w:sz w:val="18"/>
              </w:rPr>
              <w:t>構造的悪化の始まり</w:t>
            </w:r>
          </w:p>
        </w:tc>
      </w:tr>
      <w:tr>
        <w:tc>
          <w:tcPr>
            <w:tcW w:type="dxa" w:w="1881"/>
            <w:shd w:val="clear" w:color="auto" w:fill="DDEBF7"/>
          </w:tcPr>
          <w:p>
            <w:r>
              <w:rPr>
                <w:rFonts w:ascii="Meiryo UI" w:hAnsi="Meiryo UI"/>
                <w:sz w:val="18"/>
              </w:rPr>
              <w:t>原料費調整制度適用額</w:t>
            </w:r>
          </w:p>
        </w:tc>
        <w:tc>
          <w:tcPr>
            <w:tcW w:type="dxa" w:w="1881"/>
            <w:shd w:val="clear" w:color="auto" w:fill="DDEBF7"/>
          </w:tcPr>
          <w:p>
            <w:r>
              <w:rPr>
                <w:rFonts w:ascii="Meiryo UI" w:hAnsi="Meiryo UI"/>
                <w:sz w:val="18"/>
              </w:rPr>
              <w:t>標準レンジ内</w:t>
            </w:r>
          </w:p>
        </w:tc>
        <w:tc>
          <w:tcPr>
            <w:tcW w:type="dxa" w:w="1881"/>
            <w:shd w:val="clear" w:color="auto" w:fill="DDEBF7"/>
          </w:tcPr>
          <w:p>
            <w:r>
              <w:rPr>
                <w:rFonts w:ascii="Meiryo UI" w:hAnsi="Meiryo UI"/>
                <w:sz w:val="18"/>
              </w:rPr>
              <w:t>上限付近に接近</w:t>
            </w:r>
          </w:p>
        </w:tc>
        <w:tc>
          <w:tcPr>
            <w:tcW w:type="dxa" w:w="1881"/>
            <w:shd w:val="clear" w:color="auto" w:fill="DDEBF7"/>
          </w:tcPr>
          <w:p>
            <w:r>
              <w:rPr>
                <w:rFonts w:ascii="Meiryo UI" w:hAnsi="Meiryo UI"/>
                <w:sz w:val="18"/>
              </w:rPr>
              <w:t>悪化</w:t>
            </w:r>
          </w:p>
        </w:tc>
        <w:tc>
          <w:tcPr>
            <w:tcW w:type="dxa" w:w="1881"/>
            <w:shd w:val="clear" w:color="auto" w:fill="DDEBF7"/>
          </w:tcPr>
          <w:p>
            <w:r>
              <w:rPr>
                <w:rFonts w:ascii="Meiryo UI" w:hAnsi="Meiryo UI"/>
                <w:sz w:val="18"/>
              </w:rPr>
              <w:t>調整制度の「蓋」が問題化</w:t>
            </w:r>
          </w:p>
        </w:tc>
      </w:tr>
      <w:tr>
        <w:tc>
          <w:tcPr>
            <w:tcW w:type="dxa" w:w="1881"/>
          </w:tcPr>
          <w:p>
            <w:r>
              <w:rPr>
                <w:rFonts w:ascii="Meiryo UI" w:hAnsi="Meiryo UI"/>
                <w:sz w:val="18"/>
              </w:rPr>
              <w:t>電力事業利益貢献</w:t>
            </w:r>
          </w:p>
        </w:tc>
        <w:tc>
          <w:tcPr>
            <w:tcW w:type="dxa" w:w="1881"/>
          </w:tcPr>
          <w:p>
            <w:r>
              <w:rPr>
                <w:rFonts w:ascii="Meiryo UI" w:hAnsi="Meiryo UI"/>
                <w:sz w:val="18"/>
              </w:rPr>
              <w:t>+120億円</w:t>
            </w:r>
          </w:p>
        </w:tc>
        <w:tc>
          <w:tcPr>
            <w:tcW w:type="dxa" w:w="1881"/>
          </w:tcPr>
          <w:p>
            <w:r>
              <w:rPr>
                <w:rFonts w:ascii="Meiryo UI" w:hAnsi="Meiryo UI"/>
                <w:sz w:val="18"/>
              </w:rPr>
              <w:t>+155億円</w:t>
            </w:r>
          </w:p>
        </w:tc>
        <w:tc>
          <w:tcPr>
            <w:tcW w:type="dxa" w:w="1881"/>
          </w:tcPr>
          <w:p>
            <w:r>
              <w:rPr>
                <w:rFonts w:ascii="Meiryo UI" w:hAnsi="Meiryo UI"/>
                <w:sz w:val="18"/>
              </w:rPr>
              <w:t>+29%</w:t>
            </w:r>
          </w:p>
        </w:tc>
        <w:tc>
          <w:tcPr>
            <w:tcW w:type="dxa" w:w="1881"/>
          </w:tcPr>
          <w:p>
            <w:r>
              <w:rPr>
                <w:rFonts w:ascii="Meiryo UI" w:hAnsi="Meiryo UI"/>
                <w:sz w:val="18"/>
              </w:rPr>
              <w:t>構造的（発電事業成長）</w:t>
            </w:r>
          </w:p>
        </w:tc>
      </w:tr>
      <w:tr>
        <w:tc>
          <w:tcPr>
            <w:tcW w:type="dxa" w:w="1881"/>
            <w:shd w:val="clear" w:color="auto" w:fill="DDEBF7"/>
          </w:tcPr>
          <w:p>
            <w:r>
              <w:rPr>
                <w:rFonts w:ascii="Meiryo UI" w:hAnsi="Meiryo UI"/>
                <w:sz w:val="18"/>
              </w:rPr>
              <w:t>海外事業損益</w:t>
            </w:r>
          </w:p>
        </w:tc>
        <w:tc>
          <w:tcPr>
            <w:tcW w:type="dxa" w:w="1881"/>
            <w:shd w:val="clear" w:color="auto" w:fill="DDEBF7"/>
          </w:tcPr>
          <w:p>
            <w:r>
              <w:rPr>
                <w:rFonts w:ascii="Meiryo UI" w:hAnsi="Meiryo UI"/>
                <w:sz w:val="18"/>
              </w:rPr>
              <w:t>±ゼロ近辺</w:t>
            </w:r>
          </w:p>
        </w:tc>
        <w:tc>
          <w:tcPr>
            <w:tcW w:type="dxa" w:w="1881"/>
            <w:shd w:val="clear" w:color="auto" w:fill="DDEBF7"/>
          </w:tcPr>
          <w:p>
            <w:r>
              <w:rPr>
                <w:rFonts w:ascii="Meiryo UI" w:hAnsi="Meiryo UI"/>
                <w:sz w:val="18"/>
              </w:rPr>
              <w:t>▲20〜30億円（先行投資）</w:t>
            </w:r>
          </w:p>
        </w:tc>
        <w:tc>
          <w:tcPr>
            <w:tcW w:type="dxa" w:w="1881"/>
            <w:shd w:val="clear" w:color="auto" w:fill="DDEBF7"/>
          </w:tcPr>
          <w:p>
            <w:r>
              <w:rPr>
                <w:rFonts w:ascii="Meiryo UI" w:hAnsi="Meiryo UI"/>
                <w:sz w:val="18"/>
              </w:rPr>
              <w:t>悪化</w:t>
            </w:r>
          </w:p>
        </w:tc>
        <w:tc>
          <w:tcPr>
            <w:tcW w:type="dxa" w:w="1881"/>
            <w:shd w:val="clear" w:color="auto" w:fill="DDEBF7"/>
          </w:tcPr>
          <w:p>
            <w:r>
              <w:rPr>
                <w:rFonts w:ascii="Meiryo UI" w:hAnsi="Meiryo UI"/>
                <w:sz w:val="18"/>
              </w:rPr>
              <w:t>構造的（投資フェーズ）</w:t>
            </w:r>
          </w:p>
        </w:tc>
      </w:tr>
      <w:tr>
        <w:tc>
          <w:tcPr>
            <w:tcW w:type="dxa" w:w="1881"/>
          </w:tcPr>
          <w:p>
            <w:r>
              <w:rPr>
                <w:rFonts w:ascii="Meiryo UI" w:hAnsi="Meiryo UI"/>
                <w:sz w:val="18"/>
              </w:rPr>
              <w:t>特記事項</w:t>
            </w:r>
          </w:p>
        </w:tc>
        <w:tc>
          <w:tcPr>
            <w:tcW w:type="dxa" w:w="1881"/>
          </w:tcPr>
          <w:p>
            <w:r>
              <w:rPr>
                <w:rFonts w:ascii="Meiryo UI" w:hAnsi="Meiryo UI"/>
                <w:sz w:val="18"/>
              </w:rPr>
              <w:t>為替¥153/$</w:t>
            </w:r>
          </w:p>
        </w:tc>
        <w:tc>
          <w:tcPr>
            <w:tcW w:type="dxa" w:w="1881"/>
          </w:tcPr>
          <w:p>
            <w:r>
              <w:rPr>
                <w:rFonts w:ascii="Meiryo UI" w:hAnsi="Meiryo UI"/>
                <w:sz w:val="18"/>
              </w:rPr>
              <w:t>為替¥158/$・カタールLNG停止（3月）</w:t>
            </w:r>
          </w:p>
        </w:tc>
        <w:tc>
          <w:tcPr>
            <w:tcW w:type="dxa" w:w="1881"/>
          </w:tcPr>
          <w:p>
            <w:r>
              <w:rPr>
                <w:rFonts w:ascii="Meiryo UI" w:hAnsi="Meiryo UI"/>
                <w:sz w:val="18"/>
              </w:rPr>
              <w:t>円安加速</w:t>
            </w:r>
          </w:p>
        </w:tc>
        <w:tc>
          <w:tcPr>
            <w:tcW w:type="dxa" w:w="1881"/>
          </w:tcPr>
          <w:p>
            <w:r>
              <w:rPr>
                <w:rFonts w:ascii="Meiryo UI" w:hAnsi="Meiryo UI"/>
                <w:sz w:val="18"/>
              </w:rPr>
              <w:t>来期に直撃するラグ要因が発生</w:t>
            </w:r>
          </w:p>
        </w:tc>
      </w:tr>
    </w:tbl>
    <w:p/>
    <w:p>
      <w:r>
        <w:rPr>
          <w:rFonts w:ascii="Meiryo UI" w:hAnsi="Meiryo UI"/>
          <w:sz w:val="20"/>
        </w:rPr>
        <w:t>変調の本質：FY2026/3期のH2後半（2026年2〜3月）に「未来の損失の種」が埋め込まれた。原料費調整制度のラグにより、この種は FY2027/3期の1Q〜2Q（2026年4〜9月）に一斉発芽する。</w:t>
      </w:r>
    </w:p>
    <w:p/>
    <w:p>
      <w:r>
        <w:t>──────────────────────────────────────────────────</w:t>
      </w:r>
    </w:p>
    <w:p/>
    <w:p>
      <w:pPr>
        <w:pStyle w:val="Heading2"/>
      </w:pPr>
      <w:r>
        <w:rPr>
          <w:rFonts w:ascii="Meiryo UI" w:hAnsi="Meiryo UI"/>
          <w:color w:val="2E74B5"/>
        </w:rPr>
        <w:t>1｜企業概要・事業分析</w:t>
      </w:r>
    </w:p>
    <w:p/>
    <w:p>
      <w:pPr>
        <w:pStyle w:val="Heading3"/>
      </w:pPr>
      <w:r>
        <w:rPr>
          <w:rFonts w:ascii="Meiryo UI" w:hAnsi="Meiryo UI"/>
          <w:color w:val="2E74B5"/>
        </w:rPr>
        <w:t>1-1｜東京ガス：日本最大の都市ガス事業者</w:t>
      </w:r>
    </w:p>
    <w:p/>
    <w:p>
      <w:r>
        <w:rPr>
          <w:rFonts w:ascii="Meiryo UI" w:hAnsi="Meiryo UI"/>
          <w:sz w:val="20"/>
        </w:rPr>
        <w:t>東京ガス（9531）は東証プライム上場の総合エネルギー企業。首都圏（東京・神奈川・千葉・埼玉）を地盤とする国内最大の都市ガス事業者であり、年間LNG調達量約1,200万トンは日本企業最大級。</w:t>
      </w:r>
    </w:p>
    <w:p/>
    <w:p>
      <w:pPr>
        <w:pStyle w:val="Heading3"/>
      </w:pPr>
      <w:r>
        <w:rPr>
          <w:rFonts w:ascii="Meiryo UI" w:hAnsi="Meiryo UI"/>
          <w:color w:val="2E74B5"/>
        </w:rPr>
        <w:t>1-2｜セグメント構成（FY2026/3期 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売上高構成比</w:t>
            </w:r>
          </w:p>
        </w:tc>
        <w:tc>
          <w:tcPr>
            <w:tcW w:type="dxa" w:w="2351"/>
            <w:shd w:val="clear" w:color="auto" w:fill="2E74B5"/>
          </w:tcPr>
          <w:p>
            <w:r>
              <w:rPr>
                <w:rFonts w:ascii="Meiryo UI" w:hAnsi="Meiryo UI"/>
                <w:b/>
                <w:color w:val="FFFFFF"/>
                <w:sz w:val="18"/>
              </w:rPr>
              <w:t>営業利益構成比</w:t>
            </w:r>
          </w:p>
        </w:tc>
        <w:tc>
          <w:tcPr>
            <w:tcW w:type="dxa" w:w="2351"/>
            <w:shd w:val="clear" w:color="auto" w:fill="2E74B5"/>
          </w:tcPr>
          <w:p>
            <w:r>
              <w:rPr>
                <w:rFonts w:ascii="Meiryo UI" w:hAnsi="Meiryo UI"/>
                <w:b/>
                <w:color w:val="FFFFFF"/>
                <w:sz w:val="18"/>
              </w:rPr>
              <w:t>成長性</w:t>
            </w:r>
          </w:p>
        </w:tc>
      </w:tr>
      <w:tr>
        <w:tc>
          <w:tcPr>
            <w:tcW w:type="dxa" w:w="2351"/>
          </w:tcPr>
          <w:p>
            <w:r>
              <w:rPr>
                <w:rFonts w:ascii="Meiryo UI" w:hAnsi="Meiryo UI"/>
                <w:sz w:val="18"/>
              </w:rPr>
              <w:t>ガス事業（都市ガス小売・卸）</w:t>
            </w:r>
          </w:p>
        </w:tc>
        <w:tc>
          <w:tcPr>
            <w:tcW w:type="dxa" w:w="2351"/>
          </w:tcPr>
          <w:p>
            <w:r>
              <w:rPr>
                <w:rFonts w:ascii="Meiryo UI" w:hAnsi="Meiryo UI"/>
                <w:sz w:val="18"/>
              </w:rPr>
              <w:t>約55%</w:t>
            </w:r>
          </w:p>
        </w:tc>
        <w:tc>
          <w:tcPr>
            <w:tcW w:type="dxa" w:w="2351"/>
          </w:tcPr>
          <w:p>
            <w:r>
              <w:rPr>
                <w:rFonts w:ascii="Meiryo UI" w:hAnsi="Meiryo UI"/>
                <w:sz w:val="18"/>
              </w:rPr>
              <w:t>約50%</w:t>
            </w:r>
          </w:p>
        </w:tc>
        <w:tc>
          <w:tcPr>
            <w:tcW w:type="dxa" w:w="2351"/>
          </w:tcPr>
          <w:p>
            <w:r>
              <w:rPr>
                <w:rFonts w:ascii="Meiryo UI" w:hAnsi="Meiryo UI"/>
                <w:sz w:val="18"/>
              </w:rPr>
              <w:t>成熟・規制業種</w:t>
            </w:r>
          </w:p>
        </w:tc>
      </w:tr>
      <w:tr>
        <w:tc>
          <w:tcPr>
            <w:tcW w:type="dxa" w:w="2351"/>
            <w:shd w:val="clear" w:color="auto" w:fill="DDEBF7"/>
          </w:tcPr>
          <w:p>
            <w:r>
              <w:rPr>
                <w:rFonts w:ascii="Meiryo UI" w:hAnsi="Meiryo UI"/>
                <w:sz w:val="18"/>
              </w:rPr>
              <w:t>電力事業</w:t>
            </w:r>
          </w:p>
        </w:tc>
        <w:tc>
          <w:tcPr>
            <w:tcW w:type="dxa" w:w="2351"/>
            <w:shd w:val="clear" w:color="auto" w:fill="DDEBF7"/>
          </w:tcPr>
          <w:p>
            <w:r>
              <w:rPr>
                <w:rFonts w:ascii="Meiryo UI" w:hAnsi="Meiryo UI"/>
                <w:sz w:val="18"/>
              </w:rPr>
              <w:t>約20%</w:t>
            </w:r>
          </w:p>
        </w:tc>
        <w:tc>
          <w:tcPr>
            <w:tcW w:type="dxa" w:w="2351"/>
            <w:shd w:val="clear" w:color="auto" w:fill="DDEBF7"/>
          </w:tcPr>
          <w:p>
            <w:r>
              <w:rPr>
                <w:rFonts w:ascii="Meiryo UI" w:hAnsi="Meiryo UI"/>
                <w:sz w:val="18"/>
              </w:rPr>
              <w:t>約22%</w:t>
            </w:r>
          </w:p>
        </w:tc>
        <w:tc>
          <w:tcPr>
            <w:tcW w:type="dxa" w:w="2351"/>
            <w:shd w:val="clear" w:color="auto" w:fill="DDEBF7"/>
          </w:tcPr>
          <w:p>
            <w:r>
              <w:rPr>
                <w:rFonts w:ascii="Meiryo UI" w:hAnsi="Meiryo UI"/>
                <w:sz w:val="18"/>
              </w:rPr>
              <w:t>成長中</w:t>
            </w:r>
          </w:p>
        </w:tc>
      </w:tr>
      <w:tr>
        <w:tc>
          <w:tcPr>
            <w:tcW w:type="dxa" w:w="2351"/>
          </w:tcPr>
          <w:p>
            <w:r>
              <w:rPr>
                <w:rFonts w:ascii="Meiryo UI" w:hAnsi="Meiryo UI"/>
                <w:sz w:val="18"/>
              </w:rPr>
              <w:t>資源・海外事業</w:t>
            </w:r>
          </w:p>
        </w:tc>
        <w:tc>
          <w:tcPr>
            <w:tcW w:type="dxa" w:w="2351"/>
          </w:tcPr>
          <w:p>
            <w:r>
              <w:rPr>
                <w:rFonts w:ascii="Meiryo UI" w:hAnsi="Meiryo UI"/>
                <w:sz w:val="18"/>
              </w:rPr>
              <w:t>約12%</w:t>
            </w:r>
          </w:p>
        </w:tc>
        <w:tc>
          <w:tcPr>
            <w:tcW w:type="dxa" w:w="2351"/>
          </w:tcPr>
          <w:p>
            <w:r>
              <w:rPr>
                <w:rFonts w:ascii="Meiryo UI" w:hAnsi="Meiryo UI"/>
                <w:sz w:val="18"/>
              </w:rPr>
              <w:t>約15%</w:t>
            </w:r>
          </w:p>
        </w:tc>
        <w:tc>
          <w:tcPr>
            <w:tcW w:type="dxa" w:w="2351"/>
          </w:tcPr>
          <w:p>
            <w:r>
              <w:rPr>
                <w:rFonts w:ascii="Meiryo UI" w:hAnsi="Meiryo UI"/>
                <w:sz w:val="18"/>
              </w:rPr>
              <w:t>高リスク・高収益</w:t>
            </w:r>
          </w:p>
        </w:tc>
      </w:tr>
      <w:tr>
        <w:tc>
          <w:tcPr>
            <w:tcW w:type="dxa" w:w="2351"/>
            <w:shd w:val="clear" w:color="auto" w:fill="DDEBF7"/>
          </w:tcPr>
          <w:p>
            <w:r>
              <w:rPr>
                <w:rFonts w:ascii="Meiryo UI" w:hAnsi="Meiryo UI"/>
                <w:sz w:val="18"/>
              </w:rPr>
              <w:t>その他（LNG関連・エンジニアリング等）</w:t>
            </w:r>
          </w:p>
        </w:tc>
        <w:tc>
          <w:tcPr>
            <w:tcW w:type="dxa" w:w="2351"/>
            <w:shd w:val="clear" w:color="auto" w:fill="DDEBF7"/>
          </w:tcPr>
          <w:p>
            <w:r>
              <w:rPr>
                <w:rFonts w:ascii="Meiryo UI" w:hAnsi="Meiryo UI"/>
                <w:sz w:val="18"/>
              </w:rPr>
              <w:t>約13%</w:t>
            </w:r>
          </w:p>
        </w:tc>
        <w:tc>
          <w:tcPr>
            <w:tcW w:type="dxa" w:w="2351"/>
            <w:shd w:val="clear" w:color="auto" w:fill="DDEBF7"/>
          </w:tcPr>
          <w:p>
            <w:r>
              <w:rPr>
                <w:rFonts w:ascii="Meiryo UI" w:hAnsi="Meiryo UI"/>
                <w:sz w:val="18"/>
              </w:rPr>
              <w:t>約13%</w:t>
            </w:r>
          </w:p>
        </w:tc>
        <w:tc>
          <w:tcPr>
            <w:tcW w:type="dxa" w:w="2351"/>
            <w:shd w:val="clear" w:color="auto" w:fill="DDEBF7"/>
          </w:tcPr>
          <w:p>
            <w:r>
              <w:rPr>
                <w:rFonts w:ascii="Meiryo UI" w:hAnsi="Meiryo UI"/>
                <w:sz w:val="18"/>
              </w:rPr>
              <w:t>安定</w:t>
            </w:r>
          </w:p>
        </w:tc>
      </w:tr>
    </w:tbl>
    <w:p/>
    <w:p>
      <w:pPr>
        <w:pStyle w:val="Heading3"/>
      </w:pPr>
      <w:r>
        <w:rPr>
          <w:rFonts w:ascii="Meiryo UI" w:hAnsi="Meiryo UI"/>
          <w:color w:val="2E74B5"/>
        </w:rPr>
        <w:t>1-3｜競合優位性</w:t>
      </w:r>
    </w:p>
    <w:p/>
    <w:p>
      <w:pPr>
        <w:pStyle w:val="ListBullet"/>
      </w:pPr>
      <w:r>
        <w:rPr>
          <w:rFonts w:ascii="Meiryo UI" w:hAnsi="Meiryo UI"/>
          <w:sz w:val="20"/>
        </w:rPr>
        <w:t>首都圏の導管インフラ独占性：東京圏の都市ガス導管は参入障壁が極めて高く、インフラ資産の代替不可能性は揺るぎない</w:t>
      </w:r>
    </w:p>
    <w:p>
      <w:pPr>
        <w:pStyle w:val="ListBullet"/>
      </w:pPr>
      <w:r>
        <w:rPr>
          <w:rFonts w:ascii="Meiryo UI" w:hAnsi="Meiryo UI"/>
          <w:sz w:val="20"/>
        </w:rPr>
        <w:t>LNG調達スケール：年間1,200万トンの調達量により長期契約での交渉力がある</w:t>
      </w:r>
    </w:p>
    <w:p>
      <w:pPr>
        <w:pStyle w:val="ListBullet"/>
      </w:pPr>
      <w:r>
        <w:rPr>
          <w:rFonts w:ascii="Meiryo UI" w:hAnsi="Meiryo UI"/>
          <w:sz w:val="20"/>
        </w:rPr>
        <w:t>電力事業への多角化：東電HDとの協業により発電・小売の利益柱を構築中</w:t>
      </w:r>
    </w:p>
    <w:p/>
    <w:p>
      <w:pPr>
        <w:pStyle w:val="Heading3"/>
      </w:pPr>
      <w:r>
        <w:rPr>
          <w:rFonts w:ascii="Meiryo UI" w:hAnsi="Meiryo UI"/>
          <w:color w:val="2E74B5"/>
        </w:rPr>
        <w:t>1-4｜直近カタリスト（2026年4月時点）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カタールLNG2系列喪失（確定事実）</w:t>
            </w:r>
          </w:p>
        </w:tc>
        <w:tc>
          <w:tcPr>
            <w:tcW w:type="dxa" w:w="3135"/>
          </w:tcPr>
          <w:p>
            <w:r>
              <w:rPr>
                <w:rFonts w:ascii="Meiryo UI" w:hAnsi="Meiryo UI"/>
                <w:sz w:val="18"/>
              </w:rPr>
              <w:t>強いネガ</w:t>
            </w:r>
          </w:p>
        </w:tc>
        <w:tc>
          <w:tcPr>
            <w:tcW w:type="dxa" w:w="3135"/>
          </w:tcPr>
          <w:p>
            <w:r>
              <w:rPr>
                <w:rFonts w:ascii="Meiryo UI" w:hAnsi="Meiryo UI"/>
                <w:sz w:val="18"/>
              </w:rPr>
              <w:t>即時〜12ヶ月</w:t>
            </w:r>
          </w:p>
        </w:tc>
      </w:tr>
      <w:tr>
        <w:tc>
          <w:tcPr>
            <w:tcW w:type="dxa" w:w="3135"/>
            <w:shd w:val="clear" w:color="auto" w:fill="DDEBF7"/>
          </w:tcPr>
          <w:p>
            <w:r>
              <w:rPr>
                <w:rFonts w:ascii="Meiryo UI" w:hAnsi="Meiryo UI"/>
                <w:sz w:val="18"/>
              </w:rPr>
              <w:t>TTF高止まり（€50現在→€35フロア）</w:t>
            </w:r>
          </w:p>
        </w:tc>
        <w:tc>
          <w:tcPr>
            <w:tcW w:type="dxa" w:w="3135"/>
            <w:shd w:val="clear" w:color="auto" w:fill="DDEBF7"/>
          </w:tcPr>
          <w:p>
            <w:r>
              <w:rPr>
                <w:rFonts w:ascii="Meiryo UI" w:hAnsi="Meiryo UI"/>
                <w:sz w:val="18"/>
              </w:rPr>
              <w:t>ネガ</w:t>
            </w:r>
          </w:p>
        </w:tc>
        <w:tc>
          <w:tcPr>
            <w:tcW w:type="dxa" w:w="3135"/>
            <w:shd w:val="clear" w:color="auto" w:fill="DDEBF7"/>
          </w:tcPr>
          <w:p>
            <w:r>
              <w:rPr>
                <w:rFonts w:ascii="Meiryo UI" w:hAnsi="Meiryo UI"/>
                <w:sz w:val="18"/>
              </w:rPr>
              <w:t>6〜24ヶ月</w:t>
            </w:r>
          </w:p>
        </w:tc>
      </w:tr>
      <w:tr>
        <w:tc>
          <w:tcPr>
            <w:tcW w:type="dxa" w:w="3135"/>
          </w:tcPr>
          <w:p>
            <w:r>
              <w:rPr>
                <w:rFonts w:ascii="Meiryo UI" w:hAnsi="Meiryo UI"/>
                <w:sz w:val="18"/>
              </w:rPr>
              <w:t>FY2027/3期ガイダンス発表（5月予定）</w:t>
            </w:r>
          </w:p>
        </w:tc>
        <w:tc>
          <w:tcPr>
            <w:tcW w:type="dxa" w:w="3135"/>
          </w:tcPr>
          <w:p>
            <w:r>
              <w:rPr>
                <w:rFonts w:ascii="Meiryo UI" w:hAnsi="Meiryo UI"/>
                <w:sz w:val="18"/>
              </w:rPr>
              <w:t>失望売りリスク</w:t>
            </w:r>
          </w:p>
        </w:tc>
        <w:tc>
          <w:tcPr>
            <w:tcW w:type="dxa" w:w="3135"/>
          </w:tcPr>
          <w:p>
            <w:r>
              <w:rPr>
                <w:rFonts w:ascii="Meiryo UI" w:hAnsi="Meiryo UI"/>
                <w:sz w:val="18"/>
              </w:rPr>
              <w:t>4〜6週間</w:t>
            </w:r>
          </w:p>
        </w:tc>
      </w:tr>
      <w:tr>
        <w:tc>
          <w:tcPr>
            <w:tcW w:type="dxa" w:w="3135"/>
            <w:shd w:val="clear" w:color="auto" w:fill="DDEBF7"/>
          </w:tcPr>
          <w:p>
            <w:r>
              <w:rPr>
                <w:rFonts w:ascii="Meiryo UI" w:hAnsi="Meiryo UI"/>
                <w:sz w:val="18"/>
              </w:rPr>
              <w:t>円安（USD/JPY158円台）</w:t>
            </w:r>
          </w:p>
        </w:tc>
        <w:tc>
          <w:tcPr>
            <w:tcW w:type="dxa" w:w="3135"/>
            <w:shd w:val="clear" w:color="auto" w:fill="DDEBF7"/>
          </w:tcPr>
          <w:p>
            <w:r>
              <w:rPr>
                <w:rFonts w:ascii="Meiryo UI" w:hAnsi="Meiryo UI"/>
                <w:sz w:val="18"/>
              </w:rPr>
              <w:t>ネガ</w:t>
            </w:r>
          </w:p>
        </w:tc>
        <w:tc>
          <w:tcPr>
            <w:tcW w:type="dxa" w:w="3135"/>
            <w:shd w:val="clear" w:color="auto" w:fill="DDEBF7"/>
          </w:tcPr>
          <w:p>
            <w:r>
              <w:rPr>
                <w:rFonts w:ascii="Meiryo UI" w:hAnsi="Meiryo UI"/>
                <w:sz w:val="18"/>
              </w:rPr>
              <w:t>継続中</w:t>
            </w:r>
          </w:p>
        </w:tc>
      </w:tr>
      <w:tr>
        <w:tc>
          <w:tcPr>
            <w:tcW w:type="dxa" w:w="3135"/>
          </w:tcPr>
          <w:p>
            <w:r>
              <w:rPr>
                <w:rFonts w:ascii="Meiryo UI" w:hAnsi="Meiryo UI"/>
                <w:sz w:val="18"/>
              </w:rPr>
              <w:t>自社株買い継続（還元姿勢）</w:t>
            </w:r>
          </w:p>
        </w:tc>
        <w:tc>
          <w:tcPr>
            <w:tcW w:type="dxa" w:w="3135"/>
          </w:tcPr>
          <w:p>
            <w:r>
              <w:rPr>
                <w:rFonts w:ascii="Meiryo UI" w:hAnsi="Meiryo UI"/>
                <w:sz w:val="18"/>
              </w:rPr>
              <w:t>小ポジ</w:t>
            </w:r>
          </w:p>
        </w:tc>
        <w:tc>
          <w:tcPr>
            <w:tcW w:type="dxa" w:w="3135"/>
          </w:tcPr>
          <w:p>
            <w:r>
              <w:rPr>
                <w:rFonts w:ascii="Meiryo UI" w:hAnsi="Meiryo UI"/>
                <w:sz w:val="18"/>
              </w:rPr>
              <w:t>短期</w:t>
            </w:r>
          </w:p>
        </w:tc>
      </w:tr>
    </w:tbl>
    <w:p/>
    <w:p>
      <w:r>
        <w:t>──────────────────────────────────────────────────</w:t>
      </w:r>
    </w:p>
    <w:p/>
    <w:p>
      <w:pPr>
        <w:pStyle w:val="Heading2"/>
      </w:pPr>
      <w:r>
        <w:rPr>
          <w:rFonts w:ascii="Meiryo UI" w:hAnsi="Meiryo UI"/>
          <w:color w:val="2E74B5"/>
        </w:rPr>
        <w:t>2｜社長指示最重点分析：カタールLNG喪失×TTF高止まり</w:t>
      </w:r>
    </w:p>
    <w:p/>
    <w:p>
      <w:pPr>
        <w:pStyle w:val="Heading3"/>
      </w:pPr>
      <w:r>
        <w:rPr>
          <w:rFonts w:ascii="Meiryo UI" w:hAnsi="Meiryo UI"/>
          <w:color w:val="2E74B5"/>
        </w:rPr>
        <w:t>2-A｜カタール向けLNG調達構造と代替コスト試算</w:t>
      </w:r>
    </w:p>
    <w:p/>
    <w:p>
      <w:pPr>
        <w:pStyle w:val="Heading4"/>
      </w:pPr>
      <w:r>
        <w:rPr>
          <w:rFonts w:ascii="Meiryo UI" w:hAnsi="Meiryo UI"/>
          <w:color w:val="2E74B5"/>
        </w:rPr>
        <w:t>東京ガスのLNG調達先内訳（推定）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調達先</w:t>
            </w:r>
          </w:p>
        </w:tc>
        <w:tc>
          <w:tcPr>
            <w:tcW w:type="dxa" w:w="1881"/>
            <w:shd w:val="clear" w:color="auto" w:fill="2E74B5"/>
          </w:tcPr>
          <w:p>
            <w:r>
              <w:rPr>
                <w:rFonts w:ascii="Meiryo UI" w:hAnsi="Meiryo UI"/>
                <w:b/>
                <w:color w:val="FFFFFF"/>
                <w:sz w:val="18"/>
              </w:rPr>
              <w:t>推定比率</w:t>
            </w:r>
          </w:p>
        </w:tc>
        <w:tc>
          <w:tcPr>
            <w:tcW w:type="dxa" w:w="1881"/>
            <w:shd w:val="clear" w:color="auto" w:fill="2E74B5"/>
          </w:tcPr>
          <w:p>
            <w:r>
              <w:rPr>
                <w:rFonts w:ascii="Meiryo UI" w:hAnsi="Meiryo UI"/>
                <w:b/>
                <w:color w:val="FFFFFF"/>
                <w:sz w:val="18"/>
              </w:rPr>
              <w:t>年間調達量</w:t>
            </w:r>
          </w:p>
        </w:tc>
        <w:tc>
          <w:tcPr>
            <w:tcW w:type="dxa" w:w="1881"/>
            <w:shd w:val="clear" w:color="auto" w:fill="2E74B5"/>
          </w:tcPr>
          <w:p>
            <w:r>
              <w:rPr>
                <w:rFonts w:ascii="Meiryo UI" w:hAnsi="Meiryo UI"/>
                <w:b/>
                <w:color w:val="FFFFFF"/>
                <w:sz w:val="18"/>
              </w:rPr>
              <w:t>契約形態</w:t>
            </w:r>
          </w:p>
        </w:tc>
        <w:tc>
          <w:tcPr>
            <w:tcW w:type="dxa" w:w="1881"/>
            <w:shd w:val="clear" w:color="auto" w:fill="2E74B5"/>
          </w:tcPr>
          <w:p>
            <w:r>
              <w:rPr>
                <w:rFonts w:ascii="Meiryo UI" w:hAnsi="Meiryo UI"/>
                <w:b/>
                <w:color w:val="FFFFFF"/>
                <w:sz w:val="18"/>
              </w:rPr>
              <w:t>価格連動</w:t>
            </w:r>
          </w:p>
        </w:tc>
      </w:tr>
      <w:tr>
        <w:tc>
          <w:tcPr>
            <w:tcW w:type="dxa" w:w="1881"/>
          </w:tcPr>
          <w:p>
            <w:r>
              <w:rPr>
                <w:rFonts w:ascii="Meiryo UI" w:hAnsi="Meiryo UI"/>
                <w:sz w:val="18"/>
              </w:rPr>
              <w:t>カタール（QatarEnergy）</w:t>
            </w:r>
          </w:p>
        </w:tc>
        <w:tc>
          <w:tcPr>
            <w:tcW w:type="dxa" w:w="1881"/>
          </w:tcPr>
          <w:p>
            <w:r>
              <w:rPr>
                <w:rFonts w:ascii="Meiryo UI" w:hAnsi="Meiryo UI"/>
                <w:sz w:val="18"/>
              </w:rPr>
              <w:t>約22%</w:t>
            </w:r>
          </w:p>
        </w:tc>
        <w:tc>
          <w:tcPr>
            <w:tcW w:type="dxa" w:w="1881"/>
          </w:tcPr>
          <w:p>
            <w:r>
              <w:rPr>
                <w:rFonts w:ascii="Meiryo UI" w:hAnsi="Meiryo UI"/>
                <w:sz w:val="18"/>
              </w:rPr>
              <w:t>約264万トン</w:t>
            </w:r>
          </w:p>
        </w:tc>
        <w:tc>
          <w:tcPr>
            <w:tcW w:type="dxa" w:w="1881"/>
          </w:tcPr>
          <w:p>
            <w:r>
              <w:rPr>
                <w:rFonts w:ascii="Meiryo UI" w:hAnsi="Meiryo UI"/>
                <w:sz w:val="18"/>
              </w:rPr>
              <w:t>長期契約</w:t>
            </w:r>
          </w:p>
        </w:tc>
        <w:tc>
          <w:tcPr>
            <w:tcW w:type="dxa" w:w="1881"/>
          </w:tcPr>
          <w:p>
            <w:r>
              <w:rPr>
                <w:rFonts w:ascii="Meiryo UI" w:hAnsi="Meiryo UI"/>
                <w:sz w:val="18"/>
              </w:rPr>
              <w:t>JCC（原油）連動</w:t>
            </w:r>
          </w:p>
        </w:tc>
      </w:tr>
      <w:tr>
        <w:tc>
          <w:tcPr>
            <w:tcW w:type="dxa" w:w="1881"/>
            <w:shd w:val="clear" w:color="auto" w:fill="DDEBF7"/>
          </w:tcPr>
          <w:p>
            <w:r>
              <w:rPr>
                <w:rFonts w:ascii="Meiryo UI" w:hAnsi="Meiryo UI"/>
                <w:sz w:val="18"/>
              </w:rPr>
              <w:t>オーストラリア（APLNG・Ichthys等）</w:t>
            </w:r>
          </w:p>
        </w:tc>
        <w:tc>
          <w:tcPr>
            <w:tcW w:type="dxa" w:w="1881"/>
            <w:shd w:val="clear" w:color="auto" w:fill="DDEBF7"/>
          </w:tcPr>
          <w:p>
            <w:r>
              <w:rPr>
                <w:rFonts w:ascii="Meiryo UI" w:hAnsi="Meiryo UI"/>
                <w:sz w:val="18"/>
              </w:rPr>
              <w:t>約28%</w:t>
            </w:r>
          </w:p>
        </w:tc>
        <w:tc>
          <w:tcPr>
            <w:tcW w:type="dxa" w:w="1881"/>
            <w:shd w:val="clear" w:color="auto" w:fill="DDEBF7"/>
          </w:tcPr>
          <w:p>
            <w:r>
              <w:rPr>
                <w:rFonts w:ascii="Meiryo UI" w:hAnsi="Meiryo UI"/>
                <w:sz w:val="18"/>
              </w:rPr>
              <w:t>約336万トン</w:t>
            </w:r>
          </w:p>
        </w:tc>
        <w:tc>
          <w:tcPr>
            <w:tcW w:type="dxa" w:w="1881"/>
            <w:shd w:val="clear" w:color="auto" w:fill="DDEBF7"/>
          </w:tcPr>
          <w:p>
            <w:r>
              <w:rPr>
                <w:rFonts w:ascii="Meiryo UI" w:hAnsi="Meiryo UI"/>
                <w:sz w:val="18"/>
              </w:rPr>
              <w:t>長期契約</w:t>
            </w:r>
          </w:p>
        </w:tc>
        <w:tc>
          <w:tcPr>
            <w:tcW w:type="dxa" w:w="1881"/>
            <w:shd w:val="clear" w:color="auto" w:fill="DDEBF7"/>
          </w:tcPr>
          <w:p>
            <w:r>
              <w:rPr>
                <w:rFonts w:ascii="Meiryo UI" w:hAnsi="Meiryo UI"/>
                <w:sz w:val="18"/>
              </w:rPr>
              <w:t>JCC連動</w:t>
            </w:r>
          </w:p>
        </w:tc>
      </w:tr>
      <w:tr>
        <w:tc>
          <w:tcPr>
            <w:tcW w:type="dxa" w:w="1881"/>
          </w:tcPr>
          <w:p>
            <w:r>
              <w:rPr>
                <w:rFonts w:ascii="Meiryo UI" w:hAnsi="Meiryo UI"/>
                <w:sz w:val="18"/>
              </w:rPr>
              <w:t>マレーシア（MLNG）</w:t>
            </w:r>
          </w:p>
        </w:tc>
        <w:tc>
          <w:tcPr>
            <w:tcW w:type="dxa" w:w="1881"/>
          </w:tcPr>
          <w:p>
            <w:r>
              <w:rPr>
                <w:rFonts w:ascii="Meiryo UI" w:hAnsi="Meiryo UI"/>
                <w:sz w:val="18"/>
              </w:rPr>
              <w:t>約15%</w:t>
            </w:r>
          </w:p>
        </w:tc>
        <w:tc>
          <w:tcPr>
            <w:tcW w:type="dxa" w:w="1881"/>
          </w:tcPr>
          <w:p>
            <w:r>
              <w:rPr>
                <w:rFonts w:ascii="Meiryo UI" w:hAnsi="Meiryo UI"/>
                <w:sz w:val="18"/>
              </w:rPr>
              <w:t>約180万トン</w:t>
            </w:r>
          </w:p>
        </w:tc>
        <w:tc>
          <w:tcPr>
            <w:tcW w:type="dxa" w:w="1881"/>
          </w:tcPr>
          <w:p>
            <w:r>
              <w:rPr>
                <w:rFonts w:ascii="Meiryo UI" w:hAnsi="Meiryo UI"/>
                <w:sz w:val="18"/>
              </w:rPr>
              <w:t>長期契約</w:t>
            </w:r>
          </w:p>
        </w:tc>
        <w:tc>
          <w:tcPr>
            <w:tcW w:type="dxa" w:w="1881"/>
          </w:tcPr>
          <w:p>
            <w:r>
              <w:rPr>
                <w:rFonts w:ascii="Meiryo UI" w:hAnsi="Meiryo UI"/>
                <w:sz w:val="18"/>
              </w:rPr>
              <w:t>JCC連動</w:t>
            </w:r>
          </w:p>
        </w:tc>
      </w:tr>
      <w:tr>
        <w:tc>
          <w:tcPr>
            <w:tcW w:type="dxa" w:w="1881"/>
            <w:shd w:val="clear" w:color="auto" w:fill="DDEBF7"/>
          </w:tcPr>
          <w:p>
            <w:r>
              <w:rPr>
                <w:rFonts w:ascii="Meiryo UI" w:hAnsi="Meiryo UI"/>
                <w:sz w:val="18"/>
              </w:rPr>
              <w:t>米国（Sabine Pass等）</w:t>
            </w:r>
          </w:p>
        </w:tc>
        <w:tc>
          <w:tcPr>
            <w:tcW w:type="dxa" w:w="1881"/>
            <w:shd w:val="clear" w:color="auto" w:fill="DDEBF7"/>
          </w:tcPr>
          <w:p>
            <w:r>
              <w:rPr>
                <w:rFonts w:ascii="Meiryo UI" w:hAnsi="Meiryo UI"/>
                <w:sz w:val="18"/>
              </w:rPr>
              <w:t>約18%</w:t>
            </w:r>
          </w:p>
        </w:tc>
        <w:tc>
          <w:tcPr>
            <w:tcW w:type="dxa" w:w="1881"/>
            <w:shd w:val="clear" w:color="auto" w:fill="DDEBF7"/>
          </w:tcPr>
          <w:p>
            <w:r>
              <w:rPr>
                <w:rFonts w:ascii="Meiryo UI" w:hAnsi="Meiryo UI"/>
                <w:sz w:val="18"/>
              </w:rPr>
              <w:t>約216万トン</w:t>
            </w:r>
          </w:p>
        </w:tc>
        <w:tc>
          <w:tcPr>
            <w:tcW w:type="dxa" w:w="1881"/>
            <w:shd w:val="clear" w:color="auto" w:fill="DDEBF7"/>
          </w:tcPr>
          <w:p>
            <w:r>
              <w:rPr>
                <w:rFonts w:ascii="Meiryo UI" w:hAnsi="Meiryo UI"/>
                <w:sz w:val="18"/>
              </w:rPr>
              <w:t>長期契約</w:t>
            </w:r>
          </w:p>
        </w:tc>
        <w:tc>
          <w:tcPr>
            <w:tcW w:type="dxa" w:w="1881"/>
            <w:shd w:val="clear" w:color="auto" w:fill="DDEBF7"/>
          </w:tcPr>
          <w:p>
            <w:r>
              <w:rPr>
                <w:rFonts w:ascii="Meiryo UI" w:hAnsi="Meiryo UI"/>
                <w:sz w:val="18"/>
              </w:rPr>
              <w:t>Henry Hub連動</w:t>
            </w:r>
          </w:p>
        </w:tc>
      </w:tr>
      <w:tr>
        <w:tc>
          <w:tcPr>
            <w:tcW w:type="dxa" w:w="1881"/>
          </w:tcPr>
          <w:p>
            <w:r>
              <w:rPr>
                <w:rFonts w:ascii="Meiryo UI" w:hAnsi="Meiryo UI"/>
                <w:sz w:val="18"/>
              </w:rPr>
              <w:t>ロシア（サハリン2）</w:t>
            </w:r>
          </w:p>
        </w:tc>
        <w:tc>
          <w:tcPr>
            <w:tcW w:type="dxa" w:w="1881"/>
          </w:tcPr>
          <w:p>
            <w:r>
              <w:rPr>
                <w:rFonts w:ascii="Meiryo UI" w:hAnsi="Meiryo UI"/>
                <w:sz w:val="18"/>
              </w:rPr>
              <w:t>約7%</w:t>
            </w:r>
          </w:p>
        </w:tc>
        <w:tc>
          <w:tcPr>
            <w:tcW w:type="dxa" w:w="1881"/>
          </w:tcPr>
          <w:p>
            <w:r>
              <w:rPr>
                <w:rFonts w:ascii="Meiryo UI" w:hAnsi="Meiryo UI"/>
                <w:sz w:val="18"/>
              </w:rPr>
              <w:t>約84万トン</w:t>
            </w:r>
          </w:p>
        </w:tc>
        <w:tc>
          <w:tcPr>
            <w:tcW w:type="dxa" w:w="1881"/>
          </w:tcPr>
          <w:p>
            <w:r>
              <w:rPr>
                <w:rFonts w:ascii="Meiryo UI" w:hAnsi="Meiryo UI"/>
                <w:sz w:val="18"/>
              </w:rPr>
              <w:t>長期契約</w:t>
            </w:r>
          </w:p>
        </w:tc>
        <w:tc>
          <w:tcPr>
            <w:tcW w:type="dxa" w:w="1881"/>
          </w:tcPr>
          <w:p>
            <w:r>
              <w:rPr>
                <w:rFonts w:ascii="Meiryo UI" w:hAnsi="Meiryo UI"/>
                <w:sz w:val="18"/>
              </w:rPr>
              <w:t>JCC連動</w:t>
            </w:r>
          </w:p>
        </w:tc>
      </w:tr>
      <w:tr>
        <w:tc>
          <w:tcPr>
            <w:tcW w:type="dxa" w:w="1881"/>
            <w:shd w:val="clear" w:color="auto" w:fill="DDEBF7"/>
          </w:tcPr>
          <w:p>
            <w:r>
              <w:rPr>
                <w:rFonts w:ascii="Meiryo UI" w:hAnsi="Meiryo UI"/>
                <w:sz w:val="18"/>
              </w:rPr>
              <w:t>スポット・その他</w:t>
            </w:r>
          </w:p>
        </w:tc>
        <w:tc>
          <w:tcPr>
            <w:tcW w:type="dxa" w:w="1881"/>
            <w:shd w:val="clear" w:color="auto" w:fill="DDEBF7"/>
          </w:tcPr>
          <w:p>
            <w:r>
              <w:rPr>
                <w:rFonts w:ascii="Meiryo UI" w:hAnsi="Meiryo UI"/>
                <w:sz w:val="18"/>
              </w:rPr>
              <w:t>約10%</w:t>
            </w:r>
          </w:p>
        </w:tc>
        <w:tc>
          <w:tcPr>
            <w:tcW w:type="dxa" w:w="1881"/>
            <w:shd w:val="clear" w:color="auto" w:fill="DDEBF7"/>
          </w:tcPr>
          <w:p>
            <w:r>
              <w:rPr>
                <w:rFonts w:ascii="Meiryo UI" w:hAnsi="Meiryo UI"/>
                <w:sz w:val="18"/>
              </w:rPr>
              <w:t>約120万トン</w:t>
            </w:r>
          </w:p>
        </w:tc>
        <w:tc>
          <w:tcPr>
            <w:tcW w:type="dxa" w:w="1881"/>
            <w:shd w:val="clear" w:color="auto" w:fill="DDEBF7"/>
          </w:tcPr>
          <w:p>
            <w:r>
              <w:rPr>
                <w:rFonts w:ascii="Meiryo UI" w:hAnsi="Meiryo UI"/>
                <w:sz w:val="18"/>
              </w:rPr>
              <w:t>スポット</w:t>
            </w:r>
          </w:p>
        </w:tc>
        <w:tc>
          <w:tcPr>
            <w:tcW w:type="dxa" w:w="1881"/>
            <w:shd w:val="clear" w:color="auto" w:fill="DDEBF7"/>
          </w:tcPr>
          <w:p>
            <w:r>
              <w:rPr>
                <w:rFonts w:ascii="Meiryo UI" w:hAnsi="Meiryo UI"/>
                <w:sz w:val="18"/>
              </w:rPr>
              <w:t>TTF/JKM連動</w:t>
            </w:r>
          </w:p>
        </w:tc>
      </w:tr>
      <w:tr>
        <w:tc>
          <w:tcPr>
            <w:tcW w:type="dxa" w:w="1881"/>
          </w:tcPr>
          <w:p>
            <w:r>
              <w:rPr>
                <w:rFonts w:ascii="Meiryo UI" w:hAnsi="Meiryo UI"/>
                <w:sz w:val="18"/>
              </w:rPr>
              <w:t>合計</w:t>
            </w:r>
          </w:p>
        </w:tc>
        <w:tc>
          <w:tcPr>
            <w:tcW w:type="dxa" w:w="1881"/>
          </w:tcPr>
          <w:p>
            <w:r>
              <w:rPr>
                <w:rFonts w:ascii="Meiryo UI" w:hAnsi="Meiryo UI"/>
                <w:sz w:val="18"/>
              </w:rPr>
              <w:t>100%</w:t>
            </w:r>
          </w:p>
        </w:tc>
        <w:tc>
          <w:tcPr>
            <w:tcW w:type="dxa" w:w="1881"/>
          </w:tcPr>
          <w:p>
            <w:r>
              <w:rPr>
                <w:rFonts w:ascii="Meiryo UI" w:hAnsi="Meiryo UI"/>
                <w:sz w:val="18"/>
              </w:rPr>
              <w:t>約1,200万トン</w:t>
            </w:r>
          </w:p>
        </w:tc>
        <w:tc>
          <w:tcPr>
            <w:tcW w:type="dxa" w:w="1881"/>
          </w:tcPr>
          <w:p>
            <w:r>
              <w:rPr>
                <w:rFonts w:ascii="Meiryo UI" w:hAnsi="Meiryo UI"/>
                <w:sz w:val="18"/>
              </w:rPr>
            </w:r>
          </w:p>
        </w:tc>
        <w:tc>
          <w:tcPr>
            <w:tcW w:type="dxa" w:w="1881"/>
          </w:tcPr>
          <w:p>
            <w:r>
              <w:rPr>
                <w:rFonts w:ascii="Meiryo UI" w:hAnsi="Meiryo UI"/>
                <w:sz w:val="18"/>
              </w:rPr>
            </w:r>
          </w:p>
        </w:tc>
      </w:tr>
    </w:tbl>
    <w:p/>
    <w:p>
      <w:pPr>
        <w:pStyle w:val="Heading4"/>
      </w:pPr>
      <w:r>
        <w:rPr>
          <w:rFonts w:ascii="Meiryo UI" w:hAnsi="Meiryo UI"/>
          <w:color w:val="2E74B5"/>
        </w:rPr>
        <w:t>カタール2系列喪失による代替調達コスト試算</w:t>
      </w:r>
    </w:p>
    <w:p/>
    <w:p>
      <w:pPr>
        <w:shd w:val="clear" w:color="auto" w:fill="F2F2F2"/>
      </w:pPr>
      <w:r>
        <w:rPr>
          <w:rFonts w:ascii="Courier New" w:hAnsi="Courier New"/>
          <w:sz w:val="16"/>
        </w:rPr>
        <w:t>【前提条件】</w:t>
        <w:br/>
        <w:t xml:space="preserve">  カタール向け削減量（2系列喪失により供給途絶）：約264万トン×50%毀損 ≒ 132万トン</w:t>
        <w:br/>
        <w:t xml:space="preserve">  ※2系列は全体の約50%相当と仮定（カタール向け264万トンの半分）</w:t>
        <w:br/>
        <w:t xml:space="preserve">  </w:t>
        <w:br/>
        <w:t xml:space="preserve">  代替スポット調達必要量：約132万トン/年</w:t>
        <w:br/>
        <w:br/>
        <w:t>【TTFシナリオ別スポット価格→JKM（アジアLNGスポット）換算】</w:t>
        <w:br/>
        <w:t xml:space="preserve">  TTF€35 → JKM ≒ $13〜15/MMBtu</w:t>
        <w:br/>
        <w:t xml:space="preserve">  TTF€70 → JKM ≒ $22〜25/MMBtu</w:t>
        <w:br/>
        <w:t xml:space="preserve">  TTF€115 → JKM ≒ $35〜40/MMBtu</w:t>
        <w:br/>
        <w:br/>
        <w:t>【長期契約vs スポット価格差（追加コスト/トン）】</w:t>
        <w:br/>
        <w:t xml:space="preserve">  長期契約（JCC連動、現状Brent$97.68） → ≒ $550〜600/トン換算</w:t>
        <w:br/>
        <w:t xml:space="preserve">  TTF€35シナリオ スポット → ≒ $650〜720/トン（差額 ≒ $100〜120/トン）</w:t>
        <w:br/>
        <w:t xml:space="preserve">  TTF€70シナリオ スポット → ≒ $1,050〜1,150/トン（差額 ≒ $450〜550/トン）</w:t>
        <w:br/>
        <w:t xml:space="preserve">  TTF€115シナリオ スポット → ≒ $1,620〜1,850/トン（差額 ≒ $1,020〜1,250/トン）</w:t>
        <w:br/>
        <w:br/>
        <w:t>【為替換算（¥158/$）×追加コスト試算（年間）】</w:t>
        <w:br/>
        <w:t xml:space="preserve">  TTF€35：132万トン × $110/トン × ¥158 = ≒ ¥229億円</w:t>
        <w:br/>
        <w:t xml:space="preserve">  TTF€70：132万トン × $500/トン × ¥158 = ≒ ¥1,041億円</w:t>
        <w:br/>
        <w:t xml:space="preserve">  TTF€115：132万トン × $1,135/トン × ¥158 = ≒ ¥2,364億円</w:t>
        <w:br/>
        <w:br/>
        <w:t>【原料費調整制度による自動転嫁分（長期）を控除】</w:t>
        <w:br/>
        <w:t xml:space="preserve">  転嫁率（長期想定）：約60〜70%</w:t>
        <w:br/>
        <w:t xml:space="preserve">  ただし4〜6ヶ月ラグ期間中の実質コスト吸収は30〜40%に留まる</w:t>
        <w:br/>
        <w:br/>
        <w:t>【純財務インパクト（税引前・転嫁控除後・ラグ考慮）】</w:t>
        <w:br/>
        <w:t xml:space="preserve">  TTF€35：追加コスト¥229億 × 転嫁率40%（ラグ期間） = 実質負担 ≒ ▲¥137億円</w:t>
        <w:br/>
        <w:t xml:space="preserve">  TTF€70：追加コスト¥1,041億 × 転嫁率40% = 実質負担 ≒ ▲¥625億円</w:t>
        <w:br/>
        <w:t xml:space="preserve">  TTF€115：追加コスト¥2,364億 × 転嫁率40% = 実質負担 ≒ ▲¥1,418億円</w:t>
      </w:r>
    </w:p>
    <w:p/>
    <w:p>
      <w:r>
        <w:rPr>
          <w:rFonts w:ascii="Meiryo UI" w:hAnsi="Meiryo UI"/>
          <w:sz w:val="20"/>
        </w:rPr>
        <w:t>&gt; 深井コメント：TTF€115は財務的に「会社存亡レベル」のシナリオ。現時点ではTTF€70が最も蓋然性の高いストレスシナリオと判断する。</w:t>
      </w:r>
    </w:p>
    <w:p/>
    <w:p>
      <w:r>
        <w:t>──────────────────────────────────────────────────</w:t>
      </w:r>
    </w:p>
    <w:p/>
    <w:p>
      <w:pPr>
        <w:pStyle w:val="Heading3"/>
      </w:pPr>
      <w:r>
        <w:rPr>
          <w:rFonts w:ascii="Meiryo UI" w:hAnsi="Meiryo UI"/>
          <w:color w:val="2E74B5"/>
        </w:rPr>
        <w:t>2-B｜TTF3シナリオ別 FY2027/3期純利益変化試算</w:t>
      </w:r>
    </w:p>
    <w:p/>
    <w:p>
      <w:pPr>
        <w:pStyle w:val="Heading4"/>
      </w:pPr>
      <w:r>
        <w:rPr>
          <w:rFonts w:ascii="Meiryo UI" w:hAnsi="Meiryo UI"/>
          <w:color w:val="2E74B5"/>
        </w:rPr>
        <w:t>前提</w:t>
      </w:r>
    </w:p>
    <w:p/>
    <w:p>
      <w:pPr>
        <w:shd w:val="clear" w:color="auto" w:fill="F2F2F2"/>
      </w:pPr>
      <w:r>
        <w:rPr>
          <w:rFonts w:ascii="Courier New" w:hAnsi="Courier New"/>
          <w:sz w:val="16"/>
        </w:rPr>
        <w:t>FY2026/3期 純利益ベース：¥1,730億円（EPS¥518）</w:t>
        <w:br/>
        <w:t>カタールLNG追加コスト（税引前）：上記試算値</w:t>
        <w:br/>
        <w:t>実効税率：約30%</w:t>
        <w:br/>
        <w:t>円安影響（¥158/$固定）：LNG調達コスト全般に約+5%の追加負担（¥153比較）</w:t>
        <w:br/>
        <w:t xml:space="preserve"> → 追加コスト（全調達1,200万トンベース）：≒ ▲¥100〜150億円</w:t>
        <w:br/>
        <w:br/>
        <w:t>為替影響（税引後）：▲¥70〜105億円</w:t>
      </w:r>
    </w:p>
    <w:p/>
    <w:p>
      <w:pPr>
        <w:pStyle w:val="Heading4"/>
      </w:pPr>
      <w:r>
        <w:rPr>
          <w:rFonts w:ascii="Meiryo UI" w:hAnsi="Meiryo UI"/>
          <w:color w:val="2E74B5"/>
        </w:rPr>
        <w:t>TTF3シナリオ別 FY2027/3期純利益</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シナリオ</w:t>
            </w:r>
          </w:p>
        </w:tc>
        <w:tc>
          <w:tcPr>
            <w:tcW w:type="dxa" w:w="1176"/>
            <w:shd w:val="clear" w:color="auto" w:fill="2E74B5"/>
          </w:tcPr>
          <w:p>
            <w:r>
              <w:rPr>
                <w:rFonts w:ascii="Meiryo UI" w:hAnsi="Meiryo UI"/>
                <w:b/>
                <w:color w:val="FFFFFF"/>
                <w:sz w:val="18"/>
              </w:rPr>
              <w:t>TTF水準</w:t>
            </w:r>
          </w:p>
        </w:tc>
        <w:tc>
          <w:tcPr>
            <w:tcW w:type="dxa" w:w="1176"/>
            <w:shd w:val="clear" w:color="auto" w:fill="2E74B5"/>
          </w:tcPr>
          <w:p>
            <w:r>
              <w:rPr>
                <w:rFonts w:ascii="Meiryo UI" w:hAnsi="Meiryo UI"/>
                <w:b/>
                <w:color w:val="FFFFFF"/>
                <w:sz w:val="18"/>
              </w:rPr>
              <w:t>カタール代替追加コスト(税引前)</w:t>
            </w:r>
          </w:p>
        </w:tc>
        <w:tc>
          <w:tcPr>
            <w:tcW w:type="dxa" w:w="1176"/>
            <w:shd w:val="clear" w:color="auto" w:fill="2E74B5"/>
          </w:tcPr>
          <w:p>
            <w:r>
              <w:rPr>
                <w:rFonts w:ascii="Meiryo UI" w:hAnsi="Meiryo UI"/>
                <w:b/>
                <w:color w:val="FFFFFF"/>
                <w:sz w:val="18"/>
              </w:rPr>
              <w:t>円安影響(税引後)</w:t>
            </w:r>
          </w:p>
        </w:tc>
        <w:tc>
          <w:tcPr>
            <w:tcW w:type="dxa" w:w="1176"/>
            <w:shd w:val="clear" w:color="auto" w:fill="2E74B5"/>
          </w:tcPr>
          <w:p>
            <w:r>
              <w:rPr>
                <w:rFonts w:ascii="Meiryo UI" w:hAnsi="Meiryo UI"/>
                <w:b/>
                <w:color w:val="FFFFFF"/>
                <w:sz w:val="18"/>
              </w:rPr>
              <w:t>合計税引後インパクト</w:t>
            </w:r>
          </w:p>
        </w:tc>
        <w:tc>
          <w:tcPr>
            <w:tcW w:type="dxa" w:w="1176"/>
            <w:shd w:val="clear" w:color="auto" w:fill="2E74B5"/>
          </w:tcPr>
          <w:p>
            <w:r>
              <w:rPr>
                <w:rFonts w:ascii="Meiryo UI" w:hAnsi="Meiryo UI"/>
                <w:b/>
                <w:color w:val="FFFFFF"/>
                <w:sz w:val="18"/>
              </w:rPr>
              <w:t>FY2027純利益(推計)</w:t>
            </w:r>
          </w:p>
        </w:tc>
        <w:tc>
          <w:tcPr>
            <w:tcW w:type="dxa" w:w="1176"/>
            <w:shd w:val="clear" w:color="auto" w:fill="2E74B5"/>
          </w:tcPr>
          <w:p>
            <w:r>
              <w:rPr>
                <w:rFonts w:ascii="Meiryo UI" w:hAnsi="Meiryo UI"/>
                <w:b/>
                <w:color w:val="FFFFFF"/>
                <w:sz w:val="18"/>
              </w:rPr>
              <w:t>変化率</w:t>
            </w:r>
          </w:p>
        </w:tc>
        <w:tc>
          <w:tcPr>
            <w:tcW w:type="dxa" w:w="1176"/>
            <w:shd w:val="clear" w:color="auto" w:fill="2E74B5"/>
          </w:tcPr>
          <w:p>
            <w:r>
              <w:rPr>
                <w:rFonts w:ascii="Meiryo UI" w:hAnsi="Meiryo UI"/>
                <w:b/>
                <w:color w:val="FFFFFF"/>
                <w:sz w:val="18"/>
              </w:rPr>
              <w:t>EPS(推計)</w:t>
            </w:r>
          </w:p>
        </w:tc>
      </w:tr>
      <w:tr>
        <w:tc>
          <w:tcPr>
            <w:tcW w:type="dxa" w:w="1176"/>
          </w:tcPr>
          <w:p>
            <w:r>
              <w:rPr>
                <w:rFonts w:ascii="Meiryo UI" w:hAnsi="Meiryo UI"/>
                <w:sz w:val="18"/>
              </w:rPr>
              <w:t>シナリオA（停戦維持）</w:t>
            </w:r>
          </w:p>
        </w:tc>
        <w:tc>
          <w:tcPr>
            <w:tcW w:type="dxa" w:w="1176"/>
          </w:tcPr>
          <w:p>
            <w:r>
              <w:rPr>
                <w:rFonts w:ascii="Meiryo UI" w:hAnsi="Meiryo UI"/>
                <w:sz w:val="18"/>
              </w:rPr>
              <w:t>€35</w:t>
            </w:r>
          </w:p>
        </w:tc>
        <w:tc>
          <w:tcPr>
            <w:tcW w:type="dxa" w:w="1176"/>
          </w:tcPr>
          <w:p>
            <w:r>
              <w:rPr>
                <w:rFonts w:ascii="Meiryo UI" w:hAnsi="Meiryo UI"/>
                <w:sz w:val="18"/>
              </w:rPr>
              <w:t>▲¥96億（税後）</w:t>
            </w:r>
          </w:p>
        </w:tc>
        <w:tc>
          <w:tcPr>
            <w:tcW w:type="dxa" w:w="1176"/>
          </w:tcPr>
          <w:p>
            <w:r>
              <w:rPr>
                <w:rFonts w:ascii="Meiryo UI" w:hAnsi="Meiryo UI"/>
                <w:sz w:val="18"/>
              </w:rPr>
              <w:t>▲¥88億</w:t>
            </w:r>
          </w:p>
        </w:tc>
        <w:tc>
          <w:tcPr>
            <w:tcW w:type="dxa" w:w="1176"/>
          </w:tcPr>
          <w:p>
            <w:r>
              <w:rPr>
                <w:rFonts w:ascii="Meiryo UI" w:hAnsi="Meiryo UI"/>
                <w:sz w:val="18"/>
              </w:rPr>
              <w:t>▲¥184億</w:t>
            </w:r>
          </w:p>
        </w:tc>
        <w:tc>
          <w:tcPr>
            <w:tcW w:type="dxa" w:w="1176"/>
          </w:tcPr>
          <w:p>
            <w:r>
              <w:rPr>
                <w:rFonts w:ascii="Meiryo UI" w:hAnsi="Meiryo UI"/>
                <w:sz w:val="18"/>
              </w:rPr>
              <w:t>¥1,546億</w:t>
            </w:r>
          </w:p>
        </w:tc>
        <w:tc>
          <w:tcPr>
            <w:tcW w:type="dxa" w:w="1176"/>
          </w:tcPr>
          <w:p>
            <w:r>
              <w:rPr>
                <w:rFonts w:ascii="Meiryo UI" w:hAnsi="Meiryo UI"/>
                <w:sz w:val="18"/>
              </w:rPr>
              <w:t>▲10.6%</w:t>
            </w:r>
          </w:p>
        </w:tc>
        <w:tc>
          <w:tcPr>
            <w:tcW w:type="dxa" w:w="1176"/>
          </w:tcPr>
          <w:p>
            <w:r>
              <w:rPr>
                <w:rFonts w:ascii="Meiryo UI" w:hAnsi="Meiryo UI"/>
                <w:sz w:val="18"/>
              </w:rPr>
              <w:t>¥462</w:t>
            </w:r>
          </w:p>
        </w:tc>
      </w:tr>
      <w:tr>
        <w:tc>
          <w:tcPr>
            <w:tcW w:type="dxa" w:w="1176"/>
            <w:shd w:val="clear" w:color="auto" w:fill="DDEBF7"/>
          </w:tcPr>
          <w:p>
            <w:r>
              <w:rPr>
                <w:rFonts w:ascii="Meiryo UI" w:hAnsi="Meiryo UI"/>
                <w:sz w:val="18"/>
              </w:rPr>
              <w:t>シナリオB（停戦破綻）</w:t>
            </w:r>
          </w:p>
        </w:tc>
        <w:tc>
          <w:tcPr>
            <w:tcW w:type="dxa" w:w="1176"/>
            <w:shd w:val="clear" w:color="auto" w:fill="DDEBF7"/>
          </w:tcPr>
          <w:p>
            <w:r>
              <w:rPr>
                <w:rFonts w:ascii="Meiryo UI" w:hAnsi="Meiryo UI"/>
                <w:sz w:val="18"/>
              </w:rPr>
              <w:t>€70</w:t>
            </w:r>
          </w:p>
        </w:tc>
        <w:tc>
          <w:tcPr>
            <w:tcW w:type="dxa" w:w="1176"/>
            <w:shd w:val="clear" w:color="auto" w:fill="DDEBF7"/>
          </w:tcPr>
          <w:p>
            <w:r>
              <w:rPr>
                <w:rFonts w:ascii="Meiryo UI" w:hAnsi="Meiryo UI"/>
                <w:sz w:val="18"/>
              </w:rPr>
              <w:t>▲¥438億（税後）</w:t>
            </w:r>
          </w:p>
        </w:tc>
        <w:tc>
          <w:tcPr>
            <w:tcW w:type="dxa" w:w="1176"/>
            <w:shd w:val="clear" w:color="auto" w:fill="DDEBF7"/>
          </w:tcPr>
          <w:p>
            <w:r>
              <w:rPr>
                <w:rFonts w:ascii="Meiryo UI" w:hAnsi="Meiryo UI"/>
                <w:sz w:val="18"/>
              </w:rPr>
              <w:t>▲¥88億</w:t>
            </w:r>
          </w:p>
        </w:tc>
        <w:tc>
          <w:tcPr>
            <w:tcW w:type="dxa" w:w="1176"/>
            <w:shd w:val="clear" w:color="auto" w:fill="DDEBF7"/>
          </w:tcPr>
          <w:p>
            <w:r>
              <w:rPr>
                <w:rFonts w:ascii="Meiryo UI" w:hAnsi="Meiryo UI"/>
                <w:sz w:val="18"/>
              </w:rPr>
              <w:t>▲¥526億</w:t>
            </w:r>
          </w:p>
        </w:tc>
        <w:tc>
          <w:tcPr>
            <w:tcW w:type="dxa" w:w="1176"/>
            <w:shd w:val="clear" w:color="auto" w:fill="DDEBF7"/>
          </w:tcPr>
          <w:p>
            <w:r>
              <w:rPr>
                <w:rFonts w:ascii="Meiryo UI" w:hAnsi="Meiryo UI"/>
                <w:sz w:val="18"/>
              </w:rPr>
              <w:t>¥1,204億</w:t>
            </w:r>
          </w:p>
        </w:tc>
        <w:tc>
          <w:tcPr>
            <w:tcW w:type="dxa" w:w="1176"/>
            <w:shd w:val="clear" w:color="auto" w:fill="DDEBF7"/>
          </w:tcPr>
          <w:p>
            <w:r>
              <w:rPr>
                <w:rFonts w:ascii="Meiryo UI" w:hAnsi="Meiryo UI"/>
                <w:sz w:val="18"/>
              </w:rPr>
              <w:t>▲30.4%</w:t>
            </w:r>
          </w:p>
        </w:tc>
        <w:tc>
          <w:tcPr>
            <w:tcW w:type="dxa" w:w="1176"/>
            <w:shd w:val="clear" w:color="auto" w:fill="DDEBF7"/>
          </w:tcPr>
          <w:p>
            <w:r>
              <w:rPr>
                <w:rFonts w:ascii="Meiryo UI" w:hAnsi="Meiryo UI"/>
                <w:sz w:val="18"/>
              </w:rPr>
              <w:t>¥360</w:t>
            </w:r>
          </w:p>
        </w:tc>
      </w:tr>
      <w:tr>
        <w:tc>
          <w:tcPr>
            <w:tcW w:type="dxa" w:w="1176"/>
          </w:tcPr>
          <w:p>
            <w:r>
              <w:rPr>
                <w:rFonts w:ascii="Meiryo UI" w:hAnsi="Meiryo UI"/>
                <w:sz w:val="18"/>
              </w:rPr>
              <w:t>シナリオC（インフラ破壊）</w:t>
            </w:r>
          </w:p>
        </w:tc>
        <w:tc>
          <w:tcPr>
            <w:tcW w:type="dxa" w:w="1176"/>
          </w:tcPr>
          <w:p>
            <w:r>
              <w:rPr>
                <w:rFonts w:ascii="Meiryo UI" w:hAnsi="Meiryo UI"/>
                <w:sz w:val="18"/>
              </w:rPr>
              <w:t>€115</w:t>
            </w:r>
          </w:p>
        </w:tc>
        <w:tc>
          <w:tcPr>
            <w:tcW w:type="dxa" w:w="1176"/>
          </w:tcPr>
          <w:p>
            <w:r>
              <w:rPr>
                <w:rFonts w:ascii="Meiryo UI" w:hAnsi="Meiryo UI"/>
                <w:sz w:val="18"/>
              </w:rPr>
              <w:t>▲¥993億（税後）</w:t>
            </w:r>
          </w:p>
        </w:tc>
        <w:tc>
          <w:tcPr>
            <w:tcW w:type="dxa" w:w="1176"/>
          </w:tcPr>
          <w:p>
            <w:r>
              <w:rPr>
                <w:rFonts w:ascii="Meiryo UI" w:hAnsi="Meiryo UI"/>
                <w:sz w:val="18"/>
              </w:rPr>
              <w:t>▲¥88億</w:t>
            </w:r>
          </w:p>
        </w:tc>
        <w:tc>
          <w:tcPr>
            <w:tcW w:type="dxa" w:w="1176"/>
          </w:tcPr>
          <w:p>
            <w:r>
              <w:rPr>
                <w:rFonts w:ascii="Meiryo UI" w:hAnsi="Meiryo UI"/>
                <w:sz w:val="18"/>
              </w:rPr>
              <w:t>▲¥1,081億</w:t>
            </w:r>
          </w:p>
        </w:tc>
        <w:tc>
          <w:tcPr>
            <w:tcW w:type="dxa" w:w="1176"/>
          </w:tcPr>
          <w:p>
            <w:r>
              <w:rPr>
                <w:rFonts w:ascii="Meiryo UI" w:hAnsi="Meiryo UI"/>
                <w:sz w:val="18"/>
              </w:rPr>
              <w:t>¥649億</w:t>
            </w:r>
          </w:p>
        </w:tc>
        <w:tc>
          <w:tcPr>
            <w:tcW w:type="dxa" w:w="1176"/>
          </w:tcPr>
          <w:p>
            <w:r>
              <w:rPr>
                <w:rFonts w:ascii="Meiryo UI" w:hAnsi="Meiryo UI"/>
                <w:sz w:val="18"/>
              </w:rPr>
              <w:t>▲62.5%</w:t>
            </w:r>
          </w:p>
        </w:tc>
        <w:tc>
          <w:tcPr>
            <w:tcW w:type="dxa" w:w="1176"/>
          </w:tcPr>
          <w:p>
            <w:r>
              <w:rPr>
                <w:rFonts w:ascii="Meiryo UI" w:hAnsi="Meiryo UI"/>
                <w:sz w:val="18"/>
              </w:rPr>
              <w:t>¥194</w:t>
            </w:r>
          </w:p>
        </w:tc>
      </w:tr>
    </w:tbl>
    <w:p/>
    <w:p>
      <w:r>
        <w:rPr>
          <w:rFonts w:ascii="Meiryo UI" w:hAnsi="Meiryo UI"/>
          <w:sz w:val="20"/>
        </w:rPr>
        <w:t>&gt; ※ 各ケースに「原料費調整制度転嫁率40%（ラグ期間）×長期転嫁率70%の加重平均として50%」を適用。</w:t>
      </w:r>
    </w:p>
    <w:p>
      <w:r>
        <w:rPr>
          <w:rFonts w:ascii="Meiryo UI" w:hAnsi="Meiryo UI"/>
          <w:sz w:val="20"/>
        </w:rPr>
        <w:t>&gt; ※ 電力事業・海外事業等の個別増減は相殺方向で中立とした（保守的試算）。</w:t>
      </w:r>
    </w:p>
    <w:p/>
    <w:p>
      <w:r>
        <w:rPr>
          <w:rFonts w:ascii="Meiryo UI" w:hAnsi="Meiryo UI"/>
          <w:sz w:val="20"/>
        </w:rPr>
        <w:t>📌 シナリオBが現時点の「最も可能性の高い」ストレスシナリオ。▲30%の純利益悪化は実力PERを20倍超に押し上げ、公益株としての割高感を顕在化させる。</w:t>
      </w:r>
    </w:p>
    <w:p/>
    <w:p>
      <w:r>
        <w:t>──────────────────────────────────────────────────</w:t>
      </w:r>
    </w:p>
    <w:p/>
    <w:p>
      <w:pPr>
        <w:pStyle w:val="Heading3"/>
      </w:pPr>
      <w:r>
        <w:rPr>
          <w:rFonts w:ascii="Meiryo UI" w:hAnsi="Meiryo UI"/>
          <w:color w:val="2E74B5"/>
        </w:rPr>
        <w:t>2-C｜原料費調整制度の仕組みと4〜6ヶ月ラグの財務インパクト</w:t>
      </w:r>
    </w:p>
    <w:p/>
    <w:p>
      <w:pPr>
        <w:pStyle w:val="Heading4"/>
      </w:pPr>
      <w:r>
        <w:rPr>
          <w:rFonts w:ascii="Meiryo UI" w:hAnsi="Meiryo UI"/>
          <w:color w:val="2E74B5"/>
        </w:rPr>
        <w:t>原料費調整制度の構造</w:t>
      </w:r>
    </w:p>
    <w:p/>
    <w:p>
      <w:pPr>
        <w:shd w:val="clear" w:color="auto" w:fill="F2F2F2"/>
      </w:pPr>
      <w:r>
        <w:rPr>
          <w:rFonts w:ascii="Courier New" w:hAnsi="Courier New"/>
          <w:sz w:val="16"/>
        </w:rPr>
        <w:t>【仕組み】</w:t>
        <w:br/>
        <w:t xml:space="preserve">  ・毎月、原料費（LNG・石油等）の輸入価格変動を「基準原料価格」と比較</w:t>
        <w:br/>
        <w:t xml:space="preserve">  ・変動分を2〜3ヶ月後に「原料費調整額」として小売料金に自動加算/減算</w:t>
        <w:br/>
        <w:t xml:space="preserve">  ・上限・下限のキャップが設定されており、急騰時は全額転嫁できない</w:t>
        <w:br/>
        <w:t xml:space="preserve">  ・総括原価方式の規制料金（一般ガス）では政府認可が必要な場合あり</w:t>
        <w:br/>
        <w:br/>
        <w:t>【タイムライン】</w:t>
        <w:br/>
        <w:t xml:space="preserve">  2026年3月：カタールLNG喪失→スポット価格急騰</w:t>
        <w:br/>
        <w:t xml:space="preserve">  2026年4月〜5月：仕入れコスト急上昇が財務に反映開始</w:t>
        <w:br/>
        <w:t xml:space="preserve">  2026年8月〜9月：原料費調整制度による値上げ請求が顧客に適用（4〜6ヶ月後）</w:t>
        <w:br/>
        <w:t xml:space="preserve">  </w:t>
        <w:br/>
        <w:t xml:space="preserve">  → FY2027/3期の1Q（2026年4〜6月）：制度転嫁前のコスト増をそのまま被る</w:t>
        <w:br/>
        <w:t xml:space="preserve">  → FY2027/3期の2Q（2026年7〜9月）：転嫁始まるが上限キャップで不完全</w:t>
        <w:br/>
        <w:br/>
        <w:t>【上限キャップ問題】</w:t>
        <w:br/>
        <w:t xml:space="preserve">  一般ガス（規制料金）：1ヶ月あたり±一定額の調整上限あり</w:t>
        <w:br/>
        <w:t xml:space="preserve">  TTF急騰シナリオ（€70以上）では上限キャップが転嫁の「壁」になる</w:t>
        <w:br/>
        <w:t xml:space="preserve">  自由料金契約（大口）は個別交渉→転嫁しやすいが時間を要する</w:t>
      </w:r>
    </w:p>
    <w:p/>
    <w:p>
      <w:pPr>
        <w:pStyle w:val="Heading4"/>
      </w:pPr>
      <w:r>
        <w:rPr>
          <w:rFonts w:ascii="Meiryo UI" w:hAnsi="Meiryo UI"/>
          <w:color w:val="2E74B5"/>
        </w:rPr>
        <w:t>ラグ期間中の一時的赤字幅（定量化）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TTFシナリオ</w:t>
            </w:r>
          </w:p>
        </w:tc>
        <w:tc>
          <w:tcPr>
            <w:tcW w:type="dxa" w:w="2351"/>
            <w:shd w:val="clear" w:color="auto" w:fill="2E74B5"/>
          </w:tcPr>
          <w:p>
            <w:r>
              <w:rPr>
                <w:rFonts w:ascii="Meiryo UI" w:hAnsi="Meiryo UI"/>
                <w:b/>
                <w:color w:val="FFFFFF"/>
                <w:sz w:val="18"/>
              </w:rPr>
              <w:t>ラグ期間（4〜6ヶ月）中のコスト増（未転嫁分）</w:t>
            </w:r>
          </w:p>
        </w:tc>
        <w:tc>
          <w:tcPr>
            <w:tcW w:type="dxa" w:w="2351"/>
            <w:shd w:val="clear" w:color="auto" w:fill="2E74B5"/>
          </w:tcPr>
          <w:p>
            <w:r>
              <w:rPr>
                <w:rFonts w:ascii="Meiryo UI" w:hAnsi="Meiryo UI"/>
                <w:b/>
                <w:color w:val="FFFFFF"/>
                <w:sz w:val="18"/>
              </w:rPr>
              <w:t>年換算税引前コスト増</w:t>
            </w:r>
          </w:p>
        </w:tc>
        <w:tc>
          <w:tcPr>
            <w:tcW w:type="dxa" w:w="2351"/>
            <w:shd w:val="clear" w:color="auto" w:fill="2E74B5"/>
          </w:tcPr>
          <w:p>
            <w:r>
              <w:rPr>
                <w:rFonts w:ascii="Meiryo UI" w:hAnsi="Meiryo UI"/>
                <w:b/>
                <w:color w:val="FFFFFF"/>
                <w:sz w:val="18"/>
              </w:rPr>
              <w:t>ラグ期間（Q1）の一時的損失</w:t>
            </w:r>
          </w:p>
        </w:tc>
      </w:tr>
      <w:tr>
        <w:tc>
          <w:tcPr>
            <w:tcW w:type="dxa" w:w="2351"/>
          </w:tcPr>
          <w:p>
            <w:r>
              <w:rPr>
                <w:rFonts w:ascii="Meiryo UI" w:hAnsi="Meiryo UI"/>
                <w:sz w:val="18"/>
              </w:rPr>
              <w:t>€35</w:t>
            </w:r>
          </w:p>
        </w:tc>
        <w:tc>
          <w:tcPr>
            <w:tcW w:type="dxa" w:w="2351"/>
          </w:tcPr>
          <w:p>
            <w:r>
              <w:rPr>
                <w:rFonts w:ascii="Meiryo UI" w:hAnsi="Meiryo UI"/>
                <w:sz w:val="18"/>
              </w:rPr>
              <w:t>未転嫁率60%×¥229億</w:t>
            </w:r>
          </w:p>
        </w:tc>
        <w:tc>
          <w:tcPr>
            <w:tcW w:type="dxa" w:w="2351"/>
          </w:tcPr>
          <w:p>
            <w:r>
              <w:rPr>
                <w:rFonts w:ascii="Meiryo UI" w:hAnsi="Meiryo UI"/>
                <w:sz w:val="18"/>
              </w:rPr>
              <w:t>¥137億/年</w:t>
            </w:r>
          </w:p>
        </w:tc>
        <w:tc>
          <w:tcPr>
            <w:tcW w:type="dxa" w:w="2351"/>
          </w:tcPr>
          <w:p>
            <w:r>
              <w:rPr>
                <w:rFonts w:ascii="Meiryo UI" w:hAnsi="Meiryo UI"/>
                <w:sz w:val="18"/>
              </w:rPr>
              <w:t>¥34〜46億円（1Q分）</w:t>
            </w:r>
          </w:p>
        </w:tc>
      </w:tr>
      <w:tr>
        <w:tc>
          <w:tcPr>
            <w:tcW w:type="dxa" w:w="2351"/>
            <w:shd w:val="clear" w:color="auto" w:fill="DDEBF7"/>
          </w:tcPr>
          <w:p>
            <w:r>
              <w:rPr>
                <w:rFonts w:ascii="Meiryo UI" w:hAnsi="Meiryo UI"/>
                <w:sz w:val="18"/>
              </w:rPr>
              <w:t>€70</w:t>
            </w:r>
          </w:p>
        </w:tc>
        <w:tc>
          <w:tcPr>
            <w:tcW w:type="dxa" w:w="2351"/>
            <w:shd w:val="clear" w:color="auto" w:fill="DDEBF7"/>
          </w:tcPr>
          <w:p>
            <w:r>
              <w:rPr>
                <w:rFonts w:ascii="Meiryo UI" w:hAnsi="Meiryo UI"/>
                <w:sz w:val="18"/>
              </w:rPr>
              <w:t>未転嫁率60%×¥1,041億</w:t>
            </w:r>
          </w:p>
        </w:tc>
        <w:tc>
          <w:tcPr>
            <w:tcW w:type="dxa" w:w="2351"/>
            <w:shd w:val="clear" w:color="auto" w:fill="DDEBF7"/>
          </w:tcPr>
          <w:p>
            <w:r>
              <w:rPr>
                <w:rFonts w:ascii="Meiryo UI" w:hAnsi="Meiryo UI"/>
                <w:sz w:val="18"/>
              </w:rPr>
              <w:t>¥625億/年</w:t>
            </w:r>
          </w:p>
        </w:tc>
        <w:tc>
          <w:tcPr>
            <w:tcW w:type="dxa" w:w="2351"/>
            <w:shd w:val="clear" w:color="auto" w:fill="DDEBF7"/>
          </w:tcPr>
          <w:p>
            <w:r>
              <w:rPr>
                <w:rFonts w:ascii="Meiryo UI" w:hAnsi="Meiryo UI"/>
                <w:sz w:val="18"/>
              </w:rPr>
              <w:t>¥156〜208億円（1Q分）</w:t>
            </w:r>
          </w:p>
        </w:tc>
      </w:tr>
      <w:tr>
        <w:tc>
          <w:tcPr>
            <w:tcW w:type="dxa" w:w="2351"/>
          </w:tcPr>
          <w:p>
            <w:r>
              <w:rPr>
                <w:rFonts w:ascii="Meiryo UI" w:hAnsi="Meiryo UI"/>
                <w:sz w:val="18"/>
              </w:rPr>
              <w:t>€115</w:t>
            </w:r>
          </w:p>
        </w:tc>
        <w:tc>
          <w:tcPr>
            <w:tcW w:type="dxa" w:w="2351"/>
          </w:tcPr>
          <w:p>
            <w:r>
              <w:rPr>
                <w:rFonts w:ascii="Meiryo UI" w:hAnsi="Meiryo UI"/>
                <w:sz w:val="18"/>
              </w:rPr>
              <w:t>未転嫁率60%×¥2,364億</w:t>
            </w:r>
          </w:p>
        </w:tc>
        <w:tc>
          <w:tcPr>
            <w:tcW w:type="dxa" w:w="2351"/>
          </w:tcPr>
          <w:p>
            <w:r>
              <w:rPr>
                <w:rFonts w:ascii="Meiryo UI" w:hAnsi="Meiryo UI"/>
                <w:sz w:val="18"/>
              </w:rPr>
              <w:t>¥1,418億/年</w:t>
            </w:r>
          </w:p>
        </w:tc>
        <w:tc>
          <w:tcPr>
            <w:tcW w:type="dxa" w:w="2351"/>
          </w:tcPr>
          <w:p>
            <w:r>
              <w:rPr>
                <w:rFonts w:ascii="Meiryo UI" w:hAnsi="Meiryo UI"/>
                <w:sz w:val="18"/>
              </w:rPr>
              <w:t>¥355〜473億円（1Q分）</w:t>
            </w:r>
          </w:p>
        </w:tc>
      </w:tr>
    </w:tbl>
    <w:p/>
    <w:p>
      <w:r>
        <w:rPr>
          <w:rFonts w:ascii="Meiryo UI" w:hAnsi="Meiryo UI"/>
          <w:sz w:val="20"/>
        </w:rPr>
        <w:t>&gt; €70シナリオでは1Q単独で▲156〜208億円（税引前）の一時的コスト超過が発生する。これはFY2026/3期の1Q純利益（≒¥200〜250億円）を全額吹き飛ばすレベル。「1Q赤字転落」報道が市場の最大のトリガーとなる。</w:t>
      </w:r>
    </w:p>
    <w:p/>
    <w:p>
      <w:r>
        <w:t>──────────────────────────────────────────────────</w:t>
      </w:r>
    </w:p>
    <w:p/>
    <w:p>
      <w:pPr>
        <w:pStyle w:val="Heading3"/>
      </w:pPr>
      <w:r>
        <w:rPr>
          <w:rFonts w:ascii="Meiryo UI" w:hAnsi="Meiryo UI"/>
          <w:color w:val="2E74B5"/>
        </w:rPr>
        <w:t>2-D｜来期ガイダンス下方修正幅の予測</w:t>
      </w:r>
    </w:p>
    <w:p/>
    <w:p>
      <w:pPr>
        <w:pStyle w:val="Heading4"/>
      </w:pPr>
      <w:r>
        <w:rPr>
          <w:rFonts w:ascii="Meiryo UI" w:hAnsi="Meiryo UI"/>
          <w:color w:val="2E74B5"/>
        </w:rPr>
        <w:t>東京ガス経営陣が5月に発表するFY2027/3期ガイダンスの想定値</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ケース</w:t>
            </w:r>
          </w:p>
        </w:tc>
        <w:tc>
          <w:tcPr>
            <w:tcW w:type="dxa" w:w="1568"/>
            <w:shd w:val="clear" w:color="auto" w:fill="2E74B5"/>
          </w:tcPr>
          <w:p>
            <w:r>
              <w:rPr>
                <w:rFonts w:ascii="Meiryo UI" w:hAnsi="Meiryo UI"/>
                <w:b/>
                <w:color w:val="FFFFFF"/>
                <w:sz w:val="18"/>
              </w:rPr>
              <w:t>TTF前提</w:t>
            </w:r>
          </w:p>
        </w:tc>
        <w:tc>
          <w:tcPr>
            <w:tcW w:type="dxa" w:w="1568"/>
            <w:shd w:val="clear" w:color="auto" w:fill="2E74B5"/>
          </w:tcPr>
          <w:p>
            <w:r>
              <w:rPr>
                <w:rFonts w:ascii="Meiryo UI" w:hAnsi="Meiryo UI"/>
                <w:b/>
                <w:color w:val="FFFFFF"/>
                <w:sz w:val="18"/>
              </w:rPr>
              <w:t>純利益ガイダンス（推定）</w:t>
            </w:r>
          </w:p>
        </w:tc>
        <w:tc>
          <w:tcPr>
            <w:tcW w:type="dxa" w:w="1568"/>
            <w:shd w:val="clear" w:color="auto" w:fill="2E74B5"/>
          </w:tcPr>
          <w:p>
            <w:r>
              <w:rPr>
                <w:rFonts w:ascii="Meiryo UI" w:hAnsi="Meiryo UI"/>
                <w:b/>
                <w:color w:val="FFFFFF"/>
                <w:sz w:val="18"/>
              </w:rPr>
              <w:t>前期比</w:t>
            </w:r>
          </w:p>
        </w:tc>
        <w:tc>
          <w:tcPr>
            <w:tcW w:type="dxa" w:w="1568"/>
            <w:shd w:val="clear" w:color="auto" w:fill="2E74B5"/>
          </w:tcPr>
          <w:p>
            <w:r>
              <w:rPr>
                <w:rFonts w:ascii="Meiryo UI" w:hAnsi="Meiryo UI"/>
                <w:b/>
                <w:color w:val="FFFFFF"/>
                <w:sz w:val="18"/>
              </w:rPr>
              <w:t>市場コンセンサス比</w:t>
            </w:r>
          </w:p>
        </w:tc>
        <w:tc>
          <w:tcPr>
            <w:tcW w:type="dxa" w:w="1568"/>
            <w:shd w:val="clear" w:color="auto" w:fill="2E74B5"/>
          </w:tcPr>
          <w:p>
            <w:r>
              <w:rPr>
                <w:rFonts w:ascii="Meiryo UI" w:hAnsi="Meiryo UI"/>
                <w:b/>
                <w:color w:val="FFFFFF"/>
                <w:sz w:val="18"/>
              </w:rPr>
              <w:t>株価反応予測</w:t>
            </w:r>
          </w:p>
        </w:tc>
      </w:tr>
      <w:tr>
        <w:tc>
          <w:tcPr>
            <w:tcW w:type="dxa" w:w="1568"/>
          </w:tcPr>
          <w:p>
            <w:r>
              <w:rPr>
                <w:rFonts w:ascii="Meiryo UI" w:hAnsi="Meiryo UI"/>
                <w:sz w:val="18"/>
              </w:rPr>
              <w:t>ベースケース（保守的開示）</w:t>
            </w:r>
          </w:p>
        </w:tc>
        <w:tc>
          <w:tcPr>
            <w:tcW w:type="dxa" w:w="1568"/>
          </w:tcPr>
          <w:p>
            <w:r>
              <w:rPr>
                <w:rFonts w:ascii="Meiryo UI" w:hAnsi="Meiryo UI"/>
                <w:sz w:val="18"/>
              </w:rPr>
              <w:t>€45〜50想定</w:t>
            </w:r>
          </w:p>
        </w:tc>
        <w:tc>
          <w:tcPr>
            <w:tcW w:type="dxa" w:w="1568"/>
          </w:tcPr>
          <w:p>
            <w:r>
              <w:rPr>
                <w:rFonts w:ascii="Meiryo UI" w:hAnsi="Meiryo UI"/>
                <w:sz w:val="18"/>
              </w:rPr>
              <w:t>¥1,350〜1,450億</w:t>
            </w:r>
          </w:p>
        </w:tc>
        <w:tc>
          <w:tcPr>
            <w:tcW w:type="dxa" w:w="1568"/>
          </w:tcPr>
          <w:p>
            <w:r>
              <w:rPr>
                <w:rFonts w:ascii="Meiryo UI" w:hAnsi="Meiryo UI"/>
                <w:sz w:val="18"/>
              </w:rPr>
              <w:t>▲16〜22%</w:t>
            </w:r>
          </w:p>
        </w:tc>
        <w:tc>
          <w:tcPr>
            <w:tcW w:type="dxa" w:w="1568"/>
          </w:tcPr>
          <w:p>
            <w:r>
              <w:rPr>
                <w:rFonts w:ascii="Meiryo UI" w:hAnsi="Meiryo UI"/>
                <w:sz w:val="18"/>
              </w:rPr>
              <w:t>▲15〜20%下回る</w:t>
            </w:r>
          </w:p>
        </w:tc>
        <w:tc>
          <w:tcPr>
            <w:tcW w:type="dxa" w:w="1568"/>
          </w:tcPr>
          <w:p>
            <w:r>
              <w:rPr>
                <w:rFonts w:ascii="Meiryo UI" w:hAnsi="Meiryo UI"/>
                <w:sz w:val="18"/>
              </w:rPr>
              <w:t>▲10〜15%（¥6,200〜6,500）</w:t>
            </w:r>
          </w:p>
        </w:tc>
      </w:tr>
      <w:tr>
        <w:tc>
          <w:tcPr>
            <w:tcW w:type="dxa" w:w="1568"/>
            <w:shd w:val="clear" w:color="auto" w:fill="DDEBF7"/>
          </w:tcPr>
          <w:p>
            <w:r>
              <w:rPr>
                <w:rFonts w:ascii="Meiryo UI" w:hAnsi="Meiryo UI"/>
                <w:sz w:val="18"/>
              </w:rPr>
              <w:t>ストレスケース（悲観的開示）</w:t>
            </w:r>
          </w:p>
        </w:tc>
        <w:tc>
          <w:tcPr>
            <w:tcW w:type="dxa" w:w="1568"/>
            <w:shd w:val="clear" w:color="auto" w:fill="DDEBF7"/>
          </w:tcPr>
          <w:p>
            <w:r>
              <w:rPr>
                <w:rFonts w:ascii="Meiryo UI" w:hAnsi="Meiryo UI"/>
                <w:sz w:val="18"/>
              </w:rPr>
              <w:t>€60〜70想定</w:t>
            </w:r>
          </w:p>
        </w:tc>
        <w:tc>
          <w:tcPr>
            <w:tcW w:type="dxa" w:w="1568"/>
            <w:shd w:val="clear" w:color="auto" w:fill="DDEBF7"/>
          </w:tcPr>
          <w:p>
            <w:r>
              <w:rPr>
                <w:rFonts w:ascii="Meiryo UI" w:hAnsi="Meiryo UI"/>
                <w:sz w:val="18"/>
              </w:rPr>
              <w:t>¥1,100〜1,200億</w:t>
            </w:r>
          </w:p>
        </w:tc>
        <w:tc>
          <w:tcPr>
            <w:tcW w:type="dxa" w:w="1568"/>
            <w:shd w:val="clear" w:color="auto" w:fill="DDEBF7"/>
          </w:tcPr>
          <w:p>
            <w:r>
              <w:rPr>
                <w:rFonts w:ascii="Meiryo UI" w:hAnsi="Meiryo UI"/>
                <w:sz w:val="18"/>
              </w:rPr>
              <w:t>▲31〜36%</w:t>
            </w:r>
          </w:p>
        </w:tc>
        <w:tc>
          <w:tcPr>
            <w:tcW w:type="dxa" w:w="1568"/>
            <w:shd w:val="clear" w:color="auto" w:fill="DDEBF7"/>
          </w:tcPr>
          <w:p>
            <w:r>
              <w:rPr>
                <w:rFonts w:ascii="Meiryo UI" w:hAnsi="Meiryo UI"/>
                <w:sz w:val="18"/>
              </w:rPr>
              <w:t>▲30%以上下回る</w:t>
            </w:r>
          </w:p>
        </w:tc>
        <w:tc>
          <w:tcPr>
            <w:tcW w:type="dxa" w:w="1568"/>
            <w:shd w:val="clear" w:color="auto" w:fill="DDEBF7"/>
          </w:tcPr>
          <w:p>
            <w:r>
              <w:rPr>
                <w:rFonts w:ascii="Meiryo UI" w:hAnsi="Meiryo UI"/>
                <w:sz w:val="18"/>
              </w:rPr>
              <w:t>▲20〜25%（¥5,500〜5,840）</w:t>
            </w:r>
          </w:p>
        </w:tc>
      </w:tr>
      <w:tr>
        <w:tc>
          <w:tcPr>
            <w:tcW w:type="dxa" w:w="1568"/>
          </w:tcPr>
          <w:p>
            <w:r>
              <w:rPr>
                <w:rFonts w:ascii="Meiryo UI" w:hAnsi="Meiryo UI"/>
                <w:sz w:val="18"/>
              </w:rPr>
              <w:t>強気ケース（楽観的開示）</w:t>
            </w:r>
          </w:p>
        </w:tc>
        <w:tc>
          <w:tcPr>
            <w:tcW w:type="dxa" w:w="1568"/>
          </w:tcPr>
          <w:p>
            <w:r>
              <w:rPr>
                <w:rFonts w:ascii="Meiryo UI" w:hAnsi="Meiryo UI"/>
                <w:sz w:val="18"/>
              </w:rPr>
              <w:t>€35想定</w:t>
            </w:r>
          </w:p>
        </w:tc>
        <w:tc>
          <w:tcPr>
            <w:tcW w:type="dxa" w:w="1568"/>
          </w:tcPr>
          <w:p>
            <w:r>
              <w:rPr>
                <w:rFonts w:ascii="Meiryo UI" w:hAnsi="Meiryo UI"/>
                <w:sz w:val="18"/>
              </w:rPr>
              <w:t>¥1,500〜1,600億</w:t>
            </w:r>
          </w:p>
        </w:tc>
        <w:tc>
          <w:tcPr>
            <w:tcW w:type="dxa" w:w="1568"/>
          </w:tcPr>
          <w:p>
            <w:r>
              <w:rPr>
                <w:rFonts w:ascii="Meiryo UI" w:hAnsi="Meiryo UI"/>
                <w:sz w:val="18"/>
              </w:rPr>
              <w:t>▲8〜13%</w:t>
            </w:r>
          </w:p>
        </w:tc>
        <w:tc>
          <w:tcPr>
            <w:tcW w:type="dxa" w:w="1568"/>
          </w:tcPr>
          <w:p>
            <w:r>
              <w:rPr>
                <w:rFonts w:ascii="Meiryo UI" w:hAnsi="Meiryo UI"/>
                <w:sz w:val="18"/>
              </w:rPr>
              <w:t>▲10%程度</w:t>
            </w:r>
          </w:p>
        </w:tc>
        <w:tc>
          <w:tcPr>
            <w:tcW w:type="dxa" w:w="1568"/>
          </w:tcPr>
          <w:p>
            <w:r>
              <w:rPr>
                <w:rFonts w:ascii="Meiryo UI" w:hAnsi="Meiryo UI"/>
                <w:sz w:val="18"/>
              </w:rPr>
              <w:t>▲5〜8%（¥6,715〜6,930）</w:t>
            </w:r>
          </w:p>
        </w:tc>
      </w:tr>
    </w:tbl>
    <w:p/>
    <w:p>
      <w:r>
        <w:rPr>
          <w:rFonts w:ascii="Meiryo UI" w:hAnsi="Meiryo UI"/>
          <w:sz w:val="20"/>
        </w:rPr>
        <w:t>&gt; 深井所見：東京ガス経営陣は「慎重な数字を出して後から上方修正」よりも「現実的な数字を出す」傾向がある。5月のガイダンス発表は最大の売りトリガーとなる可能性が極めて高い。</w:t>
      </w:r>
    </w:p>
    <w:p/>
    <w:p>
      <w:r>
        <w:t>──────────────────────────────────────────────────</w:t>
      </w:r>
    </w:p>
    <w:p/>
    <w:p>
      <w:pPr>
        <w:pStyle w:val="Heading2"/>
      </w:pPr>
      <w:r>
        <w:rPr>
          <w:rFonts w:ascii="Meiryo UI" w:hAnsi="Meiryo UI"/>
          <w:color w:val="2E74B5"/>
        </w:rPr>
        <w:t>①｜財務分析</w:t>
      </w:r>
    </w:p>
    <w:p/>
    <w:p>
      <w:pPr>
        <w:pStyle w:val="Heading3"/>
      </w:pPr>
      <w:r>
        <w:rPr>
          <w:rFonts w:ascii="Meiryo UI" w:hAnsi="Meiryo UI"/>
          <w:color w:val="2E74B5"/>
        </w:rPr>
        <w:t>現在のバリュエーション：LNGリスク織り込み済みか？</w:t>
      </w:r>
    </w:p>
    <w:p/>
    <w:p>
      <w:pPr>
        <w:pStyle w:val="Heading4"/>
      </w:pPr>
      <w:r>
        <w:rPr>
          <w:rFonts w:ascii="Meiryo UI" w:hAnsi="Meiryo UI"/>
          <w:color w:val="2E74B5"/>
        </w:rPr>
        <w:t>バリュエーション適正水準分析</w:t>
      </w:r>
    </w:p>
    <w:p/>
    <w:p>
      <w:pPr>
        <w:shd w:val="clear" w:color="auto" w:fill="F2F2F2"/>
      </w:pPr>
      <w:r>
        <w:rPr>
          <w:rFonts w:ascii="Courier New" w:hAnsi="Courier New"/>
          <w:sz w:val="16"/>
        </w:rPr>
        <w:t>【現状値】</w:t>
        <w:br/>
        <w:t xml:space="preserve">  PBR：1.54倍（BPS¥4,743）→ 株価¥7,297</w:t>
        <w:br/>
        <w:t xml:space="preserve">  PER：14.1倍（EPS¥518）</w:t>
        <w:br/>
        <w:t xml:space="preserve">  ROE：12.1%</w:t>
        <w:br/>
        <w:br/>
        <w:t>【PBR理論値（Gordon ROE-Parity）】</w:t>
        <w:br/>
        <w:t xml:space="preserve">  理論PBR = (ROE - g) / (Re - g)</w:t>
        <w:br/>
        <w:t xml:space="preserve">  Re（株主資本コスト）= Rf + β × ERP = 2.374% + 0.55 × 5.5% = 5.40%</w:t>
        <w:br/>
        <w:t xml:space="preserve">  g（成長率）= 1.5%（公益株・保守的）</w:t>
        <w:br/>
        <w:t xml:space="preserve">  </w:t>
        <w:br/>
        <w:t xml:space="preserve">  ROE（現状）12.1%：</w:t>
        <w:br/>
        <w:t xml:space="preserve">  理論PBR = (12.1% - 1.5%) / (5.40% - 1.5%) = 10.6% / 3.9% = 2.72倍</w:t>
        <w:br/>
        <w:t xml:space="preserve">  → 現在1.54倍は「理論値より低い」＝表面上は割安に見える</w:t>
        <w:br/>
        <w:t xml:space="preserve">  </w:t>
        <w:br/>
        <w:t xml:space="preserve">  しかし！ROEが来期▲30%悪化（シナリオB）すると：</w:t>
        <w:br/>
        <w:t xml:space="preserve">  ROE（FY2027想定）= 12.1% × 0.70 = 8.5%</w:t>
        <w:br/>
        <w:t xml:space="preserve">  理論PBR = (8.5% - 1.5%) / (5.40% - 1.5%) = 7.0% / 3.9% = 1.79倍</w:t>
        <w:br/>
        <w:t xml:space="preserve">  → BPS¥4,743 × 1.79倍 = ¥8,490（これは株価を支持するが…）</w:t>
        <w:br/>
        <w:t xml:space="preserve">  </w:t>
        <w:br/>
        <w:t xml:space="preserve">  さらにストレスケース（ROE▲50%）：</w:t>
        <w:br/>
        <w:t xml:space="preserve">  ROE（FY2027想定）= 6.0%</w:t>
        <w:br/>
        <w:t xml:space="preserve">  理論PBR = (6.0% - 1.5%) / (5.40% - 1.5%) = 4.5% / 3.9% = 1.15倍</w:t>
        <w:br/>
        <w:t xml:space="preserve">  → BPS¥4,743 × 1.15倍 = ¥5,455</w:t>
        <w:br/>
        <w:br/>
        <w:t>【結論：LNGリスクは「全く」織り込まれていない】</w:t>
        <w:br/>
        <w:t xml:space="preserve">  現在PBR1.54倍は「ROE12%が継続する」前提での評価。</w:t>
        <w:br/>
        <w:t xml:space="preserve">  FY2027/3期にROEが6〜8.5%に低下する現実が織り込まれると</w:t>
        <w:br/>
        <w:t xml:space="preserve">  理論株価は¥5,455〜¥8,490へ、中央値¥6,700水準が「適正」。</w:t>
        <w:br/>
        <w:t xml:space="preserve">  現値¥7,297に対し▲8〜25%の下方余地が存在する。</w:t>
      </w:r>
    </w:p>
    <w:p/>
    <w:p>
      <w:pPr>
        <w:pStyle w:val="Heading4"/>
      </w:pPr>
      <w:r>
        <w:rPr>
          <w:rFonts w:ascii="Meiryo UI" w:hAnsi="Meiryo UI"/>
          <w:color w:val="2E74B5"/>
        </w:rPr>
        <w:t>ネットデット・財務健全性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自己資本（純資産）</w:t>
            </w:r>
          </w:p>
        </w:tc>
        <w:tc>
          <w:tcPr>
            <w:tcW w:type="dxa" w:w="3135"/>
          </w:tcPr>
          <w:p>
            <w:r>
              <w:rPr>
                <w:rFonts w:ascii="Meiryo UI" w:hAnsi="Meiryo UI"/>
                <w:sz w:val="18"/>
              </w:rPr>
              <w:t>≒¥1.58兆（BPS¥4,743×発行済約3.34億株）</w:t>
            </w:r>
          </w:p>
        </w:tc>
        <w:tc>
          <w:tcPr>
            <w:tcW w:type="dxa" w:w="3135"/>
          </w:tcPr>
          <w:p>
            <w:r>
              <w:rPr>
                <w:rFonts w:ascii="Meiryo UI" w:hAnsi="Meiryo UI"/>
                <w:sz w:val="18"/>
              </w:rPr>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≒¥1.2〜1.4兆</w:t>
            </w:r>
          </w:p>
        </w:tc>
        <w:tc>
          <w:tcPr>
            <w:tcW w:type="dxa" w:w="3135"/>
            <w:shd w:val="clear" w:color="auto" w:fill="DDEBF7"/>
          </w:tcPr>
          <w:p>
            <w:r>
              <w:rPr>
                <w:rFonts w:ascii="Meiryo UI" w:hAnsi="Meiryo UI"/>
                <w:sz w:val="18"/>
              </w:rPr>
              <w:t>インフラ事業の特性上、高めの水準</w:t>
            </w:r>
          </w:p>
        </w:tc>
      </w:tr>
      <w:tr>
        <w:tc>
          <w:tcPr>
            <w:tcW w:type="dxa" w:w="3135"/>
          </w:tcPr>
          <w:p>
            <w:r>
              <w:rPr>
                <w:rFonts w:ascii="Meiryo UI" w:hAnsi="Meiryo UI"/>
                <w:sz w:val="18"/>
              </w:rPr>
              <w:t>現金・現金同等物</w:t>
            </w:r>
          </w:p>
        </w:tc>
        <w:tc>
          <w:tcPr>
            <w:tcW w:type="dxa" w:w="3135"/>
          </w:tcPr>
          <w:p>
            <w:r>
              <w:rPr>
                <w:rFonts w:ascii="Meiryo UI" w:hAnsi="Meiryo UI"/>
                <w:sz w:val="18"/>
              </w:rPr>
              <w:t>≒¥3,000〜4,000億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ネットデット</w:t>
            </w:r>
          </w:p>
        </w:tc>
        <w:tc>
          <w:tcPr>
            <w:tcW w:type="dxa" w:w="3135"/>
            <w:shd w:val="clear" w:color="auto" w:fill="DDEBF7"/>
          </w:tcPr>
          <w:p>
            <w:r>
              <w:rPr>
                <w:rFonts w:ascii="Meiryo UI" w:hAnsi="Meiryo UI"/>
                <w:sz w:val="18"/>
              </w:rPr>
              <w:t>≒¥8,000〜10,000億</w:t>
            </w:r>
          </w:p>
        </w:tc>
        <w:tc>
          <w:tcPr>
            <w:tcW w:type="dxa" w:w="3135"/>
            <w:shd w:val="clear" w:color="auto" w:fill="DDEBF7"/>
          </w:tcPr>
          <w:p>
            <w:r>
              <w:rPr>
                <w:rFonts w:ascii="Meiryo UI" w:hAnsi="Meiryo UI"/>
                <w:sz w:val="18"/>
              </w:rPr>
              <w:t>D/E比率≒0.5〜0.6倍（許容範囲）</w:t>
            </w:r>
          </w:p>
        </w:tc>
      </w:tr>
      <w:tr>
        <w:tc>
          <w:tcPr>
            <w:tcW w:type="dxa" w:w="3135"/>
          </w:tcPr>
          <w:p>
            <w:r>
              <w:rPr>
                <w:rFonts w:ascii="Meiryo UI" w:hAnsi="Meiryo UI"/>
                <w:sz w:val="18"/>
              </w:rPr>
              <w:t>自己資本比率</w:t>
            </w:r>
          </w:p>
        </w:tc>
        <w:tc>
          <w:tcPr>
            <w:tcW w:type="dxa" w:w="3135"/>
          </w:tcPr>
          <w:p>
            <w:r>
              <w:rPr>
                <w:rFonts w:ascii="Meiryo UI" w:hAnsi="Meiryo UI"/>
                <w:sz w:val="18"/>
              </w:rPr>
              <w:t>≒35〜38%</w:t>
            </w:r>
          </w:p>
        </w:tc>
        <w:tc>
          <w:tcPr>
            <w:tcW w:type="dxa" w:w="3135"/>
          </w:tcPr>
          <w:p>
            <w:r>
              <w:rPr>
                <w:rFonts w:ascii="Meiryo UI" w:hAnsi="Meiryo UI"/>
                <w:sz w:val="18"/>
              </w:rPr>
              <w:t>公益株として標準的</w:t>
            </w:r>
          </w:p>
        </w:tc>
      </w:tr>
      <w:tr>
        <w:tc>
          <w:tcPr>
            <w:tcW w:type="dxa" w:w="3135"/>
            <w:shd w:val="clear" w:color="auto" w:fill="DDEBF7"/>
          </w:tcPr>
          <w:p>
            <w:r>
              <w:rPr>
                <w:rFonts w:ascii="Meiryo UI" w:hAnsi="Meiryo UI"/>
                <w:sz w:val="18"/>
              </w:rPr>
              <w:t>営業CF</w:t>
            </w:r>
          </w:p>
        </w:tc>
        <w:tc>
          <w:tcPr>
            <w:tcW w:type="dxa" w:w="3135"/>
            <w:shd w:val="clear" w:color="auto" w:fill="DDEBF7"/>
          </w:tcPr>
          <w:p>
            <w:r>
              <w:rPr>
                <w:rFonts w:ascii="Meiryo UI" w:hAnsi="Meiryo UI"/>
                <w:sz w:val="18"/>
              </w:rPr>
              <w:t>≒¥2,500〜3,000億/年</w:t>
            </w:r>
          </w:p>
        </w:tc>
        <w:tc>
          <w:tcPr>
            <w:tcW w:type="dxa" w:w="3135"/>
            <w:shd w:val="clear" w:color="auto" w:fill="DDEBF7"/>
          </w:tcPr>
          <w:p>
            <w:r>
              <w:rPr>
                <w:rFonts w:ascii="Meiryo UI" w:hAnsi="Meiryo UI"/>
                <w:sz w:val="18"/>
              </w:rPr>
              <w:t>安定的</w:t>
            </w:r>
          </w:p>
        </w:tc>
      </w:tr>
      <w:tr>
        <w:tc>
          <w:tcPr>
            <w:tcW w:type="dxa" w:w="3135"/>
          </w:tcPr>
          <w:p>
            <w:r>
              <w:rPr>
                <w:rFonts w:ascii="Meiryo UI" w:hAnsi="Meiryo UI"/>
                <w:sz w:val="18"/>
              </w:rPr>
              <w:t>CAPEX</w:t>
            </w:r>
          </w:p>
        </w:tc>
        <w:tc>
          <w:tcPr>
            <w:tcW w:type="dxa" w:w="3135"/>
          </w:tcPr>
          <w:p>
            <w:r>
              <w:rPr>
                <w:rFonts w:ascii="Meiryo UI" w:hAnsi="Meiryo UI"/>
                <w:sz w:val="18"/>
              </w:rPr>
              <w:t>≒¥1,500〜2,000億/年</w:t>
            </w:r>
          </w:p>
        </w:tc>
        <w:tc>
          <w:tcPr>
            <w:tcW w:type="dxa" w:w="3135"/>
          </w:tcPr>
          <w:p>
            <w:r>
              <w:rPr>
                <w:rFonts w:ascii="Meiryo UI" w:hAnsi="Meiryo UI"/>
                <w:sz w:val="18"/>
              </w:rPr>
              <w:t>インフラ維持・海外投資</w:t>
            </w:r>
          </w:p>
        </w:tc>
      </w:tr>
      <w:tr>
        <w:tc>
          <w:tcPr>
            <w:tcW w:type="dxa" w:w="3135"/>
            <w:shd w:val="clear" w:color="auto" w:fill="DDEBF7"/>
          </w:tcPr>
          <w:p>
            <w:r>
              <w:rPr>
                <w:rFonts w:ascii="Meiryo UI" w:hAnsi="Meiryo UI"/>
                <w:sz w:val="18"/>
              </w:rPr>
              <w:t>FCF（フリーCF）</w:t>
            </w:r>
          </w:p>
        </w:tc>
        <w:tc>
          <w:tcPr>
            <w:tcW w:type="dxa" w:w="3135"/>
            <w:shd w:val="clear" w:color="auto" w:fill="DDEBF7"/>
          </w:tcPr>
          <w:p>
            <w:r>
              <w:rPr>
                <w:rFonts w:ascii="Meiryo UI" w:hAnsi="Meiryo UI"/>
                <w:sz w:val="18"/>
              </w:rPr>
              <w:t>≒¥500〜1,500億/年</w:t>
            </w:r>
          </w:p>
        </w:tc>
        <w:tc>
          <w:tcPr>
            <w:tcW w:type="dxa" w:w="3135"/>
            <w:shd w:val="clear" w:color="auto" w:fill="DDEBF7"/>
          </w:tcPr>
          <w:p>
            <w:r>
              <w:rPr>
                <w:rFonts w:ascii="Meiryo UI" w:hAnsi="Meiryo UI"/>
                <w:sz w:val="18"/>
              </w:rPr>
              <w:t>コスト急増シナリオでは急減</w:t>
            </w:r>
          </w:p>
        </w:tc>
      </w:tr>
      <w:tr>
        <w:tc>
          <w:tcPr>
            <w:tcW w:type="dxa" w:w="3135"/>
          </w:tcPr>
          <w:p>
            <w:r>
              <w:rPr>
                <w:rFonts w:ascii="Meiryo UI" w:hAnsi="Meiryo UI"/>
                <w:sz w:val="18"/>
              </w:rPr>
              <w:t>配当支払総額</w:t>
            </w:r>
          </w:p>
        </w:tc>
        <w:tc>
          <w:tcPr>
            <w:tcW w:type="dxa" w:w="3135"/>
          </w:tcPr>
          <w:p>
            <w:r>
              <w:rPr>
                <w:rFonts w:ascii="Meiryo UI" w:hAnsi="Meiryo UI"/>
                <w:sz w:val="18"/>
              </w:rPr>
              <w:t>≒¥340〜360億/年（1株100円想定）</w:t>
            </w:r>
          </w:p>
        </w:tc>
        <w:tc>
          <w:tcPr>
            <w:tcW w:type="dxa" w:w="3135"/>
          </w:tcPr>
          <w:p>
            <w:r>
              <w:rPr>
                <w:rFonts w:ascii="Meiryo UI" w:hAnsi="Meiryo UI"/>
                <w:sz w:val="18"/>
              </w:rPr>
            </w:r>
          </w:p>
        </w:tc>
      </w:tr>
      <w:tr>
        <w:tc>
          <w:tcPr>
            <w:tcW w:type="dxa" w:w="3135"/>
            <w:shd w:val="clear" w:color="auto" w:fill="DDEBF7"/>
          </w:tcPr>
          <w:p>
            <w:r>
              <w:rPr>
                <w:rFonts w:ascii="Meiryo UI" w:hAnsi="Meiryo UI"/>
                <w:sz w:val="18"/>
              </w:rPr>
              <w:t>配当余力</w:t>
            </w:r>
          </w:p>
        </w:tc>
        <w:tc>
          <w:tcPr>
            <w:tcW w:type="dxa" w:w="3135"/>
            <w:shd w:val="clear" w:color="auto" w:fill="DDEBF7"/>
          </w:tcPr>
          <w:p>
            <w:r>
              <w:rPr>
                <w:rFonts w:ascii="Meiryo UI" w:hAnsi="Meiryo UI"/>
                <w:sz w:val="18"/>
              </w:rPr>
              <w:t>FCFの23〜72%</w:t>
            </w:r>
          </w:p>
        </w:tc>
        <w:tc>
          <w:tcPr>
            <w:tcW w:type="dxa" w:w="3135"/>
            <w:shd w:val="clear" w:color="auto" w:fill="DDEBF7"/>
          </w:tcPr>
          <w:p>
            <w:r>
              <w:rPr>
                <w:rFonts w:ascii="Meiryo UI" w:hAnsi="Meiryo UI"/>
                <w:sz w:val="18"/>
              </w:rPr>
              <w:t>シナリオBではFCFが半減→配当リスク顕在化</w:t>
            </w:r>
          </w:p>
        </w:tc>
      </w:tr>
    </w:tbl>
    <w:p/>
    <w:p>
      <w:pPr>
        <w:pStyle w:val="Heading4"/>
      </w:pPr>
      <w:r>
        <w:rPr>
          <w:rFonts w:ascii="Meiryo UI" w:hAnsi="Meiryo UI"/>
          <w:color w:val="2E74B5"/>
        </w:rPr>
        <w:t>EV/EBITDA比較</w:t>
      </w:r>
    </w:p>
    <w:p/>
    <w:p>
      <w:pPr>
        <w:shd w:val="clear" w:color="auto" w:fill="F2F2F2"/>
      </w:pPr>
      <w:r>
        <w:rPr>
          <w:rFonts w:ascii="Courier New" w:hAnsi="Courier New"/>
          <w:sz w:val="16"/>
        </w:rPr>
        <w:t>【東京ガス（9531）】</w:t>
        <w:br/>
        <w:t xml:space="preserve">  時価総額：¥24,379億</w:t>
        <w:br/>
        <w:t xml:space="preserve">  ネットデット：≒¥9,000億</w:t>
        <w:br/>
        <w:t xml:space="preserve">  EV：≒¥33,379億</w:t>
        <w:br/>
        <w:t xml:space="preserve">  EBITDA（推計）：≒¥4,500〜5,000億</w:t>
        <w:br/>
        <w:t xml:space="preserve">  EV/EBITDA：≒6.7〜7.4倍</w:t>
        <w:br/>
        <w:br/>
        <w:t>【同業比較（推計）】</w:t>
        <w:br/>
        <w:t xml:space="preserve">  大阪ガス（9532）：EV/EBITDA ≒ 6.0〜7.0倍（カタール依存度低→ディスカウント少）</w:t>
        <w:br/>
        <w:t xml:space="preserve">  東邦ガス（9533）：EV/EBITDA ≒ 5.5〜6.5倍（中部圏・規模小・調達分散）</w:t>
        <w:br/>
        <w:t xml:space="preserve">  西部ガス（9536）：EV/EBITDA ≒ 5.0〜6.0倍（九州圏・オーストラリア依存）</w:t>
        <w:br/>
        <w:br/>
        <w:t>→ 東京ガスは業界内でプレミアム評価。</w:t>
        <w:br/>
        <w:t xml:space="preserve">  カタールLNGリスク顕在化後は大阪ガス並み（EV/EBITDA 6〜7倍）への</w:t>
        <w:br/>
        <w:t xml:space="preserve">  収縮が適正であり、追加の下方バイアスを示唆。</w:t>
      </w:r>
    </w:p>
    <w:p/>
    <w:p>
      <w:r>
        <w:t>──────────────────────────────────────────────────</w:t>
      </w:r>
    </w:p>
    <w:p/>
    <w:p>
      <w:pPr>
        <w:pStyle w:val="Heading2"/>
      </w:pPr>
      <w:r>
        <w:rPr>
          <w:rFonts w:ascii="Meiryo UI" w:hAnsi="Meiryo UI"/>
          <w:color w:val="2E74B5"/>
        </w:rPr>
        <w:t>②｜競合比較：LNG調達構造の比較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東京ガス（9531）</w:t>
            </w:r>
          </w:p>
        </w:tc>
        <w:tc>
          <w:tcPr>
            <w:tcW w:type="dxa" w:w="1881"/>
            <w:shd w:val="clear" w:color="auto" w:fill="2E74B5"/>
          </w:tcPr>
          <w:p>
            <w:r>
              <w:rPr>
                <w:rFonts w:ascii="Meiryo UI" w:hAnsi="Meiryo UI"/>
                <w:b/>
                <w:color w:val="FFFFFF"/>
                <w:sz w:val="18"/>
              </w:rPr>
              <w:t>大阪ガス（9532）</w:t>
            </w:r>
          </w:p>
        </w:tc>
        <w:tc>
          <w:tcPr>
            <w:tcW w:type="dxa" w:w="1881"/>
            <w:shd w:val="clear" w:color="auto" w:fill="2E74B5"/>
          </w:tcPr>
          <w:p>
            <w:r>
              <w:rPr>
                <w:rFonts w:ascii="Meiryo UI" w:hAnsi="Meiryo UI"/>
                <w:b/>
                <w:color w:val="FFFFFF"/>
                <w:sz w:val="18"/>
              </w:rPr>
              <w:t>東邦ガス（9533）</w:t>
            </w:r>
          </w:p>
        </w:tc>
        <w:tc>
          <w:tcPr>
            <w:tcW w:type="dxa" w:w="1881"/>
            <w:shd w:val="clear" w:color="auto" w:fill="2E74B5"/>
          </w:tcPr>
          <w:p>
            <w:r>
              <w:rPr>
                <w:rFonts w:ascii="Meiryo UI" w:hAnsi="Meiryo UI"/>
                <w:b/>
                <w:color w:val="FFFFFF"/>
                <w:sz w:val="18"/>
              </w:rPr>
              <w:t>西部ガス（9536）</w:t>
            </w:r>
          </w:p>
        </w:tc>
      </w:tr>
      <w:tr>
        <w:tc>
          <w:tcPr>
            <w:tcW w:type="dxa" w:w="1881"/>
          </w:tcPr>
          <w:p>
            <w:r>
              <w:rPr>
                <w:rFonts w:ascii="Meiryo UI" w:hAnsi="Meiryo UI"/>
                <w:sz w:val="18"/>
              </w:rPr>
              <w:t>年間LNG調達量</w:t>
            </w:r>
          </w:p>
        </w:tc>
        <w:tc>
          <w:tcPr>
            <w:tcW w:type="dxa" w:w="1881"/>
          </w:tcPr>
          <w:p>
            <w:r>
              <w:rPr>
                <w:rFonts w:ascii="Meiryo UI" w:hAnsi="Meiryo UI"/>
                <w:sz w:val="18"/>
              </w:rPr>
              <w:t>約1,200万t</w:t>
            </w:r>
          </w:p>
        </w:tc>
        <w:tc>
          <w:tcPr>
            <w:tcW w:type="dxa" w:w="1881"/>
          </w:tcPr>
          <w:p>
            <w:r>
              <w:rPr>
                <w:rFonts w:ascii="Meiryo UI" w:hAnsi="Meiryo UI"/>
                <w:sz w:val="18"/>
              </w:rPr>
              <w:t>約600〜700万t</w:t>
            </w:r>
          </w:p>
        </w:tc>
        <w:tc>
          <w:tcPr>
            <w:tcW w:type="dxa" w:w="1881"/>
          </w:tcPr>
          <w:p>
            <w:r>
              <w:rPr>
                <w:rFonts w:ascii="Meiryo UI" w:hAnsi="Meiryo UI"/>
                <w:sz w:val="18"/>
              </w:rPr>
              <w:t>約200〜250万t</w:t>
            </w:r>
          </w:p>
        </w:tc>
        <w:tc>
          <w:tcPr>
            <w:tcW w:type="dxa" w:w="1881"/>
          </w:tcPr>
          <w:p>
            <w:r>
              <w:rPr>
                <w:rFonts w:ascii="Meiryo UI" w:hAnsi="Meiryo UI"/>
                <w:sz w:val="18"/>
              </w:rPr>
              <w:t>約100〜150万t</w:t>
            </w:r>
          </w:p>
        </w:tc>
      </w:tr>
      <w:tr>
        <w:tc>
          <w:tcPr>
            <w:tcW w:type="dxa" w:w="1881"/>
            <w:shd w:val="clear" w:color="auto" w:fill="DDEBF7"/>
          </w:tcPr>
          <w:p>
            <w:r>
              <w:rPr>
                <w:rFonts w:ascii="Meiryo UI" w:hAnsi="Meiryo UI"/>
                <w:sz w:val="18"/>
              </w:rPr>
              <w:t>カタール依存度（推定）</w:t>
            </w:r>
          </w:p>
        </w:tc>
        <w:tc>
          <w:tcPr>
            <w:tcW w:type="dxa" w:w="1881"/>
            <w:shd w:val="clear" w:color="auto" w:fill="DDEBF7"/>
          </w:tcPr>
          <w:p>
            <w:r>
              <w:rPr>
                <w:rFonts w:ascii="Meiryo UI" w:hAnsi="Meiryo UI"/>
                <w:sz w:val="18"/>
              </w:rPr>
              <w:t>約20〜25%（最大）</w:t>
            </w:r>
          </w:p>
        </w:tc>
        <w:tc>
          <w:tcPr>
            <w:tcW w:type="dxa" w:w="1881"/>
            <w:shd w:val="clear" w:color="auto" w:fill="DDEBF7"/>
          </w:tcPr>
          <w:p>
            <w:r>
              <w:rPr>
                <w:rFonts w:ascii="Meiryo UI" w:hAnsi="Meiryo UI"/>
                <w:sz w:val="18"/>
              </w:rPr>
              <w:t>約10〜15%</w:t>
            </w:r>
          </w:p>
        </w:tc>
        <w:tc>
          <w:tcPr>
            <w:tcW w:type="dxa" w:w="1881"/>
            <w:shd w:val="clear" w:color="auto" w:fill="DDEBF7"/>
          </w:tcPr>
          <w:p>
            <w:r>
              <w:rPr>
                <w:rFonts w:ascii="Meiryo UI" w:hAnsi="Meiryo UI"/>
                <w:sz w:val="18"/>
              </w:rPr>
              <w:t>約15〜20%</w:t>
            </w:r>
          </w:p>
        </w:tc>
        <w:tc>
          <w:tcPr>
            <w:tcW w:type="dxa" w:w="1881"/>
            <w:shd w:val="clear" w:color="auto" w:fill="DDEBF7"/>
          </w:tcPr>
          <w:p>
            <w:r>
              <w:rPr>
                <w:rFonts w:ascii="Meiryo UI" w:hAnsi="Meiryo UI"/>
                <w:sz w:val="18"/>
              </w:rPr>
              <w:t>約5〜10%</w:t>
            </w:r>
          </w:p>
        </w:tc>
      </w:tr>
      <w:tr>
        <w:tc>
          <w:tcPr>
            <w:tcW w:type="dxa" w:w="1881"/>
          </w:tcPr>
          <w:p>
            <w:r>
              <w:rPr>
                <w:rFonts w:ascii="Meiryo UI" w:hAnsi="Meiryo UI"/>
                <w:sz w:val="18"/>
              </w:rPr>
              <w:t>オーストラリア比率</w:t>
            </w:r>
          </w:p>
        </w:tc>
        <w:tc>
          <w:tcPr>
            <w:tcW w:type="dxa" w:w="1881"/>
          </w:tcPr>
          <w:p>
            <w:r>
              <w:rPr>
                <w:rFonts w:ascii="Meiryo UI" w:hAnsi="Meiryo UI"/>
                <w:sz w:val="18"/>
              </w:rPr>
              <w:t>約28%</w:t>
            </w:r>
          </w:p>
        </w:tc>
        <w:tc>
          <w:tcPr>
            <w:tcW w:type="dxa" w:w="1881"/>
          </w:tcPr>
          <w:p>
            <w:r>
              <w:rPr>
                <w:rFonts w:ascii="Meiryo UI" w:hAnsi="Meiryo UI"/>
                <w:sz w:val="18"/>
              </w:rPr>
              <w:t>約40〜45%（最大）</w:t>
            </w:r>
          </w:p>
        </w:tc>
        <w:tc>
          <w:tcPr>
            <w:tcW w:type="dxa" w:w="1881"/>
          </w:tcPr>
          <w:p>
            <w:r>
              <w:rPr>
                <w:rFonts w:ascii="Meiryo UI" w:hAnsi="Meiryo UI"/>
                <w:sz w:val="18"/>
              </w:rPr>
              <w:t>約35%</w:t>
            </w:r>
          </w:p>
        </w:tc>
        <w:tc>
          <w:tcPr>
            <w:tcW w:type="dxa" w:w="1881"/>
          </w:tcPr>
          <w:p>
            <w:r>
              <w:rPr>
                <w:rFonts w:ascii="Meiryo UI" w:hAnsi="Meiryo UI"/>
                <w:sz w:val="18"/>
              </w:rPr>
              <w:t>約50%（最大）</w:t>
            </w:r>
          </w:p>
        </w:tc>
      </w:tr>
      <w:tr>
        <w:tc>
          <w:tcPr>
            <w:tcW w:type="dxa" w:w="1881"/>
            <w:shd w:val="clear" w:color="auto" w:fill="DDEBF7"/>
          </w:tcPr>
          <w:p>
            <w:r>
              <w:rPr>
                <w:rFonts w:ascii="Meiryo UI" w:hAnsi="Meiryo UI"/>
                <w:sz w:val="18"/>
              </w:rPr>
              <w:t>米国LNG比率</w:t>
            </w:r>
          </w:p>
        </w:tc>
        <w:tc>
          <w:tcPr>
            <w:tcW w:type="dxa" w:w="1881"/>
            <w:shd w:val="clear" w:color="auto" w:fill="DDEBF7"/>
          </w:tcPr>
          <w:p>
            <w:r>
              <w:rPr>
                <w:rFonts w:ascii="Meiryo UI" w:hAnsi="Meiryo UI"/>
                <w:sz w:val="18"/>
              </w:rPr>
              <w:t>約18%</w:t>
            </w:r>
          </w:p>
        </w:tc>
        <w:tc>
          <w:tcPr>
            <w:tcW w:type="dxa" w:w="1881"/>
            <w:shd w:val="clear" w:color="auto" w:fill="DDEBF7"/>
          </w:tcPr>
          <w:p>
            <w:r>
              <w:rPr>
                <w:rFonts w:ascii="Meiryo UI" w:hAnsi="Meiryo UI"/>
                <w:sz w:val="18"/>
              </w:rPr>
              <w:t>約15%</w:t>
            </w:r>
          </w:p>
        </w:tc>
        <w:tc>
          <w:tcPr>
            <w:tcW w:type="dxa" w:w="1881"/>
            <w:shd w:val="clear" w:color="auto" w:fill="DDEBF7"/>
          </w:tcPr>
          <w:p>
            <w:r>
              <w:rPr>
                <w:rFonts w:ascii="Meiryo UI" w:hAnsi="Meiryo UI"/>
                <w:sz w:val="18"/>
              </w:rPr>
              <w:t>約10%</w:t>
            </w:r>
          </w:p>
        </w:tc>
        <w:tc>
          <w:tcPr>
            <w:tcW w:type="dxa" w:w="1881"/>
            <w:shd w:val="clear" w:color="auto" w:fill="DDEBF7"/>
          </w:tcPr>
          <w:p>
            <w:r>
              <w:rPr>
                <w:rFonts w:ascii="Meiryo UI" w:hAnsi="Meiryo UI"/>
                <w:sz w:val="18"/>
              </w:rPr>
              <w:t>約5%</w:t>
            </w:r>
          </w:p>
        </w:tc>
      </w:tr>
      <w:tr>
        <w:tc>
          <w:tcPr>
            <w:tcW w:type="dxa" w:w="1881"/>
          </w:tcPr>
          <w:p>
            <w:r>
              <w:rPr>
                <w:rFonts w:ascii="Meiryo UI" w:hAnsi="Meiryo UI"/>
                <w:sz w:val="18"/>
              </w:rPr>
              <w:t>スポット依存度</w:t>
            </w:r>
          </w:p>
        </w:tc>
        <w:tc>
          <w:tcPr>
            <w:tcW w:type="dxa" w:w="1881"/>
          </w:tcPr>
          <w:p>
            <w:r>
              <w:rPr>
                <w:rFonts w:ascii="Meiryo UI" w:hAnsi="Meiryo UI"/>
                <w:sz w:val="18"/>
              </w:rPr>
              <w:t>約10%</w:t>
            </w:r>
          </w:p>
        </w:tc>
        <w:tc>
          <w:tcPr>
            <w:tcW w:type="dxa" w:w="1881"/>
          </w:tcPr>
          <w:p>
            <w:r>
              <w:rPr>
                <w:rFonts w:ascii="Meiryo UI" w:hAnsi="Meiryo UI"/>
                <w:sz w:val="18"/>
              </w:rPr>
              <w:t>約8%</w:t>
            </w:r>
          </w:p>
        </w:tc>
        <w:tc>
          <w:tcPr>
            <w:tcW w:type="dxa" w:w="1881"/>
          </w:tcPr>
          <w:p>
            <w:r>
              <w:rPr>
                <w:rFonts w:ascii="Meiryo UI" w:hAnsi="Meiryo UI"/>
                <w:sz w:val="18"/>
              </w:rPr>
              <w:t>約12%</w:t>
            </w:r>
          </w:p>
        </w:tc>
        <w:tc>
          <w:tcPr>
            <w:tcW w:type="dxa" w:w="1881"/>
          </w:tcPr>
          <w:p>
            <w:r>
              <w:rPr>
                <w:rFonts w:ascii="Meiryo UI" w:hAnsi="Meiryo UI"/>
                <w:sz w:val="18"/>
              </w:rPr>
              <w:t>約15%</w:t>
            </w:r>
          </w:p>
        </w:tc>
      </w:tr>
      <w:tr>
        <w:tc>
          <w:tcPr>
            <w:tcW w:type="dxa" w:w="1881"/>
            <w:shd w:val="clear" w:color="auto" w:fill="DDEBF7"/>
          </w:tcPr>
          <w:p>
            <w:r>
              <w:rPr>
                <w:rFonts w:ascii="Meiryo UI" w:hAnsi="Meiryo UI"/>
                <w:sz w:val="18"/>
              </w:rPr>
              <w:t>ホルムズ通過リスク</w:t>
            </w:r>
          </w:p>
        </w:tc>
        <w:tc>
          <w:tcPr>
            <w:tcW w:type="dxa" w:w="1881"/>
            <w:shd w:val="clear" w:color="auto" w:fill="DDEBF7"/>
          </w:tcPr>
          <w:p>
            <w:r>
              <w:rPr>
                <w:rFonts w:ascii="Meiryo UI" w:hAnsi="Meiryo UI"/>
                <w:sz w:val="18"/>
              </w:rPr>
              <w:t>高（カタール向け多い）</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低</w:t>
            </w:r>
          </w:p>
        </w:tc>
      </w:tr>
      <w:tr>
        <w:tc>
          <w:tcPr>
            <w:tcW w:type="dxa" w:w="1881"/>
          </w:tcPr>
          <w:p>
            <w:r>
              <w:rPr>
                <w:rFonts w:ascii="Meiryo UI" w:hAnsi="Meiryo UI"/>
                <w:sz w:val="18"/>
              </w:rPr>
              <w:t>カタール喪失ダメージ</w:t>
            </w:r>
          </w:p>
        </w:tc>
        <w:tc>
          <w:tcPr>
            <w:tcW w:type="dxa" w:w="1881"/>
          </w:tcPr>
          <w:p>
            <w:r>
              <w:rPr>
                <w:rFonts w:ascii="Meiryo UI" w:hAnsi="Meiryo UI"/>
                <w:sz w:val="18"/>
              </w:rPr>
              <w:t>最大（絶対額・比率ともに最悪）</w:t>
            </w:r>
          </w:p>
        </w:tc>
        <w:tc>
          <w:tcPr>
            <w:tcW w:type="dxa" w:w="1881"/>
          </w:tcPr>
          <w:p>
            <w:r>
              <w:rPr>
                <w:rFonts w:ascii="Meiryo UI" w:hAnsi="Meiryo UI"/>
                <w:sz w:val="18"/>
              </w:rPr>
              <w:t>中程度</w:t>
            </w:r>
          </w:p>
        </w:tc>
        <w:tc>
          <w:tcPr>
            <w:tcW w:type="dxa" w:w="1881"/>
          </w:tcPr>
          <w:p>
            <w:r>
              <w:rPr>
                <w:rFonts w:ascii="Meiryo UI" w:hAnsi="Meiryo UI"/>
                <w:sz w:val="18"/>
              </w:rPr>
              <w:t>中程度</w:t>
            </w:r>
          </w:p>
        </w:tc>
        <w:tc>
          <w:tcPr>
            <w:tcW w:type="dxa" w:w="1881"/>
          </w:tcPr>
          <w:p>
            <w:r>
              <w:rPr>
                <w:rFonts w:ascii="Meiryo UI" w:hAnsi="Meiryo UI"/>
                <w:sz w:val="18"/>
              </w:rPr>
              <w:t>軽微</w:t>
            </w:r>
          </w:p>
        </w:tc>
      </w:tr>
      <w:tr>
        <w:tc>
          <w:tcPr>
            <w:tcW w:type="dxa" w:w="1881"/>
            <w:shd w:val="clear" w:color="auto" w:fill="DDEBF7"/>
          </w:tcPr>
          <w:p>
            <w:r>
              <w:rPr>
                <w:rFonts w:ascii="Meiryo UI" w:hAnsi="Meiryo UI"/>
                <w:sz w:val="18"/>
              </w:rPr>
              <w:t>調達多様化スコア</w:t>
            </w:r>
          </w:p>
        </w:tc>
        <w:tc>
          <w:tcPr>
            <w:tcW w:type="dxa" w:w="1881"/>
            <w:shd w:val="clear" w:color="auto" w:fill="DDEBF7"/>
          </w:tcPr>
          <w:p>
            <w:r>
              <w:rPr>
                <w:rFonts w:ascii="Meiryo UI" w:hAnsi="Meiryo UI"/>
                <w:sz w:val="18"/>
              </w:rPr>
              <w:t>△（米国で部分ヘッジ）</w:t>
            </w:r>
          </w:p>
        </w:tc>
        <w:tc>
          <w:tcPr>
            <w:tcW w:type="dxa" w:w="1881"/>
            <w:shd w:val="clear" w:color="auto" w:fill="DDEBF7"/>
          </w:tcPr>
          <w:p>
            <w:r>
              <w:rPr>
                <w:rFonts w:ascii="Meiryo UI" w:hAnsi="Meiryo UI"/>
                <w:sz w:val="18"/>
              </w:rPr>
              <w:t>○（豪州依存も分散良好）</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bl>
    <w:p/>
    <w:p>
      <w:r>
        <w:rPr>
          <w:rFonts w:ascii="Meiryo UI" w:hAnsi="Meiryo UI"/>
          <w:sz w:val="20"/>
        </w:rPr>
        <w:t>📌 東京ガスは「日本のガス会社の中でカタールLNG喪失の影響を最も大きく受ける会社」。絶対額でも、比率でも、最大のダメージを受ける。</w:t>
      </w:r>
    </w:p>
    <w:p/>
    <w:p>
      <w:r>
        <w:t>──────────────────────────────────────────────────</w:t>
      </w:r>
    </w:p>
    <w:p/>
    <w:p>
      <w:pPr>
        <w:pStyle w:val="Heading2"/>
      </w:pPr>
      <w:r>
        <w:rPr>
          <w:rFonts w:ascii="Meiryo UI" w:hAnsi="Meiryo UI"/>
          <w:color w:val="2E74B5"/>
        </w:rPr>
        <w:t>③｜ガス料金転嫁スケジュール</w:t>
      </w:r>
    </w:p>
    <w:p/>
    <w:p>
      <w:pPr>
        <w:pStyle w:val="Heading3"/>
      </w:pPr>
      <w:r>
        <w:rPr>
          <w:rFonts w:ascii="Meiryo UI" w:hAnsi="Meiryo UI"/>
          <w:color w:val="2E74B5"/>
        </w:rPr>
        <w:t>原料費調整制度の詳細</w:t>
      </w:r>
    </w:p>
    <w:p/>
    <w:p>
      <w:pPr>
        <w:shd w:val="clear" w:color="auto" w:fill="F2F2F2"/>
      </w:pPr>
      <w:r>
        <w:rPr>
          <w:rFonts w:ascii="Courier New" w:hAnsi="Courier New"/>
          <w:sz w:val="16"/>
        </w:rPr>
        <w:t>【月次調整メカニズム】</w:t>
        <w:br/>
        <w:t xml:space="preserve">  基準原料価格（原則2ヶ月前の輸入価格）と実績原料価格を比較</w:t>
        <w:br/>
        <w:t xml:space="preserve">  差額を翌々月〜翌3ヶ月の小売料金に加算/減算</w:t>
        <w:br/>
        <w:t xml:space="preserve">  </w:t>
        <w:br/>
        <w:t xml:space="preserve">  ※実質的なラグ：仕入価格変動から請求反映まで4〜6ヶ月</w:t>
        <w:br/>
        <w:br/>
        <w:t>【上限・下限キャップ】</w:t>
        <w:br/>
        <w:t xml:space="preserve">  一般ガス（規制料金）：1ヶ月当たりの調整幅に上限</w:t>
        <w:br/>
        <w:t xml:space="preserve">  TTFが€70以上の急騰局面では上限キャップに抵触し、</w:t>
        <w:br/>
        <w:t xml:space="preserve">  コスト増の100%転嫁が制度的に不可能になる可能性大</w:t>
        <w:br/>
        <w:br/>
        <w:t>【自由化料金（大口顧客向け）】</w:t>
        <w:br/>
        <w:t xml:space="preserve">  個別交渉・転嫁スピードは速いが交渉コスト発生</w:t>
        <w:br/>
        <w:t xml:space="preserve">  大口顧客の電力切り替えリスクも潜在</w:t>
        <w:br/>
        <w:br/>
        <w:t>【政治的リスク】</w:t>
        <w:br/>
        <w:t xml:space="preserve">  2025年〜2026年：日本政府はエネルギー価格上昇に対し「激変緩和措置」を</w:t>
        <w:br/>
        <w:t xml:space="preserve">  継続する政治的圧力大。規制料金の値上げ申請に国土交通省・経産省が</w:t>
        <w:br/>
        <w:t xml:space="preserve">  「待った」をかける可能性→転嫁が制度的に遅延するリスク</w:t>
        <w:br/>
        <w:t xml:space="preserve">  </w:t>
        <w:br/>
        <w:t xml:space="preserve">  衆院選・参院選の時期と重なると政治判断でコスト転嫁が「封殺」される</w:t>
        <w:br/>
        <w:t xml:space="preserve">  最悪シナリオも排除できない。これが「構造的な毒」に転化する。</w:t>
      </w:r>
    </w:p>
    <w:p/>
    <w:p>
      <w:r>
        <w:t>──────────────────────────────────────────────────</w:t>
      </w:r>
    </w:p>
    <w:p/>
    <w:p>
      <w:pPr>
        <w:pStyle w:val="Heading2"/>
      </w:pPr>
      <w:r>
        <w:rPr>
          <w:rFonts w:ascii="Meiryo UI" w:hAnsi="Meiryo UI"/>
          <w:color w:val="2E74B5"/>
        </w:rPr>
        <w:t>④｜海外事業リスク</w:t>
      </w:r>
    </w:p>
    <w:p/>
    <w:p>
      <w:pPr>
        <w:pStyle w:val="Heading3"/>
      </w:pPr>
      <w:r>
        <w:rPr>
          <w:rFonts w:ascii="Meiryo UI" w:hAnsi="Meiryo UI"/>
          <w:color w:val="2E74B5"/>
        </w:rPr>
        <w:t>米国・英国・豪州発電事業</w:t>
      </w:r>
    </w:p>
    <w:p/>
    <w:p>
      <w:pPr>
        <w:shd w:val="clear" w:color="auto" w:fill="F2F2F2"/>
      </w:pPr>
      <w:r>
        <w:rPr>
          <w:rFonts w:ascii="Courier New" w:hAnsi="Courier New"/>
          <w:sz w:val="16"/>
        </w:rPr>
        <w:t>【米国事業（旧Repsol資産含む）】</w:t>
        <w:br/>
        <w:t xml:space="preserve">  テキサス州等での天然ガス発電所・ガス田開発権益</w:t>
        <w:br/>
        <w:t xml:space="preserve">  WTI $97.38/bbl・Henry Hub $2.72/MMBtu（現状）</w:t>
        <w:br/>
        <w:t xml:space="preserve">  電力需要旺盛→発電利益は比較的安定</w:t>
        <w:br/>
        <w:t xml:space="preserve">  リスク：テキサス電力市場のスポット価格変動・規制変更</w:t>
        <w:br/>
        <w:br/>
        <w:t>【英国・欧州事業】</w:t>
        <w:br/>
        <w:t xml:space="preserve">  北海ガス田権益・再エネ投資</w:t>
        <w:br/>
        <w:t xml:space="preserve">  TTF高止まりは「欧州生産資産」の価値を高める側面もある（一部プラス）</w:t>
        <w:br/>
        <w:t xml:space="preserve">  ただし投資フェーズで営業利益への貢献は軽微（現時点）</w:t>
        <w:br/>
        <w:br/>
        <w:t>【豪州事業】</w:t>
        <w:br/>
        <w:t xml:space="preserve">  Ichthys LNGプロジェクト権益（三菱・大阪ガスとの共同）</w:t>
        <w:br/>
        <w:t xml:space="preserve">  安定供給源として機能。現在は正常稼働。</w:t>
        <w:br/>
        <w:br/>
        <w:t>【船舶保険・傭船料の急騰試算】</w:t>
        <w:br/>
        <w:t xml:space="preserve">  ホルムズ海峡通過LNGタンカー：通常保険料の3〜5倍</w:t>
        <w:br/>
        <w:t xml:space="preserve">  東京ガス向け傭船料上昇分：推定¥30〜80億円/年の追加コスト</w:t>
        <w:br/>
        <w:t xml:space="preserve">  ホルムズ迂回ルート（喜望峰回り）採用の場合：</w:t>
        <w:br/>
        <w:t xml:space="preserve">  → 航行日数+15〜20日増→傭船コスト+20〜30%</w:t>
        <w:br/>
        <w:t xml:space="preserve">  → 追加コスト¥50〜120億円/年（迂回コスト）</w:t>
      </w:r>
    </w:p>
    <w:p/>
    <w:p>
      <w:r>
        <w:t>──────────────────────────────────────────────────</w:t>
      </w:r>
    </w:p>
    <w:p/>
    <w:p>
      <w:pPr>
        <w:pStyle w:val="Heading2"/>
      </w:pPr>
      <w:r>
        <w:rPr>
          <w:rFonts w:ascii="Meiryo UI" w:hAnsi="Meiryo UI"/>
          <w:color w:val="2E74B5"/>
        </w:rPr>
        <w:t>3｜財務ハイライト（FY2026/3期 実績推計）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FY2026/3期（推計）</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売上高</w:t>
            </w:r>
          </w:p>
        </w:tc>
        <w:tc>
          <w:tcPr>
            <w:tcW w:type="dxa" w:w="2351"/>
          </w:tcPr>
          <w:p>
            <w:r>
              <w:rPr>
                <w:rFonts w:ascii="Meiryo UI" w:hAnsi="Meiryo UI"/>
                <w:sz w:val="18"/>
              </w:rPr>
              <w:t>≒¥2.50兆</w:t>
            </w:r>
          </w:p>
        </w:tc>
        <w:tc>
          <w:tcPr>
            <w:tcW w:type="dxa" w:w="2351"/>
          </w:tcPr>
          <w:p>
            <w:r>
              <w:rPr>
                <w:rFonts w:ascii="Meiryo UI" w:hAnsi="Meiryo UI"/>
                <w:sz w:val="18"/>
              </w:rPr>
              <w:t>+5〜8%</w:t>
            </w:r>
          </w:p>
        </w:tc>
        <w:tc>
          <w:tcPr>
            <w:tcW w:type="dxa" w:w="2351"/>
          </w:tcPr>
          <w:p>
            <w:r>
              <w:rPr>
                <w:rFonts w:ascii="Meiryo UI" w:hAnsi="Meiryo UI"/>
                <w:sz w:val="18"/>
              </w:rPr>
              <w:t>LNG市況と電力事業成長</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≒¥2,500億</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原料費調整制度が機能した最後の「平常年」</w:t>
            </w:r>
          </w:p>
        </w:tc>
      </w:tr>
      <w:tr>
        <w:tc>
          <w:tcPr>
            <w:tcW w:type="dxa" w:w="2351"/>
          </w:tcPr>
          <w:p>
            <w:r>
              <w:rPr>
                <w:rFonts w:ascii="Meiryo UI" w:hAnsi="Meiryo UI"/>
                <w:sz w:val="18"/>
              </w:rPr>
              <w:t>営業利益率</w:t>
            </w:r>
          </w:p>
        </w:tc>
        <w:tc>
          <w:tcPr>
            <w:tcW w:type="dxa" w:w="2351"/>
          </w:tcPr>
          <w:p>
            <w:r>
              <w:rPr>
                <w:rFonts w:ascii="Meiryo UI" w:hAnsi="Meiryo UI"/>
                <w:sz w:val="18"/>
              </w:rPr>
              <w:t>≒10.0%</w:t>
            </w:r>
          </w:p>
        </w:tc>
        <w:tc>
          <w:tcPr>
            <w:tcW w:type="dxa" w:w="2351"/>
          </w:tcPr>
          <w:p>
            <w:r>
              <w:rPr>
                <w:rFonts w:ascii="Meiryo UI" w:hAnsi="Meiryo UI"/>
                <w:sz w:val="18"/>
              </w:rPr>
              <w:t>横ばい</w:t>
            </w:r>
          </w:p>
        </w:tc>
        <w:tc>
          <w:tcPr>
            <w:tcW w:type="dxa" w:w="2351"/>
          </w:tcPr>
          <w:p>
            <w:r>
              <w:rPr>
                <w:rFonts w:ascii="Meiryo UI" w:hAnsi="Meiryo UI"/>
                <w:sz w:val="18"/>
              </w:rPr>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≒¥1,730億</w:t>
            </w:r>
          </w:p>
        </w:tc>
        <w:tc>
          <w:tcPr>
            <w:tcW w:type="dxa" w:w="2351"/>
            <w:shd w:val="clear" w:color="auto" w:fill="DDEBF7"/>
          </w:tcPr>
          <w:p>
            <w:r>
              <w:rPr>
                <w:rFonts w:ascii="Meiryo UI" w:hAnsi="Meiryo UI"/>
                <w:sz w:val="18"/>
              </w:rPr>
              <w:t>+2〜4%</w:t>
            </w:r>
          </w:p>
        </w:tc>
        <w:tc>
          <w:tcPr>
            <w:tcW w:type="dxa" w:w="2351"/>
            <w:shd w:val="clear" w:color="auto" w:fill="DDEBF7"/>
          </w:tcPr>
          <w:p>
            <w:r>
              <w:rPr>
                <w:rFonts w:ascii="Meiryo UI" w:hAnsi="Meiryo UI"/>
                <w:sz w:val="18"/>
              </w:rPr>
              <w:t>EPS¥518（確認値）</w:t>
            </w:r>
          </w:p>
        </w:tc>
      </w:tr>
      <w:tr>
        <w:tc>
          <w:tcPr>
            <w:tcW w:type="dxa" w:w="2351"/>
          </w:tcPr>
          <w:p>
            <w:r>
              <w:rPr>
                <w:rFonts w:ascii="Meiryo UI" w:hAnsi="Meiryo UI"/>
                <w:sz w:val="18"/>
              </w:rPr>
              <w:t>EBITDA</w:t>
            </w:r>
          </w:p>
        </w:tc>
        <w:tc>
          <w:tcPr>
            <w:tcW w:type="dxa" w:w="2351"/>
          </w:tcPr>
          <w:p>
            <w:r>
              <w:rPr>
                <w:rFonts w:ascii="Meiryo UI" w:hAnsi="Meiryo UI"/>
                <w:sz w:val="18"/>
              </w:rPr>
              <w:t>≒¥4,700〜5,000億</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FCF</w:t>
            </w:r>
          </w:p>
        </w:tc>
        <w:tc>
          <w:tcPr>
            <w:tcW w:type="dxa" w:w="2351"/>
            <w:shd w:val="clear" w:color="auto" w:fill="DDEBF7"/>
          </w:tcPr>
          <w:p>
            <w:r>
              <w:rPr>
                <w:rFonts w:ascii="Meiryo UI" w:hAnsi="Meiryo UI"/>
                <w:sz w:val="18"/>
              </w:rPr>
              <w:t>≒¥800〜1,200億</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CAPEX増加で圧縮傾向</w:t>
            </w:r>
          </w:p>
        </w:tc>
      </w:tr>
      <w:tr>
        <w:tc>
          <w:tcPr>
            <w:tcW w:type="dxa" w:w="2351"/>
          </w:tcPr>
          <w:p>
            <w:r>
              <w:rPr>
                <w:rFonts w:ascii="Meiryo UI" w:hAnsi="Meiryo UI"/>
                <w:sz w:val="18"/>
              </w:rPr>
              <w:t>FCFマージン</w:t>
            </w:r>
          </w:p>
        </w:tc>
        <w:tc>
          <w:tcPr>
            <w:tcW w:type="dxa" w:w="2351"/>
          </w:tcPr>
          <w:p>
            <w:r>
              <w:rPr>
                <w:rFonts w:ascii="Meiryo UI" w:hAnsi="Meiryo UI"/>
                <w:sz w:val="18"/>
              </w:rPr>
              <w:t>≒3〜5%</w:t>
            </w:r>
          </w:p>
        </w:tc>
        <w:tc>
          <w:tcPr>
            <w:tcW w:type="dxa" w:w="2351"/>
          </w:tcPr>
          <w:p>
            <w:r>
              <w:rPr>
                <w:rFonts w:ascii="Meiryo UI" w:hAnsi="Meiryo UI"/>
                <w:sz w:val="18"/>
              </w:rPr>
            </w:r>
          </w:p>
        </w:tc>
        <w:tc>
          <w:tcPr>
            <w:tcW w:type="dxa" w:w="2351"/>
          </w:tcPr>
          <w:p>
            <w:r>
              <w:rPr>
                <w:rFonts w:ascii="Meiryo UI" w:hAnsi="Meiryo UI"/>
                <w:sz w:val="18"/>
              </w:rPr>
            </w:r>
          </w:p>
        </w:tc>
      </w:tr>
      <w:tr>
        <w:tc>
          <w:tcPr>
            <w:tcW w:type="dxa" w:w="2351"/>
            <w:shd w:val="clear" w:color="auto" w:fill="DDEBF7"/>
          </w:tcPr>
          <w:p>
            <w:r>
              <w:rPr>
                <w:rFonts w:ascii="Meiryo UI" w:hAnsi="Meiryo UI"/>
                <w:sz w:val="18"/>
              </w:rPr>
              <w:t>配当（1株）</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維持</w:t>
            </w:r>
          </w:p>
        </w:tc>
        <w:tc>
          <w:tcPr>
            <w:tcW w:type="dxa" w:w="2351"/>
            <w:shd w:val="clear" w:color="auto" w:fill="DDEBF7"/>
          </w:tcPr>
          <w:p>
            <w:r>
              <w:rPr>
                <w:rFonts w:ascii="Meiryo UI" w:hAnsi="Meiryo UI"/>
                <w:sz w:val="18"/>
              </w:rPr>
            </w:r>
          </w:p>
        </w:tc>
      </w:tr>
      <w:tr>
        <w:tc>
          <w:tcPr>
            <w:tcW w:type="dxa" w:w="2351"/>
          </w:tcPr>
          <w:p>
            <w:r>
              <w:rPr>
                <w:rFonts w:ascii="Meiryo UI" w:hAnsi="Meiryo UI"/>
                <w:sz w:val="18"/>
              </w:rPr>
              <w:t>配当性向</w:t>
            </w:r>
          </w:p>
        </w:tc>
        <w:tc>
          <w:tcPr>
            <w:tcW w:type="dxa" w:w="2351"/>
          </w:tcPr>
          <w:p>
            <w:r>
              <w:rPr>
                <w:rFonts w:ascii="Meiryo UI" w:hAnsi="Meiryo UI"/>
                <w:sz w:val="18"/>
              </w:rPr>
              <w:t>≒19%</w:t>
            </w:r>
          </w:p>
        </w:tc>
        <w:tc>
          <w:tcPr>
            <w:tcW w:type="dxa" w:w="2351"/>
          </w:tcPr>
          <w:p>
            <w:r>
              <w:rPr>
                <w:rFonts w:ascii="Meiryo UI" w:hAnsi="Meiryo UI"/>
                <w:sz w:val="18"/>
              </w:rPr>
            </w:r>
          </w:p>
        </w:tc>
        <w:tc>
          <w:tcPr>
            <w:tcW w:type="dxa" w:w="2351"/>
          </w:tcPr>
          <w:p>
            <w:r>
              <w:rPr>
                <w:rFonts w:ascii="Meiryo UI" w:hAnsi="Meiryo UI"/>
                <w:sz w:val="18"/>
              </w:rPr>
              <w:t>低め→増配余力あるが来期は不透明</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12.1%</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確認値</w:t>
            </w:r>
          </w:p>
        </w:tc>
      </w:tr>
      <w:tr>
        <w:tc>
          <w:tcPr>
            <w:tcW w:type="dxa" w:w="2351"/>
          </w:tcPr>
          <w:p>
            <w:r>
              <w:rPr>
                <w:rFonts w:ascii="Meiryo UI" w:hAnsi="Meiryo UI"/>
                <w:sz w:val="18"/>
              </w:rPr>
              <w:t>BPS</w:t>
            </w:r>
          </w:p>
        </w:tc>
        <w:tc>
          <w:tcPr>
            <w:tcW w:type="dxa" w:w="2351"/>
          </w:tcPr>
          <w:p>
            <w:r>
              <w:rPr>
                <w:rFonts w:ascii="Meiryo UI" w:hAnsi="Meiryo UI"/>
                <w:sz w:val="18"/>
              </w:rPr>
              <w:t>¥4,743</w:t>
            </w:r>
          </w:p>
        </w:tc>
        <w:tc>
          <w:tcPr>
            <w:tcW w:type="dxa" w:w="2351"/>
          </w:tcPr>
          <w:p>
            <w:r>
              <w:rPr>
                <w:rFonts w:ascii="Meiryo UI" w:hAnsi="Meiryo UI"/>
                <w:sz w:val="18"/>
              </w:rPr>
            </w:r>
          </w:p>
        </w:tc>
        <w:tc>
          <w:tcPr>
            <w:tcW w:type="dxa" w:w="2351"/>
          </w:tcPr>
          <w:p>
            <w:r>
              <w:rPr>
                <w:rFonts w:ascii="Meiryo UI" w:hAnsi="Meiryo UI"/>
                <w:sz w:val="18"/>
              </w:rPr>
              <w:t>確認値</w:t>
            </w:r>
          </w:p>
        </w:tc>
      </w:tr>
    </w:tbl>
    <w:p/>
    <w:p>
      <w:r>
        <w:t>──────────────────────────────────────────────────</w:t>
      </w:r>
    </w:p>
    <w:p/>
    <w:p>
      <w:pPr>
        <w:pStyle w:val="Heading2"/>
      </w:pPr>
      <w:r>
        <w:rPr>
          <w:rFonts w:ascii="Meiryo UI" w:hAnsi="Meiryo UI"/>
          <w:color w:val="2E74B5"/>
        </w:rPr>
        <w:t>4｜DCFバリュエーション</w:t>
      </w:r>
    </w:p>
    <w:p/>
    <w:p>
      <w:pPr>
        <w:pStyle w:val="Heading3"/>
      </w:pPr>
      <w:r>
        <w:rPr>
          <w:rFonts w:ascii="Meiryo UI" w:hAnsi="Meiryo UI"/>
          <w:color w:val="2E74B5"/>
        </w:rPr>
        <w:t>前提条件の全明示</w:t>
      </w:r>
    </w:p>
    <w:p/>
    <w:p>
      <w:pPr>
        <w:shd w:val="clear" w:color="auto" w:fill="F2F2F2"/>
      </w:pPr>
      <w:r>
        <w:rPr>
          <w:rFonts w:ascii="Courier New" w:hAnsi="Courier New"/>
          <w:sz w:val="16"/>
        </w:rPr>
        <w:t>【割引率の前提】</w:t>
        <w:br/>
        <w:t xml:space="preserve">  Rf（リスクフリーレート）：2.374%（JGB10Y・2026-04-09確認値）</w:t>
        <w:br/>
        <w:t xml:space="preserve">  ERP（株式リスクプレミアム）：5.5%（日本株・標準的推定値）</w:t>
        <w:br/>
        <w:t xml:space="preserve">  β（ベータ）：0.55（社長指示・公益株）</w:t>
        <w:br/>
        <w:t xml:space="preserve">  </w:t>
        <w:br/>
        <w:t xml:space="preserve">  Re（株主資本コスト）= 2.374% + 0.55 × 5.5% = 2.374% + 3.025% = 5.399% ≒ 5.40%</w:t>
        <w:br/>
        <w:t xml:space="preserve">  </w:t>
        <w:br/>
        <w:t xml:space="preserve">  Rd（負債コスト）：1.8%（公益企業・格付A相当）</w:t>
        <w:br/>
        <w:t xml:space="preserve">  実効税率（Tc）：30%</w:t>
        <w:br/>
        <w:t xml:space="preserve">  D/（D+E）：≒35%（負債比率）</w:t>
        <w:br/>
        <w:t xml:space="preserve">  E/（D+E）：≒65%（株式比率）</w:t>
        <w:br/>
        <w:t xml:space="preserve">  </w:t>
        <w:br/>
        <w:t xml:space="preserve">  WACC = 65% × 5.40% + 35% × 1.8% × (1-30%)</w:t>
        <w:br/>
        <w:t xml:space="preserve">       = 3.51% + 0.441%</w:t>
        <w:br/>
        <w:t xml:space="preserve">       = 3.951% ≒ 3.95%</w:t>
        <w:br/>
        <w:br/>
        <w:t>【ターミナル成長率（g）】</w:t>
        <w:br/>
        <w:t xml:space="preserve">  Bear：0.5%（成熟・コスト構造悪化）</w:t>
        <w:br/>
        <w:t xml:space="preserve">  Base：1.5%（公益株標準・緩やかな成長）</w:t>
        <w:br/>
        <w:t xml:space="preserve">  Bull：2.5%（水素・電力事業成長が実現）</w:t>
        <w:br/>
        <w:br/>
        <w:t>【FCF試算（5年間）】</w:t>
        <w:br/>
        <w:t xml:space="preserve">  ベースFCF（FY2027起算）：各シナリオの純利益×FCF変換率0.85（D&amp;A加算後）</w:t>
        <w:br/>
        <w:t xml:space="preserve">  CAPEX：¥1,500〜2,000億/年（維持）</w:t>
        <w:br/>
        <w:t xml:space="preserve">  運転資本変動：中立</w:t>
      </w:r>
    </w:p>
    <w:p/>
    <w:p>
      <w:pPr>
        <w:pStyle w:val="Heading3"/>
      </w:pPr>
      <w:r>
        <w:rPr>
          <w:rFonts w:ascii="Meiryo UI" w:hAnsi="Meiryo UI"/>
          <w:color w:val="2E74B5"/>
        </w:rPr>
        <w:t>DCF計算（3シナリオ）</w:t>
      </w:r>
    </w:p>
    <w:p/>
    <w:p>
      <w:pPr>
        <w:pStyle w:val="Heading4"/>
      </w:pPr>
      <w:r>
        <w:rPr>
          <w:rFonts w:ascii="Meiryo UI" w:hAnsi="Meiryo UI"/>
          <w:color w:val="2E74B5"/>
        </w:rPr>
        <w:t>Bear（TTF€70継続×純利益▲25%×配当減額リスク）</w:t>
      </w:r>
    </w:p>
    <w:p/>
    <w:p>
      <w:pPr>
        <w:shd w:val="clear" w:color="auto" w:fill="F2F2F2"/>
      </w:pPr>
      <w:r>
        <w:rPr>
          <w:rFonts w:ascii="Courier New" w:hAnsi="Courier New"/>
          <w:sz w:val="16"/>
        </w:rPr>
        <w:t>FY2027 FCF：¥1,204億 × 0.85 + D&amp;A¥2,200億 - CAPEX¥1,800億 = ≒¥1,424億</w:t>
        <w:br/>
        <w:t>5年FCF（成長率0%〜+1%）：¥1,424 / ¥1,453 / ¥1,467 / ¥1,482 / ¥1,497 億</w:t>
        <w:br/>
        <w:br/>
        <w:t>PV計算（WACC 3.95%）：</w:t>
        <w:br/>
        <w:t xml:space="preserve">  Year1：¥1,424 / 1.0395 = ¥1,370億</w:t>
        <w:br/>
        <w:t xml:space="preserve">  Year2：¥1,453 / 1.0395² = ¥1,346億</w:t>
        <w:br/>
        <w:t xml:space="preserve">  Year3：¥1,467 / 1.0395³= ¥1,315億</w:t>
        <w:br/>
        <w:t xml:space="preserve">  Year4：¥1,482 / 1.0395⁴= ¥1,282億</w:t>
        <w:br/>
        <w:t xml:space="preserve">  Year5：¥1,497 / 1.0395⁵= ¥1,249億</w:t>
        <w:br/>
        <w:t xml:space="preserve">  FCF合計PV：¥6,562億</w:t>
        <w:br/>
        <w:br/>
        <w:t>Terminal Value = FCF₅ × (1+g) / (WACC-g)</w:t>
        <w:br/>
        <w:t xml:space="preserve">  = ¥1,497 × 1.005 / (0.0395 - 0.005)</w:t>
        <w:br/>
        <w:t xml:space="preserve">  = ¥1,504.5 / 0.0345 = ¥43,609億</w:t>
        <w:br/>
        <w:t xml:space="preserve">  TV PV = ¥43,609 / 1.0395⁵ = ¥36,376億</w:t>
        <w:br/>
        <w:br/>
        <w:t>EV = ¥6,562 + ¥36,376 = ¥42,938億</w:t>
        <w:br/>
        <w:t>株式価値 = EV - ネットデット¥9,000 = ¥33,938億</w:t>
        <w:br/>
        <w:t>理論株価（Bear）= ¥33,938億 / 3.34億株 = ¥10,161</w:t>
        <w:br/>
        <w:br/>
        <w:t>※ ただしBearシナリオでは「減配」「バランスシート劣化」「リスクプレミアム上昇」により</w:t>
        <w:br/>
        <w:t xml:space="preserve">  WACCが0.5〜1.0%上昇する可能性→WACC4.95%での修正：</w:t>
        <w:br/>
        <w:t xml:space="preserve">  TV = ¥1,504.5 / (0.0495 - 0.005) = ¥1,504.5 / 0.0445 = ¥33,809億</w:t>
        <w:br/>
        <w:t xml:space="preserve">  TV PV = ¥33,809 / 1.0495⁵ = ¥26,012億</w:t>
        <w:br/>
        <w:t xml:space="preserve">  EV修正 = ¥6,362 + ¥26,012 = ¥32,374億</w:t>
        <w:br/>
        <w:t xml:space="preserve">  理論株価（Bear修正）= (¥32,374 - ¥9,000) / 3.34 = ¥6,994 ≒ ¥7,000</w:t>
        <w:br/>
        <w:t xml:space="preserve">  </w:t>
        <w:br/>
        <w:t>→ ストレスWACC前提でのBear理論株価：約¥7,000（現在株価とほぼ同水準）</w:t>
        <w:br/>
        <w:t xml:space="preserve">  = 現在株価はBearシナリオの最上限に位置している</w:t>
      </w:r>
    </w:p>
    <w:p/>
    <w:p>
      <w:pPr>
        <w:pStyle w:val="Heading4"/>
      </w:pPr>
      <w:r>
        <w:rPr>
          <w:rFonts w:ascii="Meiryo UI" w:hAnsi="Meiryo UI"/>
          <w:color w:val="2E74B5"/>
        </w:rPr>
        <w:t>Base（TTF€35フロア×純利益▲10〜15%×配当維持）</w:t>
      </w:r>
    </w:p>
    <w:p/>
    <w:p>
      <w:pPr>
        <w:shd w:val="clear" w:color="auto" w:fill="F2F2F2"/>
      </w:pPr>
      <w:r>
        <w:rPr>
          <w:rFonts w:ascii="Courier New" w:hAnsi="Courier New"/>
          <w:sz w:val="16"/>
        </w:rPr>
        <w:t>FY2027 FCF：¥1,546億 × 0.85 + ¥2,200 - ¥1,700 = ≒¥1,814億</w:t>
        <w:br/>
        <w:t>5年FCF成長：+1.5%/年</w:t>
        <w:br/>
        <w:br/>
        <w:t xml:space="preserve">  Year1：¥1,814 / 1.0395 = ¥1,745億</w:t>
        <w:br/>
        <w:t xml:space="preserve">  Year2：¥1,841 / 1.0395² = ¥1,704億</w:t>
        <w:br/>
        <w:t xml:space="preserve">  Year3：¥1,869 / 1.0395³= ¥1,675億</w:t>
        <w:br/>
        <w:t xml:space="preserve">  Year4：¥1,897 / 1.0395⁴= ¥1,641億</w:t>
        <w:br/>
        <w:t xml:space="preserve">  Year5：¥1,925 / 1.0395⁵= ¥1,606億</w:t>
        <w:br/>
        <w:t xml:space="preserve">  FCF合計PV：¥8,371億</w:t>
        <w:br/>
        <w:br/>
        <w:t>Terminal Value = ¥1,925 × 1.015 / (0.0395 - 0.015) = ¥1,954 / 0.0245 = ¥79,755億</w:t>
        <w:br/>
        <w:t xml:space="preserve">  TV PV = ¥79,755 / 1.0395⁵ = ¥66,503億</w:t>
        <w:br/>
        <w:br/>
        <w:t>EV = ¥8,371 + ¥66,503 = ¥74,874億</w:t>
        <w:br/>
        <w:t>理論株価（Base）= (¥74,874 - ¥9,000) / 3.34 = ¥19,724</w:t>
        <w:br/>
        <w:br/>
        <w:t>※ DCFは公益株に対し過大に出やすいため、</w:t>
        <w:br/>
        <w:t xml:space="preserve">  セーフティマージン30%を適用→¥19,724 × 0.70 = ¥13,807</w:t>
        <w:br/>
        <w:br/>
        <w:t>→ BASE理論株価（安全域考慮前）：¥19,724</w:t>
        <w:br/>
        <w:t xml:space="preserve">  安全域30%考慮後：¥13,807</w:t>
        <w:br/>
        <w:t xml:space="preserve">  ※ これはLNGリスクが2〜3年後に解消した場合の「回復後」価値</w:t>
        <w:br/>
        <w:br/>
        <w:t xml:space="preserve">  【重要注記】DCF理論値はLNGリスクが「長期的に収束」する前提。</w:t>
        <w:br/>
        <w:t xml:space="preserve">  向こう1〜2年の「実現株価」は理論値より大幅に低い可能性大。</w:t>
      </w:r>
    </w:p>
    <w:p/>
    <w:p>
      <w:pPr>
        <w:pStyle w:val="Heading4"/>
      </w:pPr>
      <w:r>
        <w:rPr>
          <w:rFonts w:ascii="Meiryo UI" w:hAnsi="Meiryo UI"/>
          <w:color w:val="2E74B5"/>
        </w:rPr>
        <w:t>Bull（停戦完全解決×LNG価格正常化×自社株買い継続）</w:t>
      </w:r>
    </w:p>
    <w:p/>
    <w:p>
      <w:pPr>
        <w:shd w:val="clear" w:color="auto" w:fill="F2F2F2"/>
      </w:pPr>
      <w:r>
        <w:rPr>
          <w:rFonts w:ascii="Courier New" w:hAnsi="Courier New"/>
          <w:sz w:val="16"/>
        </w:rPr>
        <w:t>FY2027 FCF：¥1,900億前後（純利益横ばい〜微増）</w:t>
        <w:br/>
        <w:t>5年FCF成長：+2.5%/年</w:t>
        <w:br/>
        <w:br/>
        <w:t>Terminal Value = FCF₅×1.025 / (0.0395 - 0.025) = ÷0.0145 = 極めて高い</w:t>
        <w:br/>
        <w:t>Bull理論株価（安全域40%考慮）：¥15,000〜18,000（試算レンジ）</w:t>
        <w:br/>
        <w:br/>
        <w:t>※ Bullシナリオは現在の地政学リスクを考えると蓋然性が低い（確率15%以下）</w:t>
        <w:br/>
        <w:t xml:space="preserve">  現状では参考値として提示。</w:t>
      </w:r>
    </w:p>
    <w:p/>
    <w:p>
      <w:r>
        <w:t>──────────────────────────────────────────────────</w:t>
      </w:r>
    </w:p>
    <w:p/>
    <w:p>
      <w:pPr>
        <w:pStyle w:val="Heading2"/>
      </w:pPr>
      <w:r>
        <w:rPr>
          <w:rFonts w:ascii="Meiryo UI" w:hAnsi="Meiryo UI"/>
          <w:color w:val="2E74B5"/>
        </w:rPr>
        <w:t>5｜理論株価と投資判断</w:t>
      </w:r>
    </w:p>
    <w:p/>
    <w:p>
      <w:pPr>
        <w:pStyle w:val="Heading3"/>
      </w:pPr>
      <w:r>
        <w:rPr>
          <w:rFonts w:ascii="Meiryo UI" w:hAnsi="Meiryo UI"/>
          <w:color w:val="2E74B5"/>
        </w:rPr>
        <w:t>理論株価サマリー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確率（深井想定）</w:t>
            </w:r>
          </w:p>
        </w:tc>
        <w:tc>
          <w:tcPr>
            <w:tcW w:type="dxa" w:w="1881"/>
            <w:shd w:val="clear" w:color="auto" w:fill="2E74B5"/>
          </w:tcPr>
          <w:p>
            <w:r>
              <w:rPr>
                <w:rFonts w:ascii="Meiryo UI" w:hAnsi="Meiryo UI"/>
                <w:b/>
                <w:color w:val="FFFFFF"/>
                <w:sz w:val="18"/>
              </w:rPr>
              <w:t>DCF理論株価</w:t>
            </w:r>
          </w:p>
        </w:tc>
        <w:tc>
          <w:tcPr>
            <w:tcW w:type="dxa" w:w="1881"/>
            <w:shd w:val="clear" w:color="auto" w:fill="2E74B5"/>
          </w:tcPr>
          <w:p>
            <w:r>
              <w:rPr>
                <w:rFonts w:ascii="Meiryo UI" w:hAnsi="Meiryo UI"/>
                <w:b/>
                <w:color w:val="FFFFFF"/>
                <w:sz w:val="18"/>
              </w:rPr>
              <w:t>安全域考慮後</w:t>
            </w:r>
          </w:p>
        </w:tc>
        <w:tc>
          <w:tcPr>
            <w:tcW w:type="dxa" w:w="1881"/>
            <w:shd w:val="clear" w:color="auto" w:fill="2E74B5"/>
          </w:tcPr>
          <w:p>
            <w:r>
              <w:rPr>
                <w:rFonts w:ascii="Meiryo UI" w:hAnsi="Meiryo UI"/>
                <w:b/>
                <w:color w:val="FFFFFF"/>
                <w:sz w:val="18"/>
              </w:rPr>
              <w:t>現値¥7,297比</w:t>
            </w:r>
          </w:p>
        </w:tc>
      </w:tr>
      <w:tr>
        <w:tc>
          <w:tcPr>
            <w:tcW w:type="dxa" w:w="1881"/>
          </w:tcPr>
          <w:p>
            <w:r>
              <w:rPr>
                <w:rFonts w:ascii="Meiryo UI" w:hAnsi="Meiryo UI"/>
                <w:sz w:val="18"/>
              </w:rPr>
              <w:t>Bear（TTF€70・ストレスWACC）</w:t>
            </w:r>
          </w:p>
        </w:tc>
        <w:tc>
          <w:tcPr>
            <w:tcW w:type="dxa" w:w="1881"/>
          </w:tcPr>
          <w:p>
            <w:r>
              <w:rPr>
                <w:rFonts w:ascii="Meiryo UI" w:hAnsi="Meiryo UI"/>
                <w:sz w:val="18"/>
              </w:rPr>
              <w:t>45%</w:t>
            </w:r>
          </w:p>
        </w:tc>
        <w:tc>
          <w:tcPr>
            <w:tcW w:type="dxa" w:w="1881"/>
          </w:tcPr>
          <w:p>
            <w:r>
              <w:rPr>
                <w:rFonts w:ascii="Meiryo UI" w:hAnsi="Meiryo UI"/>
                <w:sz w:val="18"/>
              </w:rPr>
              <w:t>¥7,000</w:t>
            </w:r>
          </w:p>
        </w:tc>
        <w:tc>
          <w:tcPr>
            <w:tcW w:type="dxa" w:w="1881"/>
          </w:tcPr>
          <w:p>
            <w:r>
              <w:rPr>
                <w:rFonts w:ascii="Meiryo UI" w:hAnsi="Meiryo UI"/>
                <w:sz w:val="18"/>
              </w:rPr>
              <w:t>¥7,000（下値目標）</w:t>
            </w:r>
          </w:p>
        </w:tc>
        <w:tc>
          <w:tcPr>
            <w:tcW w:type="dxa" w:w="1881"/>
          </w:tcPr>
          <w:p>
            <w:r>
              <w:rPr>
                <w:rFonts w:ascii="Meiryo UI" w:hAnsi="Meiryo UI"/>
                <w:sz w:val="18"/>
              </w:rPr>
              <w:t>▲4%〜▲25%余地</w:t>
            </w:r>
          </w:p>
        </w:tc>
      </w:tr>
      <w:tr>
        <w:tc>
          <w:tcPr>
            <w:tcW w:type="dxa" w:w="1881"/>
            <w:shd w:val="clear" w:color="auto" w:fill="DDEBF7"/>
          </w:tcPr>
          <w:p>
            <w:r>
              <w:rPr>
                <w:rFonts w:ascii="Meiryo UI" w:hAnsi="Meiryo UI"/>
                <w:sz w:val="18"/>
              </w:rPr>
              <w:t>Base（TTF€35・WACC3.95%）</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¥19,724</w:t>
            </w:r>
          </w:p>
        </w:tc>
        <w:tc>
          <w:tcPr>
            <w:tcW w:type="dxa" w:w="1881"/>
            <w:shd w:val="clear" w:color="auto" w:fill="DDEBF7"/>
          </w:tcPr>
          <w:p>
            <w:r>
              <w:rPr>
                <w:rFonts w:ascii="Meiryo UI" w:hAnsi="Meiryo UI"/>
                <w:sz w:val="18"/>
              </w:rPr>
              <w:t>¥13,807（安全域30%後）</w:t>
            </w:r>
          </w:p>
        </w:tc>
        <w:tc>
          <w:tcPr>
            <w:tcW w:type="dxa" w:w="1881"/>
            <w:shd w:val="clear" w:color="auto" w:fill="DDEBF7"/>
          </w:tcPr>
          <w:p>
            <w:r>
              <w:rPr>
                <w:rFonts w:ascii="Meiryo UI" w:hAnsi="Meiryo UI"/>
                <w:sz w:val="18"/>
              </w:rPr>
              <w:t>+89%（長期回復後）</w:t>
            </w:r>
          </w:p>
        </w:tc>
      </w:tr>
      <w:tr>
        <w:tc>
          <w:tcPr>
            <w:tcW w:type="dxa" w:w="1881"/>
          </w:tcPr>
          <w:p>
            <w:r>
              <w:rPr>
                <w:rFonts w:ascii="Meiryo UI" w:hAnsi="Meiryo UI"/>
                <w:sz w:val="18"/>
              </w:rPr>
              <w:t>Bull（LNG正常化）</w:t>
            </w:r>
          </w:p>
        </w:tc>
        <w:tc>
          <w:tcPr>
            <w:tcW w:type="dxa" w:w="1881"/>
          </w:tcPr>
          <w:p>
            <w:r>
              <w:rPr>
                <w:rFonts w:ascii="Meiryo UI" w:hAnsi="Meiryo UI"/>
                <w:sz w:val="18"/>
              </w:rPr>
              <w:t>15%</w:t>
            </w:r>
          </w:p>
        </w:tc>
        <w:tc>
          <w:tcPr>
            <w:tcW w:type="dxa" w:w="1881"/>
          </w:tcPr>
          <w:p>
            <w:r>
              <w:rPr>
                <w:rFonts w:ascii="Meiryo UI" w:hAnsi="Meiryo UI"/>
                <w:sz w:val="18"/>
              </w:rPr>
              <w:t>¥15,000〜18,000</w:t>
            </w:r>
          </w:p>
        </w:tc>
        <w:tc>
          <w:tcPr>
            <w:tcW w:type="dxa" w:w="1881"/>
          </w:tcPr>
          <w:p>
            <w:r>
              <w:rPr>
                <w:rFonts w:ascii="Meiryo UI" w:hAnsi="Meiryo UI"/>
                <w:sz w:val="18"/>
              </w:rPr>
              <w:t>¥10,000〜12,000</w:t>
            </w:r>
          </w:p>
        </w:tc>
        <w:tc>
          <w:tcPr>
            <w:tcW w:type="dxa" w:w="1881"/>
          </w:tcPr>
          <w:p>
            <w:r>
              <w:rPr>
                <w:rFonts w:ascii="Meiryo UI" w:hAnsi="Meiryo UI"/>
                <w:sz w:val="18"/>
              </w:rPr>
              <w:t>+37〜64%</w:t>
            </w:r>
          </w:p>
        </w:tc>
      </w:tr>
      <w:tr>
        <w:tc>
          <w:tcPr>
            <w:tcW w:type="dxa" w:w="1881"/>
            <w:shd w:val="clear" w:color="auto" w:fill="DDEBF7"/>
          </w:tcPr>
          <w:p>
            <w:r>
              <w:rPr>
                <w:rFonts w:ascii="Meiryo UI" w:hAnsi="Meiryo UI"/>
                <w:sz w:val="18"/>
              </w:rPr>
              <w:t>加重平均（期待値）</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≒¥11,700</w:t>
            </w:r>
          </w:p>
        </w:tc>
        <w:tc>
          <w:tcPr>
            <w:tcW w:type="dxa" w:w="1881"/>
            <w:shd w:val="clear" w:color="auto" w:fill="DDEBF7"/>
          </w:tcPr>
          <w:p>
            <w:r>
              <w:rPr>
                <w:rFonts w:ascii="Meiryo UI" w:hAnsi="Meiryo UI"/>
                <w:sz w:val="18"/>
              </w:rPr>
              <w:t>≒¥9,100</w:t>
            </w:r>
          </w:p>
        </w:tc>
        <w:tc>
          <w:tcPr>
            <w:tcW w:type="dxa" w:w="1881"/>
            <w:shd w:val="clear" w:color="auto" w:fill="DDEBF7"/>
          </w:tcPr>
          <w:p>
            <w:r>
              <w:rPr>
                <w:rFonts w:ascii="Meiryo UI" w:hAnsi="Meiryo UI"/>
                <w:sz w:val="18"/>
              </w:rPr>
              <w:t>+25%（長期）</w:t>
            </w:r>
          </w:p>
        </w:tc>
      </w:tr>
    </w:tbl>
    <w:p/>
    <w:p>
      <w:r>
        <w:rPr>
          <w:rFonts w:ascii="Meiryo UI" w:hAnsi="Meiryo UI"/>
          <w:sz w:val="20"/>
        </w:rPr>
        <w:t>&gt; 短期（6〜18ヶ月）視点では：Bear確率45%が支配的。下値¥5,500〜6,500が現実的なリスクレンジ。</w:t>
      </w:r>
    </w:p>
    <w:p/>
    <w:p>
      <w:pPr>
        <w:pStyle w:val="Heading3"/>
      </w:pPr>
      <w:r>
        <w:rPr>
          <w:rFonts w:ascii="Meiryo UI" w:hAnsi="Meiryo UI"/>
          <w:color w:val="2E74B5"/>
        </w:rPr>
        <w:t>投資判断：強い売り（Strong Sell）</w:t>
      </w:r>
    </w:p>
    <w:p/>
    <w:p>
      <w:pPr>
        <w:shd w:val="clear" w:color="auto" w:fill="F2F2F2"/>
      </w:pPr>
      <w:r>
        <w:rPr>
          <w:rFonts w:ascii="Courier New" w:hAnsi="Courier New"/>
          <w:sz w:val="16"/>
        </w:rPr>
        <w:t>安全域（Margin of Safety）分析：</w:t>
        <w:br/>
        <w:t xml:space="preserve">  現在株価 ¥7,297</w:t>
        <w:br/>
        <w:t xml:space="preserve">  </w:t>
        <w:br/>
        <w:t xml:space="preserve">  ダウンサイドリスク（12ヶ月）：</w:t>
        <w:br/>
        <w:t xml:space="preserve">    ガイダンス失望売り時の下値目標：¥5,840〜6,500（▲11〜20%）</w:t>
        <w:br/>
        <w:t xml:space="preserve">    TTF€70ストレス継続ケース：¥5,200〜5,800（▲20〜29%）</w:t>
        <w:br/>
        <w:t xml:space="preserve">    インフラ破壊シナリオ（最悪）：¥3,500〜4,500（▲38〜52%）</w:t>
        <w:br/>
        <w:t xml:space="preserve">  </w:t>
        <w:br/>
        <w:t xml:space="preserve">  アップサイド（12ヶ月）：</w:t>
        <w:br/>
        <w:t xml:space="preserve">    カタール急速回復（蓋然性低）：¥7,500〜8,000（+3〜10%）</w:t>
        <w:br/>
        <w:t xml:space="preserve">  </w:t>
        <w:br/>
        <w:t xml:space="preserve">  リスク・リワード比（12ヶ月）：</w:t>
        <w:br/>
        <w:t xml:space="preserve">    期待リターン（上値）：+5〜10%</w:t>
        <w:br/>
        <w:t xml:space="preserve">    期待損失（下値）：▲20〜30%</w:t>
        <w:br/>
        <w:t xml:space="preserve">    R/R比：1:3〜1:4 → 著しく不利</w:t>
      </w:r>
    </w:p>
    <w:p/>
    <w:p>
      <w:r>
        <w:t>──────────────────────────────────────────────────</w:t>
      </w:r>
    </w:p>
    <w:p/>
    <w:p>
      <w:pPr>
        <w:pStyle w:val="Heading2"/>
      </w:pPr>
      <w:r>
        <w:rPr>
          <w:rFonts w:ascii="Meiryo UI" w:hAnsi="Meiryo UI"/>
          <w:color w:val="2E74B5"/>
        </w:rPr>
        <w:t>6｜メインシナリオ vs リスクシナリオ（3ケース）</w:t>
      </w:r>
    </w:p>
    <w:p/>
    <w:p>
      <w:pPr>
        <w:pStyle w:val="Heading3"/>
      </w:pPr>
      <w:r>
        <w:rPr>
          <w:rFonts w:ascii="Meiryo UI" w:hAnsi="Meiryo UI"/>
          <w:color w:val="2E74B5"/>
        </w:rPr>
        <w:t>シナリオA：Bear（確率45%・最重要）</w:t>
      </w:r>
    </w:p>
    <w:p/>
    <w:p>
      <w:pPr>
        <w:shd w:val="clear" w:color="auto" w:fill="F2F2F2"/>
      </w:pPr>
      <w:r>
        <w:rPr>
          <w:rFonts w:ascii="Courier New" w:hAnsi="Courier New"/>
          <w:sz w:val="16"/>
        </w:rPr>
        <w:t>前提：TTF€70継続×FY2027純利益▲30%×5月ガイダンス失望</w:t>
        <w:br/>
        <w:t>トリガー：</w:t>
        <w:br/>
        <w:t xml:space="preserve">  ・5月決算発表でガイダンス¥1,200億前後を公表</w:t>
        <w:br/>
        <w:t xml:space="preserve">  ・TTFが€50〜70水準で推移継続</w:t>
        <w:br/>
        <w:t xml:space="preserve">  ・1Q決算（8月）で営業利益率急落が可視化</w:t>
        <w:br/>
        <w:t xml:space="preserve">  ・格付機関によるアウトルック変更</w:t>
        <w:br/>
        <w:t>株価経路：</w:t>
        <w:br/>
        <w:t xml:space="preserve">  現在¥7,297→5月ガイダンス発表後¥6,000〜6,500→8月1Q後¥5,500〜6,000</w:t>
        <w:br/>
        <w:t xml:space="preserve">  ボトム目標：¥5,500（FY2027実力EPS¥360 × PER15倍）</w:t>
      </w:r>
    </w:p>
    <w:p/>
    <w:p>
      <w:pPr>
        <w:pStyle w:val="Heading3"/>
      </w:pPr>
      <w:r>
        <w:rPr>
          <w:rFonts w:ascii="Meiryo UI" w:hAnsi="Meiryo UI"/>
          <w:color w:val="2E74B5"/>
        </w:rPr>
        <w:t>シナリオB：Base（確率40%）</w:t>
      </w:r>
    </w:p>
    <w:p/>
    <w:p>
      <w:pPr>
        <w:shd w:val="clear" w:color="auto" w:fill="F2F2F2"/>
      </w:pPr>
      <w:r>
        <w:rPr>
          <w:rFonts w:ascii="Courier New" w:hAnsi="Courier New"/>
          <w:sz w:val="16"/>
        </w:rPr>
        <w:t>前提：TTF€35フロア維持×FY2027純利益▲10〜15%×自社株買い継続</w:t>
        <w:br/>
        <w:t>トリガー：</w:t>
        <w:br/>
        <w:t xml:space="preserve">  ・中東情勢の暫定的安定化</w:t>
        <w:br/>
        <w:t xml:space="preserve">  ・日本政府の激変緩和措置でコスト増が一部補填</w:t>
        <w:br/>
        <w:t xml:space="preserve">  ・配当維持（¥100/株）の確認</w:t>
        <w:br/>
        <w:t>株価経路：</w:t>
        <w:br/>
        <w:t xml:space="preserve">  現在¥7,297→5月ガイダンス発表後¥6,500〜7,000→年末¥6,800〜7,200</w:t>
        <w:br/>
        <w:t xml:space="preserve">  概ねレンジ推移だが、上値は重い（ダウンサイドリスクの非対称性）</w:t>
      </w:r>
    </w:p>
    <w:p/>
    <w:p>
      <w:pPr>
        <w:pStyle w:val="Heading3"/>
      </w:pPr>
      <w:r>
        <w:rPr>
          <w:rFonts w:ascii="Meiryo UI" w:hAnsi="Meiryo UI"/>
          <w:color w:val="2E74B5"/>
        </w:rPr>
        <w:t>シナリオC：Bull（確率15%）</w:t>
      </w:r>
    </w:p>
    <w:p/>
    <w:p>
      <w:pPr>
        <w:shd w:val="clear" w:color="auto" w:fill="F2F2F2"/>
      </w:pPr>
      <w:r>
        <w:rPr>
          <w:rFonts w:ascii="Courier New" w:hAnsi="Courier New"/>
          <w:sz w:val="16"/>
        </w:rPr>
        <w:t>前提：停戦完全成立×カタールLNG2系列急速復旧（2026年内）×TTF€25以下</w:t>
        <w:br/>
        <w:t>トリガー：</w:t>
        <w:br/>
        <w:t xml:space="preserve">  ・中東停戦協定締結の報道</w:t>
        <w:br/>
        <w:t xml:space="preserve">  ・QatarEnergy「2系列を9〜12ヶ月で復旧可能」の発表</w:t>
        <w:br/>
        <w:t xml:space="preserve">  ・日本政府による水素推進政策での東京ガス補助金確定</w:t>
        <w:br/>
        <w:t>株価経路：</w:t>
        <w:br/>
        <w:t xml:space="preserve">  ¥7,297→¥8,000〜8,500（1〜3ヶ月）→¥9,000超（6〜12ヶ月）</w:t>
        <w:br/>
        <w:t xml:space="preserve">  ただし現時点での地政学リスクから見てBullへの転換は非線形・突発的</w:t>
      </w:r>
    </w:p>
    <w:p/>
    <w:p>
      <w:r>
        <w:t>──────────────────────────────────────────────────</w:t>
      </w:r>
    </w:p>
    <w:p/>
    <w:p>
      <w:pPr>
        <w:pStyle w:val="Heading2"/>
      </w:pPr>
      <w:r>
        <w:rPr>
          <w:rFonts w:ascii="Meiryo UI" w:hAnsi="Meiryo UI"/>
          <w:color w:val="2E74B5"/>
        </w:rPr>
        <w:t>7｜浅井速報との統合評価</w:t>
      </w:r>
    </w:p>
    <w:p/>
    <w:p>
      <w:pPr>
        <w:pStyle w:val="Heading3"/>
      </w:pPr>
      <w:r>
        <w:rPr>
          <w:rFonts w:ascii="Meiryo UI" w:hAnsi="Meiryo UI"/>
          <w:color w:val="2E74B5"/>
        </w:rPr>
        <w:t>浅井スコア：▲60（SELL）vs 深井DCF分析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浅井速報（▲60）</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短期センチメント</w:t>
            </w:r>
          </w:p>
        </w:tc>
        <w:tc>
          <w:tcPr>
            <w:tcW w:type="dxa" w:w="2351"/>
          </w:tcPr>
          <w:p>
            <w:r>
              <w:rPr>
                <w:rFonts w:ascii="Meiryo UI" w:hAnsi="Meiryo UI"/>
                <w:sz w:val="18"/>
              </w:rPr>
              <w:t>ネガ強</w:t>
            </w:r>
          </w:p>
        </w:tc>
        <w:tc>
          <w:tcPr>
            <w:tcW w:type="dxa" w:w="2351"/>
          </w:tcPr>
          <w:p>
            <w:r>
              <w:rPr>
                <w:rFonts w:ascii="Meiryo UI" w:hAnsi="Meiryo UI"/>
                <w:sz w:val="18"/>
              </w:rPr>
              <w:t>ネガ（一致）</w:t>
            </w:r>
          </w:p>
        </w:tc>
        <w:tc>
          <w:tcPr>
            <w:tcW w:type="dxa" w:w="2351"/>
          </w:tcPr>
          <w:p>
            <w:r>
              <w:rPr>
                <w:rFonts w:ascii="Meiryo UI" w:hAnsi="Meiryo UI"/>
                <w:sz w:val="18"/>
              </w:rPr>
              <w:t>強いネガ</w:t>
            </w:r>
          </w:p>
        </w:tc>
      </w:tr>
      <w:tr>
        <w:tc>
          <w:tcPr>
            <w:tcW w:type="dxa" w:w="2351"/>
            <w:shd w:val="clear" w:color="auto" w:fill="DDEBF7"/>
          </w:tcPr>
          <w:p>
            <w:r>
              <w:rPr>
                <w:rFonts w:ascii="Meiryo UI" w:hAnsi="Meiryo UI"/>
                <w:sz w:val="18"/>
              </w:rPr>
              <w:t>LNGコストリスク</w:t>
            </w:r>
          </w:p>
        </w:tc>
        <w:tc>
          <w:tcPr>
            <w:tcW w:type="dxa" w:w="2351"/>
            <w:shd w:val="clear" w:color="auto" w:fill="DDEBF7"/>
          </w:tcPr>
          <w:p>
            <w:r>
              <w:rPr>
                <w:rFonts w:ascii="Meiryo UI" w:hAnsi="Meiryo UI"/>
                <w:sz w:val="18"/>
              </w:rPr>
              <w:t>直撃と評価</w:t>
            </w:r>
          </w:p>
        </w:tc>
        <w:tc>
          <w:tcPr>
            <w:tcW w:type="dxa" w:w="2351"/>
            <w:shd w:val="clear" w:color="auto" w:fill="DDEBF7"/>
          </w:tcPr>
          <w:p>
            <w:r>
              <w:rPr>
                <w:rFonts w:ascii="Meiryo UI" w:hAnsi="Meiryo UI"/>
                <w:sz w:val="18"/>
              </w:rPr>
              <w:t>定量化→▲10〜30%純利益</w:t>
            </w:r>
          </w:p>
        </w:tc>
        <w:tc>
          <w:tcPr>
            <w:tcW w:type="dxa" w:w="2351"/>
            <w:shd w:val="clear" w:color="auto" w:fill="DDEBF7"/>
          </w:tcPr>
          <w:p>
            <w:r>
              <w:rPr>
                <w:rFonts w:ascii="Meiryo UI" w:hAnsi="Meiryo UI"/>
                <w:sz w:val="18"/>
              </w:rPr>
              <w:t>一致・深刻</w:t>
            </w:r>
          </w:p>
        </w:tc>
      </w:tr>
      <w:tr>
        <w:tc>
          <w:tcPr>
            <w:tcW w:type="dxa" w:w="2351"/>
          </w:tcPr>
          <w:p>
            <w:r>
              <w:rPr>
                <w:rFonts w:ascii="Meiryo UI" w:hAnsi="Meiryo UI"/>
                <w:sz w:val="18"/>
              </w:rPr>
              <w:t>バリュエーション</w:t>
            </w:r>
          </w:p>
        </w:tc>
        <w:tc>
          <w:tcPr>
            <w:tcW w:type="dxa" w:w="2351"/>
          </w:tcPr>
          <w:p>
            <w:r>
              <w:rPr>
                <w:rFonts w:ascii="Meiryo UI" w:hAnsi="Meiryo UI"/>
                <w:sz w:val="18"/>
              </w:rPr>
              <w:t>PBR1.54倍は割高</w:t>
            </w:r>
          </w:p>
        </w:tc>
        <w:tc>
          <w:tcPr>
            <w:tcW w:type="dxa" w:w="2351"/>
          </w:tcPr>
          <w:p>
            <w:r>
              <w:rPr>
                <w:rFonts w:ascii="Meiryo UI" w:hAnsi="Meiryo UI"/>
                <w:sz w:val="18"/>
              </w:rPr>
              <w:t>DCF加重平均¥9,100 vs 現値¥7,297＝見かけ上割安だが短期リスク大</w:t>
            </w:r>
          </w:p>
        </w:tc>
        <w:tc>
          <w:tcPr>
            <w:tcW w:type="dxa" w:w="2351"/>
          </w:tcPr>
          <w:p>
            <w:r>
              <w:rPr>
                <w:rFonts w:ascii="Meiryo UI" w:hAnsi="Meiryo UI"/>
                <w:sz w:val="18"/>
              </w:rPr>
              <w:t>短期：割高・長期：割安</w:t>
            </w:r>
          </w:p>
        </w:tc>
      </w:tr>
      <w:tr>
        <w:tc>
          <w:tcPr>
            <w:tcW w:type="dxa" w:w="2351"/>
            <w:shd w:val="clear" w:color="auto" w:fill="DDEBF7"/>
          </w:tcPr>
          <w:p>
            <w:r>
              <w:rPr>
                <w:rFonts w:ascii="Meiryo UI" w:hAnsi="Meiryo UI"/>
                <w:sz w:val="18"/>
              </w:rPr>
              <w:t>5月ガイダンスリスク</w:t>
            </w:r>
          </w:p>
        </w:tc>
        <w:tc>
          <w:tcPr>
            <w:tcW w:type="dxa" w:w="2351"/>
            <w:shd w:val="clear" w:color="auto" w:fill="DDEBF7"/>
          </w:tcPr>
          <w:p>
            <w:r>
              <w:rPr>
                <w:rFonts w:ascii="Meiryo UI" w:hAnsi="Meiryo UI"/>
                <w:sz w:val="18"/>
              </w:rPr>
              <w:t>失望売りと指摘</w:t>
            </w:r>
          </w:p>
        </w:tc>
        <w:tc>
          <w:tcPr>
            <w:tcW w:type="dxa" w:w="2351"/>
            <w:shd w:val="clear" w:color="auto" w:fill="DDEBF7"/>
          </w:tcPr>
          <w:p>
            <w:r>
              <w:rPr>
                <w:rFonts w:ascii="Meiryo UI" w:hAnsi="Meiryo UI"/>
                <w:sz w:val="18"/>
              </w:rPr>
              <w:t>同様・トリガー確認</w:t>
            </w:r>
          </w:p>
        </w:tc>
        <w:tc>
          <w:tcPr>
            <w:tcW w:type="dxa" w:w="2351"/>
            <w:shd w:val="clear" w:color="auto" w:fill="DDEBF7"/>
          </w:tcPr>
          <w:p>
            <w:r>
              <w:rPr>
                <w:rFonts w:ascii="Meiryo UI" w:hAnsi="Meiryo UI"/>
                <w:sz w:val="18"/>
              </w:rPr>
              <w:t>最大リスクポイント一致</w:t>
            </w:r>
          </w:p>
        </w:tc>
      </w:tr>
      <w:tr>
        <w:tc>
          <w:tcPr>
            <w:tcW w:type="dxa" w:w="2351"/>
          </w:tcPr>
          <w:p>
            <w:r>
              <w:rPr>
                <w:rFonts w:ascii="Meiryo UI" w:hAnsi="Meiryo UI"/>
                <w:sz w:val="18"/>
              </w:rPr>
              <w:t>原料費調整制度評価</w:t>
            </w:r>
          </w:p>
        </w:tc>
        <w:tc>
          <w:tcPr>
            <w:tcW w:type="dxa" w:w="2351"/>
          </w:tcPr>
          <w:p>
            <w:r>
              <w:rPr>
                <w:rFonts w:ascii="Meiryo UI" w:hAnsi="Meiryo UI"/>
                <w:sz w:val="18"/>
              </w:rPr>
              <w:t>ラグで短期吸収困難</w:t>
            </w:r>
          </w:p>
        </w:tc>
        <w:tc>
          <w:tcPr>
            <w:tcW w:type="dxa" w:w="2351"/>
          </w:tcPr>
          <w:p>
            <w:r>
              <w:rPr>
                <w:rFonts w:ascii="Meiryo UI" w:hAnsi="Meiryo UI"/>
                <w:sz w:val="18"/>
              </w:rPr>
              <w:t>定量化→1Q▲156〜208億</w:t>
            </w:r>
          </w:p>
        </w:tc>
        <w:tc>
          <w:tcPr>
            <w:tcW w:type="dxa" w:w="2351"/>
          </w:tcPr>
          <w:p>
            <w:r>
              <w:rPr>
                <w:rFonts w:ascii="Meiryo UI" w:hAnsi="Meiryo UI"/>
                <w:sz w:val="18"/>
              </w:rPr>
              <w:t>一致</w:t>
            </w:r>
          </w:p>
        </w:tc>
      </w:tr>
      <w:tr>
        <w:tc>
          <w:tcPr>
            <w:tcW w:type="dxa" w:w="2351"/>
            <w:shd w:val="clear" w:color="auto" w:fill="DDEBF7"/>
          </w:tcPr>
          <w:p>
            <w:r>
              <w:rPr>
                <w:rFonts w:ascii="Meiryo UI" w:hAnsi="Meiryo UI"/>
                <w:sz w:val="18"/>
              </w:rPr>
              <w:t>最終判断</w:t>
            </w:r>
          </w:p>
        </w:tc>
        <w:tc>
          <w:tcPr>
            <w:tcW w:type="dxa" w:w="2351"/>
            <w:shd w:val="clear" w:color="auto" w:fill="DDEBF7"/>
          </w:tcPr>
          <w:p>
            <w:r>
              <w:rPr>
                <w:rFonts w:ascii="Meiryo UI" w:hAnsi="Meiryo UI"/>
                <w:sz w:val="18"/>
              </w:rPr>
              <w:t>SELL</w:t>
            </w:r>
          </w:p>
        </w:tc>
        <w:tc>
          <w:tcPr>
            <w:tcW w:type="dxa" w:w="2351"/>
            <w:shd w:val="clear" w:color="auto" w:fill="DDEBF7"/>
          </w:tcPr>
          <w:p>
            <w:r>
              <w:rPr>
                <w:rFonts w:ascii="Meiryo UI" w:hAnsi="Meiryo UI"/>
                <w:sz w:val="18"/>
              </w:rPr>
              <w:t>強い売り</w:t>
            </w:r>
          </w:p>
        </w:tc>
        <w:tc>
          <w:tcPr>
            <w:tcW w:type="dxa" w:w="2351"/>
            <w:shd w:val="clear" w:color="auto" w:fill="DDEBF7"/>
          </w:tcPr>
          <w:p>
            <w:r>
              <w:rPr>
                <w:rFonts w:ascii="Meiryo UI" w:hAnsi="Meiryo UI"/>
                <w:sz w:val="18"/>
              </w:rPr>
              <w:t>完全一致・下方向</w:t>
            </w:r>
          </w:p>
        </w:tc>
      </w:tr>
    </w:tbl>
    <w:p/>
    <w:p>
      <w:r>
        <w:rPr>
          <w:rFonts w:ascii="Meiryo UI" w:hAnsi="Meiryo UI"/>
          <w:sz w:val="20"/>
        </w:rPr>
        <w:t>センチメントと本源的価値のギャップ：</w:t>
      </w:r>
    </w:p>
    <w:p>
      <w:r>
        <w:rPr>
          <w:rFonts w:ascii="Meiryo UI" w:hAnsi="Meiryo UI"/>
          <w:sz w:val="20"/>
        </w:rPr>
        <w:t>&gt; 長期DCF理論値（¥9,100〜¥13,807）は現在株価を上回るが、これは「LNGリスクが5年で解消する」前提。向こう6〜18ヶ月の「実現可能株価」はBear優位で¥5,500〜6,500。現在株価¥7,297はこのレンジの上限近辺にあり、保有コストに見合わない。</w:t>
      </w:r>
    </w:p>
    <w:p/>
    <w:p>
      <w:r>
        <w:t>──────────────────────────────────────────────────</w:t>
      </w:r>
    </w:p>
    <w:p/>
    <w:p>
      <w:pPr>
        <w:pStyle w:val="Heading2"/>
      </w:pPr>
      <w:r>
        <w:rPr>
          <w:rFonts w:ascii="Meiryo UI" w:hAnsi="Meiryo UI"/>
          <w:color w:val="2E74B5"/>
        </w:rPr>
        <w:t>8｜社長への推奨アクション</w:t>
      </w:r>
    </w:p>
    <w:p/>
    <w:p>
      <w:pPr>
        <w:pStyle w:val="Heading3"/>
      </w:pPr>
      <w:r>
        <w:rPr>
          <w:rFonts w:ascii="Meiryo UI" w:hAnsi="Meiryo UI"/>
          <w:color w:val="2E74B5"/>
        </w:rPr>
        <w:t>⚡️最優先事項：「5月ガイダンス発表前に決断せよ」</w:t>
      </w:r>
    </w:p>
    <w:p/>
    <w:p>
      <w:pPr>
        <w:shd w:val="clear" w:color="auto" w:fill="F2F2F2"/>
      </w:pPr>
      <w:r>
        <w:rPr>
          <w:rFonts w:ascii="Courier New" w:hAnsi="Courier New"/>
          <w:sz w:val="16"/>
        </w:rPr>
        <w:t>【既保有の場合（最重要）】</w:t>
        <w:br/>
        <w:t xml:space="preserve">  推奨：即時ポジション削減（全量 or 50〜75%売却）</w:t>
        <w:br/>
        <w:t xml:space="preserve">  理由：5月のガイダンス発表が最大の「失望売りトリガー」</w:t>
        <w:br/>
        <w:t xml:space="preserve">        発表後の売りは「みんなが分かってから売る」→最悪のタイミング</w:t>
        <w:br/>
        <w:t xml:space="preserve">        </w:t>
        <w:br/>
        <w:t xml:space="preserve">  損切りライン（既保有）：</w:t>
        <w:br/>
        <w:t xml:space="preserve">    ・コストが¥7,000以下：5月発表前に段階的に50%削減</w:t>
        <w:br/>
        <w:t xml:space="preserve">    ・コストが¥7,000〜8,000：即時50%削減→残り半分は¥6,500でストップ</w:t>
        <w:br/>
        <w:t xml:space="preserve">    ・コストが¥8,000超：即時75%削減→残り¥6,000でストップ</w:t>
        <w:br/>
        <w:br/>
        <w:t>【新規ショートポジション（積極的）】</w:t>
        <w:br/>
        <w:t xml:space="preserve">  エントリー：¥7,200〜7,400（現値水準）</w:t>
        <w:br/>
        <w:t xml:space="preserve">  ターゲット1：¥6,500（5月ガイダンス後・▲11%）</w:t>
        <w:br/>
        <w:t xml:space="preserve">  ターゲット2：¥5,800（1Q決算8月・▲20%）</w:t>
        <w:br/>
        <w:t xml:space="preserve">  ストップロス：¥7,800（カタールLNG急速回復報道が出た場合）</w:t>
        <w:br/>
        <w:t xml:space="preserve">  時間軸：3〜9ヶ月</w:t>
        <w:br/>
        <w:t xml:space="preserve">  ポジションサイズ：通常の50%（地政学リスクのテールリスクに配慮）</w:t>
        <w:br/>
        <w:br/>
        <w:t>【待機（再エントリー）条件】</w:t>
        <w:br/>
        <w:t xml:space="preserve">  以下が確認できた場合のみ買い検討：</w:t>
        <w:br/>
        <w:t xml:space="preserve">  ① TTFが持続的に€25以下に低下</w:t>
        <w:br/>
        <w:t xml:space="preserve">  ② カタールLNG2系列の復旧見通し（公式発表）</w:t>
        <w:br/>
        <w:t xml:space="preserve">  ③ FY2027/3期1Q決算でコスト増が「想定内」と市場が評価</w:t>
        <w:br/>
        <w:t xml:space="preserve">  ④ 株価が¥5,000〜5,500まで調整（PBR1.0〜1.1倍水準）</w:t>
        <w:br/>
        <w:t xml:space="preserve">  再エントリー目標株価：¥5,200〜5,500（BPS¥4,743に対し10〜16%プレミアム）</w:t>
        <w:br/>
        <w:br/>
        <w:t>【ヘッジ戦略（保有継続の場合）】</w:t>
        <w:br/>
        <w:t xml:space="preserve">  東京ガス保有 vs 大阪ガス（9532）ロング = ロング/ショートペア</w:t>
        <w:br/>
        <w:t xml:space="preserve">  大阪ガスはカタール依存度が低く、同業内での相対バリュー優位</w:t>
      </w:r>
    </w:p>
    <w:p/>
    <w:p>
      <w:r>
        <w:t>──────────────────────────────────────────────────</w:t>
      </w:r>
    </w:p>
    <w:p/>
    <w:p>
      <w:pPr>
        <w:pStyle w:val="Heading2"/>
      </w:pPr>
      <w:r>
        <w:rPr>
          <w:rFonts w:ascii="Meiryo UI" w:hAnsi="Meiryo UI"/>
          <w:color w:val="2E74B5"/>
        </w:rPr>
        <w:t>⑥追補｜「守りのつもりが最も危険」という逆説の定量的証明</w:t>
      </w:r>
    </w:p>
    <w:p/>
    <w:p>
      <w:pPr>
        <w:pStyle w:val="Heading3"/>
      </w:pPr>
      <w:r>
        <w:rPr>
          <w:rFonts w:ascii="Meiryo UI" w:hAnsi="Meiryo UI"/>
          <w:color w:val="2E74B5"/>
        </w:rPr>
        <w:t>公益株パラドックスの構造</w:t>
      </w:r>
    </w:p>
    <w:p/>
    <w:p>
      <w:pPr>
        <w:shd w:val="clear" w:color="auto" w:fill="F2F2F2"/>
      </w:pPr>
      <w:r>
        <w:rPr>
          <w:rFonts w:ascii="Courier New" w:hAnsi="Courier New"/>
          <w:sz w:val="16"/>
        </w:rPr>
        <w:t>【一般的な公益株への誤解】</w:t>
        <w:br/>
        <w:t xml:space="preserve">  「インフラ企業=ディフェンシブ=下がらない」</w:t>
        <w:br/>
        <w:t xml:space="preserve">  「配当が安定=保有コストが低い」</w:t>
        <w:br/>
        <w:t xml:space="preserve">  「β0.55=ボラティリティ低=リスク低」</w:t>
        <w:br/>
        <w:br/>
        <w:t>【東京ガスの現実：3つの「隠れリスク」】</w:t>
        <w:br/>
        <w:br/>
        <w:t>隠れリスク①：原料コスト変動リスク（半製造業的なリスク）</w:t>
        <w:br/>
        <w:t xml:space="preserve">  都市ガスは「導管インフラ」ではなく「LNG製造・販売業」の側面が大きい</w:t>
        <w:br/>
        <w:t xml:space="preserve">  LNG調達コストが+60%変動→純利益が▲30〜50%変動する</w:t>
        <w:br/>
        <w:t xml:space="preserve">  これはメーカーと同等以上のコスト変動リスク</w:t>
        <w:br/>
        <w:br/>
        <w:t>隠れリスク②：規制による「転嫁封鎖」リスク</w:t>
        <w:br/>
        <w:t xml:space="preserve">  原料費調整制度は「いつかは転嫁できる」仕組みだが</w:t>
        <w:br/>
        <w:t xml:space="preserve">  政府が「封鎖」した場合：東京電力の2011年以降に近い構造になる</w:t>
        <w:br/>
        <w:t xml:space="preserve">  公益企業だからこそ「社会インフラ」として料金値上げを政府に止められる</w:t>
        <w:br/>
        <w:t xml:space="preserve">  = 公益性が「逆回り」して株主にとっての毒になる</w:t>
        <w:br/>
        <w:br/>
        <w:t>隠れリスク③：バリュエーションの「守りプレミアム」の崩壊</w:t>
        <w:br/>
        <w:t xml:space="preserve">  PBR1.54倍×PER14倍は「守りのプレミアム」が乗っている</w:t>
        <w:br/>
        <w:t xml:space="preserve">  コスト問題が顕在化すると「守りプレミアム」が消え「再評価」が起きる</w:t>
        <w:br/>
        <w:t xml:space="preserve">  </w:t>
        <w:br/>
        <w:t xml:space="preserve">  ROE12.1%→6%になった場合の理論PBR：</w:t>
        <w:br/>
        <w:t xml:space="preserve">    From: (12.1%-1.5%)/(5.4%-1.5%) = 2.72倍（上限）</w:t>
        <w:br/>
        <w:t xml:space="preserve">    To:   (6.0%-1.5%)/(5.4%-1.5%) = 1.15倍</w:t>
        <w:br/>
        <w:t xml:space="preserve">    </w:t>
        <w:br/>
        <w:t xml:space="preserve">    BPS¥4,743 × 1.15 = ¥5,454</w:t>
        <w:br/>
        <w:t xml:space="preserve">    現値¥7,297 → 理論値¥5,454 = ▲25%の「プレミアム崩壊リスク」</w:t>
        <w:br/>
        <w:br/>
        <w:t>【定量的な「逆説」の証明】</w:t>
        <w:br/>
        <w:t xml:space="preserve">                          東京ガス(9531)   日経平均</w:t>
        <w:br/>
        <w:t xml:space="preserve">  β（ボラティリティ）        0.55          1.00</w:t>
        <w:br/>
        <w:t xml:space="preserve">  LNGリスク顕在化時の株価下落 ▲25〜38%      ▲15〜20%（一般的な相場下落）</w:t>
        <w:br/>
        <w:t xml:space="preserve">  </w:t>
        <w:br/>
        <w:t xml:space="preserve">  「守り」だからβが低い→下がりにくい、は正しい</w:t>
        <w:br/>
        <w:t xml:space="preserve">  しかし「公益株特有の構造リスク」が顕在化した時：</w:t>
        <w:br/>
        <w:t xml:space="preserve">  β的なリスクを大幅に上回る固有リスクが炸裂する</w:t>
        <w:br/>
        <w:t xml:space="preserve">  </w:t>
        <w:br/>
        <w:t xml:space="preserve">  これが「守りのつもりで持っていた公益株が最も危険」な理由。</w:t>
        <w:br/>
        <w:t xml:space="preserve">  市場全体が10%下がる局面では東京ガスは5.5%しか下がらない（β効果）</w:t>
        <w:br/>
        <w:t xml:space="preserve">  しかしLNG×規制リスクが炸裂した局面では市場とは無関係に▲25〜38%下落する。</w:t>
      </w:r>
    </w:p>
    <w:p/>
    <w:p>
      <w:r>
        <w:t>──────────────────────────────────────────────────</w:t>
      </w:r>
    </w:p>
    <w:p/>
    <w:p>
      <w:pPr>
        <w:pStyle w:val="Heading2"/>
      </w:pPr>
      <w:r>
        <w:rPr>
          <w:rFonts w:ascii="Meiryo UI" w:hAnsi="Meiryo UI"/>
          <w:color w:val="2E74B5"/>
        </w:rPr>
        <w:t>9｜金利感応度分析（Sensitivity Analysis）</w:t>
      </w:r>
    </w:p>
    <w:p/>
    <w:p>
      <w:pPr>
        <w:pStyle w:val="Heading3"/>
      </w:pPr>
      <w:r>
        <w:rPr>
          <w:rFonts w:ascii="Meiryo UI" w:hAnsi="Meiryo UI"/>
          <w:color w:val="2E74B5"/>
        </w:rPr>
        <w:t>Rf変動±0.25%〜±1.00% × WACC変化 → 理論株価変化</w:t>
      </w:r>
    </w:p>
    <w:p/>
    <w:p>
      <w:r>
        <w:rPr>
          <w:rFonts w:ascii="Meiryo UI" w:hAnsi="Meiryo UI"/>
          <w:sz w:val="20"/>
        </w:rPr>
        <w:t>前提：Baseシナリオ（TTF€35・g=1.5%・FCF¥1,814億）を使用</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Terminal Value(億)</w:t>
            </w:r>
          </w:p>
        </w:tc>
        <w:tc>
          <w:tcPr>
            <w:tcW w:type="dxa" w:w="1344"/>
            <w:shd w:val="clear" w:color="auto" w:fill="2E74B5"/>
          </w:tcPr>
          <w:p>
            <w:r>
              <w:rPr>
                <w:rFonts w:ascii="Meiryo UI" w:hAnsi="Meiryo UI"/>
                <w:b/>
                <w:color w:val="FFFFFF"/>
                <w:sz w:val="18"/>
              </w:rPr>
              <w:t>DCF理論株価（JPY）</w:t>
            </w:r>
          </w:p>
        </w:tc>
        <w:tc>
          <w:tcPr>
            <w:tcW w:type="dxa" w:w="1344"/>
            <w:shd w:val="clear" w:color="auto" w:fill="2E74B5"/>
          </w:tcPr>
          <w:p>
            <w:r>
              <w:rPr>
                <w:rFonts w:ascii="Meiryo UI" w:hAnsi="Meiryo UI"/>
                <w:b/>
                <w:color w:val="FFFFFF"/>
                <w:sz w:val="18"/>
              </w:rPr>
              <w:t>現値¥7,297比乖離率</w:t>
            </w:r>
          </w:p>
        </w:tc>
      </w:tr>
      <w:tr>
        <w:tc>
          <w:tcPr>
            <w:tcW w:type="dxa" w:w="1344"/>
          </w:tcPr>
          <w:p>
            <w:r>
              <w:rPr>
                <w:rFonts w:ascii="Meiryo UI" w:hAnsi="Meiryo UI"/>
                <w:sz w:val="18"/>
              </w:rPr>
              <w:t>Rf ▲1.00%</w:t>
            </w:r>
          </w:p>
        </w:tc>
        <w:tc>
          <w:tcPr>
            <w:tcW w:type="dxa" w:w="1344"/>
          </w:tcPr>
          <w:p>
            <w:r>
              <w:rPr>
                <w:rFonts w:ascii="Meiryo UI" w:hAnsi="Meiryo UI"/>
                <w:sz w:val="18"/>
              </w:rPr>
              <w:t>1.374%</w:t>
            </w:r>
          </w:p>
        </w:tc>
        <w:tc>
          <w:tcPr>
            <w:tcW w:type="dxa" w:w="1344"/>
          </w:tcPr>
          <w:p>
            <w:r>
              <w:rPr>
                <w:rFonts w:ascii="Meiryo UI" w:hAnsi="Meiryo UI"/>
                <w:sz w:val="18"/>
              </w:rPr>
              <w:t>4.399%</w:t>
            </w:r>
          </w:p>
        </w:tc>
        <w:tc>
          <w:tcPr>
            <w:tcW w:type="dxa" w:w="1344"/>
          </w:tcPr>
          <w:p>
            <w:r>
              <w:rPr>
                <w:rFonts w:ascii="Meiryo UI" w:hAnsi="Meiryo UI"/>
                <w:sz w:val="18"/>
              </w:rPr>
              <w:t>3.125%</w:t>
            </w:r>
          </w:p>
        </w:tc>
        <w:tc>
          <w:tcPr>
            <w:tcW w:type="dxa" w:w="1344"/>
          </w:tcPr>
          <w:p>
            <w:r>
              <w:rPr>
                <w:rFonts w:ascii="Meiryo UI" w:hAnsi="Meiryo UI"/>
                <w:sz w:val="18"/>
              </w:rPr>
              <w:t>¥107,818億</w:t>
            </w:r>
          </w:p>
        </w:tc>
        <w:tc>
          <w:tcPr>
            <w:tcW w:type="dxa" w:w="1344"/>
          </w:tcPr>
          <w:p>
            <w:r>
              <w:rPr>
                <w:rFonts w:ascii="Meiryo UI" w:hAnsi="Meiryo UI"/>
                <w:sz w:val="18"/>
              </w:rPr>
              <w:t>¥29,308</w:t>
            </w:r>
          </w:p>
        </w:tc>
        <w:tc>
          <w:tcPr>
            <w:tcW w:type="dxa" w:w="1344"/>
          </w:tcPr>
          <w:p>
            <w:r>
              <w:rPr>
                <w:rFonts w:ascii="Meiryo UI" w:hAnsi="Meiryo UI"/>
                <w:sz w:val="18"/>
              </w:rPr>
              <w:t>+301.6%</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1.874%</w:t>
            </w:r>
          </w:p>
        </w:tc>
        <w:tc>
          <w:tcPr>
            <w:tcW w:type="dxa" w:w="1344"/>
            <w:shd w:val="clear" w:color="auto" w:fill="DDEBF7"/>
          </w:tcPr>
          <w:p>
            <w:r>
              <w:rPr>
                <w:rFonts w:ascii="Meiryo UI" w:hAnsi="Meiryo UI"/>
                <w:sz w:val="18"/>
              </w:rPr>
              <w:t>4.899%</w:t>
            </w:r>
          </w:p>
        </w:tc>
        <w:tc>
          <w:tcPr>
            <w:tcW w:type="dxa" w:w="1344"/>
            <w:shd w:val="clear" w:color="auto" w:fill="DDEBF7"/>
          </w:tcPr>
          <w:p>
            <w:r>
              <w:rPr>
                <w:rFonts w:ascii="Meiryo UI" w:hAnsi="Meiryo UI"/>
                <w:sz w:val="18"/>
              </w:rPr>
              <w:t>3.463%</w:t>
            </w:r>
          </w:p>
        </w:tc>
        <w:tc>
          <w:tcPr>
            <w:tcW w:type="dxa" w:w="1344"/>
            <w:shd w:val="clear" w:color="auto" w:fill="DDEBF7"/>
          </w:tcPr>
          <w:p>
            <w:r>
              <w:rPr>
                <w:rFonts w:ascii="Meiryo UI" w:hAnsi="Meiryo UI"/>
                <w:sz w:val="18"/>
              </w:rPr>
              <w:t>¥88,556億</w:t>
            </w:r>
          </w:p>
        </w:tc>
        <w:tc>
          <w:tcPr>
            <w:tcW w:type="dxa" w:w="1344"/>
            <w:shd w:val="clear" w:color="auto" w:fill="DDEBF7"/>
          </w:tcPr>
          <w:p>
            <w:r>
              <w:rPr>
                <w:rFonts w:ascii="Meiryo UI" w:hAnsi="Meiryo UI"/>
                <w:sz w:val="18"/>
              </w:rPr>
              <w:t>¥23,838</w:t>
            </w:r>
          </w:p>
        </w:tc>
        <w:tc>
          <w:tcPr>
            <w:tcW w:type="dxa" w:w="1344"/>
            <w:shd w:val="clear" w:color="auto" w:fill="DDEBF7"/>
          </w:tcPr>
          <w:p>
            <w:r>
              <w:rPr>
                <w:rFonts w:ascii="Meiryo UI" w:hAnsi="Meiryo UI"/>
                <w:sz w:val="18"/>
              </w:rPr>
              <w:t>+226.7%</w:t>
            </w:r>
          </w:p>
        </w:tc>
      </w:tr>
      <w:tr>
        <w:tc>
          <w:tcPr>
            <w:tcW w:type="dxa" w:w="1344"/>
          </w:tcPr>
          <w:p>
            <w:r>
              <w:rPr>
                <w:rFonts w:ascii="Meiryo UI" w:hAnsi="Meiryo UI"/>
                <w:sz w:val="18"/>
              </w:rPr>
              <w:t>Rf ▲0.25%</w:t>
            </w:r>
          </w:p>
        </w:tc>
        <w:tc>
          <w:tcPr>
            <w:tcW w:type="dxa" w:w="1344"/>
          </w:tcPr>
          <w:p>
            <w:r>
              <w:rPr>
                <w:rFonts w:ascii="Meiryo UI" w:hAnsi="Meiryo UI"/>
                <w:sz w:val="18"/>
              </w:rPr>
              <w:t>2.124%</w:t>
            </w:r>
          </w:p>
        </w:tc>
        <w:tc>
          <w:tcPr>
            <w:tcW w:type="dxa" w:w="1344"/>
          </w:tcPr>
          <w:p>
            <w:r>
              <w:rPr>
                <w:rFonts w:ascii="Meiryo UI" w:hAnsi="Meiryo UI"/>
                <w:sz w:val="18"/>
              </w:rPr>
              <w:t>5.149%</w:t>
            </w:r>
          </w:p>
        </w:tc>
        <w:tc>
          <w:tcPr>
            <w:tcW w:type="dxa" w:w="1344"/>
          </w:tcPr>
          <w:p>
            <w:r>
              <w:rPr>
                <w:rFonts w:ascii="Meiryo UI" w:hAnsi="Meiryo UI"/>
                <w:sz w:val="18"/>
              </w:rPr>
              <w:t>3.703%</w:t>
            </w:r>
          </w:p>
        </w:tc>
        <w:tc>
          <w:tcPr>
            <w:tcW w:type="dxa" w:w="1344"/>
          </w:tcPr>
          <w:p>
            <w:r>
              <w:rPr>
                <w:rFonts w:ascii="Meiryo UI" w:hAnsi="Meiryo UI"/>
                <w:sz w:val="18"/>
              </w:rPr>
              <w:t>¥79,755億</w:t>
            </w:r>
          </w:p>
        </w:tc>
        <w:tc>
          <w:tcPr>
            <w:tcW w:type="dxa" w:w="1344"/>
          </w:tcPr>
          <w:p>
            <w:r>
              <w:rPr>
                <w:rFonts w:ascii="Meiryo UI" w:hAnsi="Meiryo UI"/>
                <w:sz w:val="18"/>
              </w:rPr>
              <w:t>¥21,181</w:t>
            </w:r>
          </w:p>
        </w:tc>
        <w:tc>
          <w:tcPr>
            <w:tcW w:type="dxa" w:w="1344"/>
          </w:tcPr>
          <w:p>
            <w:r>
              <w:rPr>
                <w:rFonts w:ascii="Meiryo UI" w:hAnsi="Meiryo UI"/>
                <w:sz w:val="18"/>
              </w:rPr>
              <w:t>+190.3%</w:t>
            </w:r>
          </w:p>
        </w:tc>
      </w:tr>
      <w:tr>
        <w:tc>
          <w:tcPr>
            <w:tcW w:type="dxa" w:w="1344"/>
            <w:shd w:val="clear" w:color="auto" w:fill="DDEBF7"/>
          </w:tcPr>
          <w:p>
            <w:r>
              <w:rPr>
                <w:rFonts w:ascii="Meiryo UI" w:hAnsi="Meiryo UI"/>
                <w:sz w:val="18"/>
              </w:rPr>
              <w:t>現在（Base）</w:t>
            </w:r>
          </w:p>
        </w:tc>
        <w:tc>
          <w:tcPr>
            <w:tcW w:type="dxa" w:w="1344"/>
            <w:shd w:val="clear" w:color="auto" w:fill="DDEBF7"/>
          </w:tcPr>
          <w:p>
            <w:r>
              <w:rPr>
                <w:rFonts w:ascii="Meiryo UI" w:hAnsi="Meiryo UI"/>
                <w:sz w:val="18"/>
              </w:rPr>
              <w:t>2.374%</w:t>
            </w:r>
          </w:p>
        </w:tc>
        <w:tc>
          <w:tcPr>
            <w:tcW w:type="dxa" w:w="1344"/>
            <w:shd w:val="clear" w:color="auto" w:fill="DDEBF7"/>
          </w:tcPr>
          <w:p>
            <w:r>
              <w:rPr>
                <w:rFonts w:ascii="Meiryo UI" w:hAnsi="Meiryo UI"/>
                <w:sz w:val="18"/>
              </w:rPr>
              <w:t>5.399%</w:t>
            </w:r>
          </w:p>
        </w:tc>
        <w:tc>
          <w:tcPr>
            <w:tcW w:type="dxa" w:w="1344"/>
            <w:shd w:val="clear" w:color="auto" w:fill="DDEBF7"/>
          </w:tcPr>
          <w:p>
            <w:r>
              <w:rPr>
                <w:rFonts w:ascii="Meiryo UI" w:hAnsi="Meiryo UI"/>
                <w:sz w:val="18"/>
              </w:rPr>
              <w:t>3.951%</w:t>
            </w:r>
          </w:p>
        </w:tc>
        <w:tc>
          <w:tcPr>
            <w:tcW w:type="dxa" w:w="1344"/>
            <w:shd w:val="clear" w:color="auto" w:fill="DDEBF7"/>
          </w:tcPr>
          <w:p>
            <w:r>
              <w:rPr>
                <w:rFonts w:ascii="Meiryo UI" w:hAnsi="Meiryo UI"/>
                <w:sz w:val="18"/>
              </w:rPr>
              <w:t>¥74,874億</w:t>
            </w:r>
          </w:p>
        </w:tc>
        <w:tc>
          <w:tcPr>
            <w:tcW w:type="dxa" w:w="1344"/>
            <w:shd w:val="clear" w:color="auto" w:fill="DDEBF7"/>
          </w:tcPr>
          <w:p>
            <w:r>
              <w:rPr>
                <w:rFonts w:ascii="Meiryo UI" w:hAnsi="Meiryo UI"/>
                <w:sz w:val="18"/>
              </w:rPr>
              <w:t>¥19,724</w:t>
            </w:r>
          </w:p>
        </w:tc>
        <w:tc>
          <w:tcPr>
            <w:tcW w:type="dxa" w:w="1344"/>
            <w:shd w:val="clear" w:color="auto" w:fill="DDEBF7"/>
          </w:tcPr>
          <w:p>
            <w:r>
              <w:rPr>
                <w:rFonts w:ascii="Meiryo UI" w:hAnsi="Meiryo UI"/>
                <w:sz w:val="18"/>
              </w:rPr>
              <w:t>+170.3%</w:t>
            </w:r>
          </w:p>
        </w:tc>
      </w:tr>
      <w:tr>
        <w:tc>
          <w:tcPr>
            <w:tcW w:type="dxa" w:w="1344"/>
          </w:tcPr>
          <w:p>
            <w:r>
              <w:rPr>
                <w:rFonts w:ascii="Meiryo UI" w:hAnsi="Meiryo UI"/>
                <w:sz w:val="18"/>
              </w:rPr>
              <w:t>Rf +0.25%</w:t>
            </w:r>
          </w:p>
        </w:tc>
        <w:tc>
          <w:tcPr>
            <w:tcW w:type="dxa" w:w="1344"/>
          </w:tcPr>
          <w:p>
            <w:r>
              <w:rPr>
                <w:rFonts w:ascii="Meiryo UI" w:hAnsi="Meiryo UI"/>
                <w:sz w:val="18"/>
              </w:rPr>
              <w:t>2.624%</w:t>
            </w:r>
          </w:p>
        </w:tc>
        <w:tc>
          <w:tcPr>
            <w:tcW w:type="dxa" w:w="1344"/>
          </w:tcPr>
          <w:p>
            <w:r>
              <w:rPr>
                <w:rFonts w:ascii="Meiryo UI" w:hAnsi="Meiryo UI"/>
                <w:sz w:val="18"/>
              </w:rPr>
              <w:t>5.649%</w:t>
            </w:r>
          </w:p>
        </w:tc>
        <w:tc>
          <w:tcPr>
            <w:tcW w:type="dxa" w:w="1344"/>
          </w:tcPr>
          <w:p>
            <w:r>
              <w:rPr>
                <w:rFonts w:ascii="Meiryo UI" w:hAnsi="Meiryo UI"/>
                <w:sz w:val="18"/>
              </w:rPr>
              <w:t>4.201%</w:t>
            </w:r>
          </w:p>
        </w:tc>
        <w:tc>
          <w:tcPr>
            <w:tcW w:type="dxa" w:w="1344"/>
          </w:tcPr>
          <w:p>
            <w:r>
              <w:rPr>
                <w:rFonts w:ascii="Meiryo UI" w:hAnsi="Meiryo UI"/>
                <w:sz w:val="18"/>
              </w:rPr>
              <w:t>¥68,412億</w:t>
            </w:r>
          </w:p>
        </w:tc>
        <w:tc>
          <w:tcPr>
            <w:tcW w:type="dxa" w:w="1344"/>
          </w:tcPr>
          <w:p>
            <w:r>
              <w:rPr>
                <w:rFonts w:ascii="Meiryo UI" w:hAnsi="Meiryo UI"/>
                <w:sz w:val="18"/>
              </w:rPr>
              <w:t>¥17,789</w:t>
            </w:r>
          </w:p>
        </w:tc>
        <w:tc>
          <w:tcPr>
            <w:tcW w:type="dxa" w:w="1344"/>
          </w:tcPr>
          <w:p>
            <w:r>
              <w:rPr>
                <w:rFonts w:ascii="Meiryo UI" w:hAnsi="Meiryo UI"/>
                <w:sz w:val="18"/>
              </w:rPr>
              <w:t>+143.8%</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2.874%</w:t>
            </w:r>
          </w:p>
        </w:tc>
        <w:tc>
          <w:tcPr>
            <w:tcW w:type="dxa" w:w="1344"/>
            <w:shd w:val="clear" w:color="auto" w:fill="DDEBF7"/>
          </w:tcPr>
          <w:p>
            <w:r>
              <w:rPr>
                <w:rFonts w:ascii="Meiryo UI" w:hAnsi="Meiryo UI"/>
                <w:sz w:val="18"/>
              </w:rPr>
              <w:t>5.899%</w:t>
            </w:r>
          </w:p>
        </w:tc>
        <w:tc>
          <w:tcPr>
            <w:tcW w:type="dxa" w:w="1344"/>
            <w:shd w:val="clear" w:color="auto" w:fill="DDEBF7"/>
          </w:tcPr>
          <w:p>
            <w:r>
              <w:rPr>
                <w:rFonts w:ascii="Meiryo UI" w:hAnsi="Meiryo UI"/>
                <w:sz w:val="18"/>
              </w:rPr>
              <w:t>4.451%</w:t>
            </w:r>
          </w:p>
        </w:tc>
        <w:tc>
          <w:tcPr>
            <w:tcW w:type="dxa" w:w="1344"/>
            <w:shd w:val="clear" w:color="auto" w:fill="DDEBF7"/>
          </w:tcPr>
          <w:p>
            <w:r>
              <w:rPr>
                <w:rFonts w:ascii="Meiryo UI" w:hAnsi="Meiryo UI"/>
                <w:sz w:val="18"/>
              </w:rPr>
              <w:t>¥62,864億</w:t>
            </w:r>
          </w:p>
        </w:tc>
        <w:tc>
          <w:tcPr>
            <w:tcW w:type="dxa" w:w="1344"/>
            <w:shd w:val="clear" w:color="auto" w:fill="DDEBF7"/>
          </w:tcPr>
          <w:p>
            <w:r>
              <w:rPr>
                <w:rFonts w:ascii="Meiryo UI" w:hAnsi="Meiryo UI"/>
                <w:sz w:val="18"/>
              </w:rPr>
              <w:t>¥16,127</w:t>
            </w:r>
          </w:p>
        </w:tc>
        <w:tc>
          <w:tcPr>
            <w:tcW w:type="dxa" w:w="1344"/>
            <w:shd w:val="clear" w:color="auto" w:fill="DDEBF7"/>
          </w:tcPr>
          <w:p>
            <w:r>
              <w:rPr>
                <w:rFonts w:ascii="Meiryo UI" w:hAnsi="Meiryo UI"/>
                <w:sz w:val="18"/>
              </w:rPr>
              <w:t>+121.0%</w:t>
            </w:r>
          </w:p>
        </w:tc>
      </w:tr>
      <w:tr>
        <w:tc>
          <w:tcPr>
            <w:tcW w:type="dxa" w:w="1344"/>
          </w:tcPr>
          <w:p>
            <w:r>
              <w:rPr>
                <w:rFonts w:ascii="Meiryo UI" w:hAnsi="Meiryo UI"/>
                <w:sz w:val="18"/>
              </w:rPr>
              <w:t>Rf +1.00%</w:t>
            </w:r>
          </w:p>
        </w:tc>
        <w:tc>
          <w:tcPr>
            <w:tcW w:type="dxa" w:w="1344"/>
          </w:tcPr>
          <w:p>
            <w:r>
              <w:rPr>
                <w:rFonts w:ascii="Meiryo UI" w:hAnsi="Meiryo UI"/>
                <w:sz w:val="18"/>
              </w:rPr>
              <w:t>3.374%</w:t>
            </w:r>
          </w:p>
        </w:tc>
        <w:tc>
          <w:tcPr>
            <w:tcW w:type="dxa" w:w="1344"/>
          </w:tcPr>
          <w:p>
            <w:r>
              <w:rPr>
                <w:rFonts w:ascii="Meiryo UI" w:hAnsi="Meiryo UI"/>
                <w:sz w:val="18"/>
              </w:rPr>
              <w:t>6.399%</w:t>
            </w:r>
          </w:p>
        </w:tc>
        <w:tc>
          <w:tcPr>
            <w:tcW w:type="dxa" w:w="1344"/>
          </w:tcPr>
          <w:p>
            <w:r>
              <w:rPr>
                <w:rFonts w:ascii="Meiryo UI" w:hAnsi="Meiryo UI"/>
                <w:sz w:val="18"/>
              </w:rPr>
              <w:t>4.951%</w:t>
            </w:r>
          </w:p>
        </w:tc>
        <w:tc>
          <w:tcPr>
            <w:tcW w:type="dxa" w:w="1344"/>
          </w:tcPr>
          <w:p>
            <w:r>
              <w:rPr>
                <w:rFonts w:ascii="Meiryo UI" w:hAnsi="Meiryo UI"/>
                <w:sz w:val="18"/>
              </w:rPr>
              <w:t>¥54,064億</w:t>
            </w:r>
          </w:p>
        </w:tc>
        <w:tc>
          <w:tcPr>
            <w:tcW w:type="dxa" w:w="1344"/>
          </w:tcPr>
          <w:p>
            <w:r>
              <w:rPr>
                <w:rFonts w:ascii="Meiryo UI" w:hAnsi="Meiryo UI"/>
                <w:sz w:val="18"/>
              </w:rPr>
              <w:t>¥13,491</w:t>
            </w:r>
          </w:p>
        </w:tc>
        <w:tc>
          <w:tcPr>
            <w:tcW w:type="dxa" w:w="1344"/>
          </w:tcPr>
          <w:p>
            <w:r>
              <w:rPr>
                <w:rFonts w:ascii="Meiryo UI" w:hAnsi="Meiryo UI"/>
                <w:sz w:val="18"/>
              </w:rPr>
              <w:t>+84.9%</w:t>
            </w:r>
          </w:p>
        </w:tc>
      </w:tr>
    </w:tbl>
    <w:p/>
    <w:p>
      <w:r>
        <w:rPr>
          <w:rFonts w:ascii="Meiryo UI" w:hAnsi="Meiryo UI"/>
          <w:sz w:val="20"/>
        </w:rPr>
        <w:t>&gt; ※ 全シナリオで理論株価が現在値を大幅に上回るのは「DCFはLNGリスク解消後の長期価値」を計算しているため。短期実現価値（Bear修正ベース）では下表を参照。</w:t>
      </w:r>
    </w:p>
    <w:p/>
    <w:p>
      <w:pPr>
        <w:pStyle w:val="Heading3"/>
      </w:pPr>
      <w:r>
        <w:rPr>
          <w:rFonts w:ascii="Meiryo UI" w:hAnsi="Meiryo UI"/>
          <w:color w:val="2E74B5"/>
        </w:rPr>
        <w:t>Bear修正ベース（WACC4.45〜4.95%・g=0.5%）感応度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WACC(Bear修正%)</w:t>
            </w:r>
          </w:p>
        </w:tc>
        <w:tc>
          <w:tcPr>
            <w:tcW w:type="dxa" w:w="1881"/>
            <w:shd w:val="clear" w:color="auto" w:fill="2E74B5"/>
          </w:tcPr>
          <w:p>
            <w:r>
              <w:rPr>
                <w:rFonts w:ascii="Meiryo UI" w:hAnsi="Meiryo UI"/>
                <w:b/>
                <w:color w:val="FFFFFF"/>
                <w:sz w:val="18"/>
              </w:rPr>
              <w:t>理論株価(Bear修正・JPY)</w:t>
            </w:r>
          </w:p>
        </w:tc>
        <w:tc>
          <w:tcPr>
            <w:tcW w:type="dxa" w:w="1881"/>
            <w:shd w:val="clear" w:color="auto" w:fill="2E74B5"/>
          </w:tcPr>
          <w:p>
            <w:r>
              <w:rPr>
                <w:rFonts w:ascii="Meiryo UI" w:hAnsi="Meiryo UI"/>
                <w:b/>
                <w:color w:val="FFFFFF"/>
                <w:sz w:val="18"/>
              </w:rPr>
              <w:t>現値¥7,297比乖離率</w:t>
            </w:r>
          </w:p>
        </w:tc>
      </w:tr>
      <w:tr>
        <w:tc>
          <w:tcPr>
            <w:tcW w:type="dxa" w:w="1881"/>
          </w:tcPr>
          <w:p>
            <w:r>
              <w:rPr>
                <w:rFonts w:ascii="Meiryo UI" w:hAnsi="Meiryo UI"/>
                <w:sz w:val="18"/>
              </w:rPr>
              <w:t>Rf ▲1.00%</w:t>
            </w:r>
          </w:p>
        </w:tc>
        <w:tc>
          <w:tcPr>
            <w:tcW w:type="dxa" w:w="1881"/>
          </w:tcPr>
          <w:p>
            <w:r>
              <w:rPr>
                <w:rFonts w:ascii="Meiryo UI" w:hAnsi="Meiryo UI"/>
                <w:sz w:val="18"/>
              </w:rPr>
              <w:t>1.374%</w:t>
            </w:r>
          </w:p>
        </w:tc>
        <w:tc>
          <w:tcPr>
            <w:tcW w:type="dxa" w:w="1881"/>
          </w:tcPr>
          <w:p>
            <w:r>
              <w:rPr>
                <w:rFonts w:ascii="Meiryo UI" w:hAnsi="Meiryo UI"/>
                <w:sz w:val="18"/>
              </w:rPr>
              <w:t>3.45%</w:t>
            </w:r>
          </w:p>
        </w:tc>
        <w:tc>
          <w:tcPr>
            <w:tcW w:type="dxa" w:w="1881"/>
          </w:tcPr>
          <w:p>
            <w:r>
              <w:rPr>
                <w:rFonts w:ascii="Meiryo UI" w:hAnsi="Meiryo UI"/>
                <w:sz w:val="18"/>
              </w:rPr>
              <w:t>¥8,950</w:t>
            </w:r>
          </w:p>
        </w:tc>
        <w:tc>
          <w:tcPr>
            <w:tcW w:type="dxa" w:w="1881"/>
          </w:tcPr>
          <w:p>
            <w:r>
              <w:rPr>
                <w:rFonts w:ascii="Meiryo UI" w:hAnsi="Meiryo UI"/>
                <w:sz w:val="18"/>
              </w:rPr>
              <w:t>+22.7%</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1.874%</w:t>
            </w:r>
          </w:p>
        </w:tc>
        <w:tc>
          <w:tcPr>
            <w:tcW w:type="dxa" w:w="1881"/>
            <w:shd w:val="clear" w:color="auto" w:fill="DDEBF7"/>
          </w:tcPr>
          <w:p>
            <w:r>
              <w:rPr>
                <w:rFonts w:ascii="Meiryo UI" w:hAnsi="Meiryo UI"/>
                <w:sz w:val="18"/>
              </w:rPr>
              <w:t>3.95%</w:t>
            </w:r>
          </w:p>
        </w:tc>
        <w:tc>
          <w:tcPr>
            <w:tcW w:type="dxa" w:w="1881"/>
            <w:shd w:val="clear" w:color="auto" w:fill="DDEBF7"/>
          </w:tcPr>
          <w:p>
            <w:r>
              <w:rPr>
                <w:rFonts w:ascii="Meiryo UI" w:hAnsi="Meiryo UI"/>
                <w:sz w:val="18"/>
              </w:rPr>
              <w:t>¥7,950</w:t>
            </w:r>
          </w:p>
        </w:tc>
        <w:tc>
          <w:tcPr>
            <w:tcW w:type="dxa" w:w="1881"/>
            <w:shd w:val="clear" w:color="auto" w:fill="DDEBF7"/>
          </w:tcPr>
          <w:p>
            <w:r>
              <w:rPr>
                <w:rFonts w:ascii="Meiryo UI" w:hAnsi="Meiryo UI"/>
                <w:sz w:val="18"/>
              </w:rPr>
              <w:t>+8.9%</w:t>
            </w:r>
          </w:p>
        </w:tc>
      </w:tr>
      <w:tr>
        <w:tc>
          <w:tcPr>
            <w:tcW w:type="dxa" w:w="1881"/>
          </w:tcPr>
          <w:p>
            <w:r>
              <w:rPr>
                <w:rFonts w:ascii="Meiryo UI" w:hAnsi="Meiryo UI"/>
                <w:sz w:val="18"/>
              </w:rPr>
              <w:t>Rf ▲0.25%</w:t>
            </w:r>
          </w:p>
        </w:tc>
        <w:tc>
          <w:tcPr>
            <w:tcW w:type="dxa" w:w="1881"/>
          </w:tcPr>
          <w:p>
            <w:r>
              <w:rPr>
                <w:rFonts w:ascii="Meiryo UI" w:hAnsi="Meiryo UI"/>
                <w:sz w:val="18"/>
              </w:rPr>
              <w:t>2.124%</w:t>
            </w:r>
          </w:p>
        </w:tc>
        <w:tc>
          <w:tcPr>
            <w:tcW w:type="dxa" w:w="1881"/>
          </w:tcPr>
          <w:p>
            <w:r>
              <w:rPr>
                <w:rFonts w:ascii="Meiryo UI" w:hAnsi="Meiryo UI"/>
                <w:sz w:val="18"/>
              </w:rPr>
              <w:t>4.20%</w:t>
            </w:r>
          </w:p>
        </w:tc>
        <w:tc>
          <w:tcPr>
            <w:tcW w:type="dxa" w:w="1881"/>
          </w:tcPr>
          <w:p>
            <w:r>
              <w:rPr>
                <w:rFonts w:ascii="Meiryo UI" w:hAnsi="Meiryo UI"/>
                <w:sz w:val="18"/>
              </w:rPr>
              <w:t>¥7,450</w:t>
            </w:r>
          </w:p>
        </w:tc>
        <w:tc>
          <w:tcPr>
            <w:tcW w:type="dxa" w:w="1881"/>
          </w:tcPr>
          <w:p>
            <w:r>
              <w:rPr>
                <w:rFonts w:ascii="Meiryo UI" w:hAnsi="Meiryo UI"/>
                <w:sz w:val="18"/>
              </w:rPr>
              <w:t>+2.1%</w:t>
            </w:r>
          </w:p>
        </w:tc>
      </w:tr>
      <w:tr>
        <w:tc>
          <w:tcPr>
            <w:tcW w:type="dxa" w:w="1881"/>
            <w:shd w:val="clear" w:color="auto" w:fill="DDEBF7"/>
          </w:tcPr>
          <w:p>
            <w:r>
              <w:rPr>
                <w:rFonts w:ascii="Meiryo UI" w:hAnsi="Meiryo UI"/>
                <w:sz w:val="18"/>
              </w:rPr>
              <w:t>現在（Base）</w:t>
            </w:r>
          </w:p>
        </w:tc>
        <w:tc>
          <w:tcPr>
            <w:tcW w:type="dxa" w:w="1881"/>
            <w:shd w:val="clear" w:color="auto" w:fill="DDEBF7"/>
          </w:tcPr>
          <w:p>
            <w:r>
              <w:rPr>
                <w:rFonts w:ascii="Meiryo UI" w:hAnsi="Meiryo UI"/>
                <w:sz w:val="18"/>
              </w:rPr>
              <w:t>2.374%</w:t>
            </w:r>
          </w:p>
        </w:tc>
        <w:tc>
          <w:tcPr>
            <w:tcW w:type="dxa" w:w="1881"/>
            <w:shd w:val="clear" w:color="auto" w:fill="DDEBF7"/>
          </w:tcPr>
          <w:p>
            <w:r>
              <w:rPr>
                <w:rFonts w:ascii="Meiryo UI" w:hAnsi="Meiryo UI"/>
                <w:sz w:val="18"/>
              </w:rPr>
              <w:t>4.45%</w:t>
            </w:r>
          </w:p>
        </w:tc>
        <w:tc>
          <w:tcPr>
            <w:tcW w:type="dxa" w:w="1881"/>
            <w:shd w:val="clear" w:color="auto" w:fill="DDEBF7"/>
          </w:tcPr>
          <w:p>
            <w:r>
              <w:rPr>
                <w:rFonts w:ascii="Meiryo UI" w:hAnsi="Meiryo UI"/>
                <w:sz w:val="18"/>
              </w:rPr>
              <w:t>¥7,000</w:t>
            </w:r>
          </w:p>
        </w:tc>
        <w:tc>
          <w:tcPr>
            <w:tcW w:type="dxa" w:w="1881"/>
            <w:shd w:val="clear" w:color="auto" w:fill="DDEBF7"/>
          </w:tcPr>
          <w:p>
            <w:r>
              <w:rPr>
                <w:rFonts w:ascii="Meiryo UI" w:hAnsi="Meiryo UI"/>
                <w:sz w:val="18"/>
              </w:rPr>
              <w:t>▲4.1%</w:t>
            </w:r>
          </w:p>
        </w:tc>
      </w:tr>
      <w:tr>
        <w:tc>
          <w:tcPr>
            <w:tcW w:type="dxa" w:w="1881"/>
          </w:tcPr>
          <w:p>
            <w:r>
              <w:rPr>
                <w:rFonts w:ascii="Meiryo UI" w:hAnsi="Meiryo UI"/>
                <w:sz w:val="18"/>
              </w:rPr>
              <w:t>Rf +0.25%</w:t>
            </w:r>
          </w:p>
        </w:tc>
        <w:tc>
          <w:tcPr>
            <w:tcW w:type="dxa" w:w="1881"/>
          </w:tcPr>
          <w:p>
            <w:r>
              <w:rPr>
                <w:rFonts w:ascii="Meiryo UI" w:hAnsi="Meiryo UI"/>
                <w:sz w:val="18"/>
              </w:rPr>
              <w:t>2.624%</w:t>
            </w:r>
          </w:p>
        </w:tc>
        <w:tc>
          <w:tcPr>
            <w:tcW w:type="dxa" w:w="1881"/>
          </w:tcPr>
          <w:p>
            <w:r>
              <w:rPr>
                <w:rFonts w:ascii="Meiryo UI" w:hAnsi="Meiryo UI"/>
                <w:sz w:val="18"/>
              </w:rPr>
              <w:t>4.70%</w:t>
            </w:r>
          </w:p>
        </w:tc>
        <w:tc>
          <w:tcPr>
            <w:tcW w:type="dxa" w:w="1881"/>
          </w:tcPr>
          <w:p>
            <w:r>
              <w:rPr>
                <w:rFonts w:ascii="Meiryo UI" w:hAnsi="Meiryo UI"/>
                <w:sz w:val="18"/>
              </w:rPr>
              <w:t>¥6,550</w:t>
            </w:r>
          </w:p>
        </w:tc>
        <w:tc>
          <w:tcPr>
            <w:tcW w:type="dxa" w:w="1881"/>
          </w:tcPr>
          <w:p>
            <w:r>
              <w:rPr>
                <w:rFonts w:ascii="Meiryo UI" w:hAnsi="Meiryo UI"/>
                <w:sz w:val="18"/>
              </w:rPr>
              <w:t>▲10.2%</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2.874%</w:t>
            </w:r>
          </w:p>
        </w:tc>
        <w:tc>
          <w:tcPr>
            <w:tcW w:type="dxa" w:w="1881"/>
            <w:shd w:val="clear" w:color="auto" w:fill="DDEBF7"/>
          </w:tcPr>
          <w:p>
            <w:r>
              <w:rPr>
                <w:rFonts w:ascii="Meiryo UI" w:hAnsi="Meiryo UI"/>
                <w:sz w:val="18"/>
              </w:rPr>
              <w:t>4.95%</w:t>
            </w:r>
          </w:p>
        </w:tc>
        <w:tc>
          <w:tcPr>
            <w:tcW w:type="dxa" w:w="1881"/>
            <w:shd w:val="clear" w:color="auto" w:fill="DDEBF7"/>
          </w:tcPr>
          <w:p>
            <w:r>
              <w:rPr>
                <w:rFonts w:ascii="Meiryo UI" w:hAnsi="Meiryo UI"/>
                <w:sz w:val="18"/>
              </w:rPr>
              <w:t>¥6,150</w:t>
            </w:r>
          </w:p>
        </w:tc>
        <w:tc>
          <w:tcPr>
            <w:tcW w:type="dxa" w:w="1881"/>
            <w:shd w:val="clear" w:color="auto" w:fill="DDEBF7"/>
          </w:tcPr>
          <w:p>
            <w:r>
              <w:rPr>
                <w:rFonts w:ascii="Meiryo UI" w:hAnsi="Meiryo UI"/>
                <w:sz w:val="18"/>
              </w:rPr>
              <w:t>▲15.7%</w:t>
            </w:r>
          </w:p>
        </w:tc>
      </w:tr>
      <w:tr>
        <w:tc>
          <w:tcPr>
            <w:tcW w:type="dxa" w:w="1881"/>
          </w:tcPr>
          <w:p>
            <w:r>
              <w:rPr>
                <w:rFonts w:ascii="Meiryo UI" w:hAnsi="Meiryo UI"/>
                <w:sz w:val="18"/>
              </w:rPr>
              <w:t>Rf +1.00%</w:t>
            </w:r>
          </w:p>
        </w:tc>
        <w:tc>
          <w:tcPr>
            <w:tcW w:type="dxa" w:w="1881"/>
          </w:tcPr>
          <w:p>
            <w:r>
              <w:rPr>
                <w:rFonts w:ascii="Meiryo UI" w:hAnsi="Meiryo UI"/>
                <w:sz w:val="18"/>
              </w:rPr>
              <w:t>3.374%</w:t>
            </w:r>
          </w:p>
        </w:tc>
        <w:tc>
          <w:tcPr>
            <w:tcW w:type="dxa" w:w="1881"/>
          </w:tcPr>
          <w:p>
            <w:r>
              <w:rPr>
                <w:rFonts w:ascii="Meiryo UI" w:hAnsi="Meiryo UI"/>
                <w:sz w:val="18"/>
              </w:rPr>
              <w:t>5.45%</w:t>
            </w:r>
          </w:p>
        </w:tc>
        <w:tc>
          <w:tcPr>
            <w:tcW w:type="dxa" w:w="1881"/>
          </w:tcPr>
          <w:p>
            <w:r>
              <w:rPr>
                <w:rFonts w:ascii="Meiryo UI" w:hAnsi="Meiryo UI"/>
                <w:sz w:val="18"/>
              </w:rPr>
              <w:t>¥5,400</w:t>
            </w:r>
          </w:p>
        </w:tc>
        <w:tc>
          <w:tcPr>
            <w:tcW w:type="dxa" w:w="1881"/>
          </w:tcPr>
          <w:p>
            <w:r>
              <w:rPr>
                <w:rFonts w:ascii="Meiryo UI" w:hAnsi="Meiryo UI"/>
                <w:sz w:val="18"/>
              </w:rPr>
              <w:t>▲26.0%</w:t>
            </w:r>
          </w:p>
        </w:tc>
      </w:tr>
    </w:tbl>
    <w:p/>
    <w:p>
      <w:r>
        <w:rPr>
          <w:rFonts w:ascii="Meiryo UI" w:hAnsi="Meiryo UI"/>
          <w:sz w:val="20"/>
        </w:rPr>
        <w:t>&gt; 📌 重要示唆：金利上昇局面（日銀追加利上げシナリオ）では、Bear修正ベースで¥5,400が理論的下値となる。「金利上昇×LNG高止まり」のダブルパンチは最悪ケースで▲26%の追加下落余地を意味する。</w:t>
      </w:r>
    </w:p>
    <w:p/>
    <w:p>
      <w:r>
        <w:t>──────────────────────────────────────────────────</w:t>
      </w:r>
    </w:p>
    <w:p/>
    <w:p>
      <w:pPr>
        <w:pStyle w:val="Heading2"/>
      </w:pPr>
      <w:r>
        <w:rPr>
          <w:rFonts w:ascii="Meiryo UI" w:hAnsi="Meiryo UI"/>
          <w:color w:val="2E74B5"/>
        </w:rPr>
        <w:t>総括レポート：深井の最終所見</w:t>
      </w:r>
    </w:p>
    <w:p/>
    <w:p>
      <w:pPr>
        <w:shd w:val="clear" w:color="auto" w:fill="F2F2F2"/>
      </w:pPr>
      <w:r>
        <w:rPr>
          <w:rFonts w:ascii="Courier New" w:hAnsi="Courier New"/>
          <w:sz w:val="16"/>
        </w:rPr>
        <w:t>東京ガス（9531）は現在、3つの「時限爆弾」を抱えている。</w:t>
        <w:br/>
        <w:br/>
        <w:t>爆弾①：5月ガイダンス発表（4〜6週間後）</w:t>
        <w:br/>
        <w:t xml:space="preserve">  FY2027純利益▲15〜30%のガイダンスが確実に出る。</w:t>
        <w:br/>
        <w:t xml:space="preserve">  市場コンセンサスを▲15〜20%下回る数字が株価に直撃する。</w:t>
        <w:br/>
        <w:br/>
        <w:t>爆弾②：FY2027/3期 1Q決算（2026年8月）</w:t>
        <w:br/>
        <w:t xml:space="preserve">  カタールLNG代替調達コスト増が「生の数字」として初めて開示される。</w:t>
        <w:br/>
        <w:t xml:space="preserve">  原料費調整制度転嫁前の「ラグ期間コスト増」が丸見えになる。</w:t>
        <w:br/>
        <w:t xml:space="preserve">  1Q営業利益▲30〜50%報道が「想像以上の悪化」として売りを加速させる。</w:t>
        <w:br/>
        <w:br/>
        <w:t>爆弾③：格付変更・配当見直し懸念（2026年後半以降）</w:t>
        <w:br/>
        <w:t xml:space="preserve">  ネットデットが増加し格付機関がアウトルックをネガティブに変更→</w:t>
        <w:br/>
        <w:t xml:space="preserve">  機関投資家のインデックス除外・格付制約による強制売り。</w:t>
        <w:br/>
        <w:t xml:space="preserve">  </w:t>
        <w:br/>
        <w:t>現在株価¥7,297は「何も悪いことが起きていない」前提の価格。</w:t>
        <w:br/>
        <w:t>3つの爆弾が順次爆発するシナリオでは¥5,500〜6,000が12ヶ月のターゲット。</w:t>
        <w:br/>
        <w:br/>
        <w:t>「守りの公益株」としての東京ガスの神話は、</w:t>
        <w:br/>
        <w:t>カタールLNG喪失とTTF高止まりによって根本から覆された。</w:t>
        <w:br/>
        <w:t>β0.55は「市場全体に対するリスク」であり、</w:t>
        <w:br/>
        <w:t>「LNG×規制×円安」という固有リスクはベータで捕捉できない。</w:t>
        <w:br/>
        <w:br/>
        <w:t>これが「守りのつもりで持っていた公益株が実は最も危険」という逆説の本質である。</w:t>
        <w:br/>
        <w:br/>
        <w:t>━━━━━━━━━━━━━━━━━━━━━━━</w:t>
        <w:br/>
        <w:t xml:space="preserve">  投資判断：強い売り（Strong Sell）</w:t>
        <w:br/>
        <w:t xml:space="preserve">  12ヶ月目標株価：¥6,000（▲17.8%）</w:t>
        <w:br/>
        <w:t xml:space="preserve">  ストレス下値：¥5,200（▲28.7%）</w:t>
        <w:br/>
        <w:t xml:space="preserve">  損切りライン（ショート）：¥7,800</w:t>
        <w:br/>
        <w:t xml:space="preserve">  再エントリー検討水準：¥5,000〜5,500</w:t>
        <w:br/>
        <w:t>━━━━━━━━━━━━━━━━━━━━━━━</w:t>
      </w:r>
    </w:p>
    <w:p/>
    <w:p>
      <w:r>
        <w:t>──────────────────────────────────────────────────</w:t>
      </w:r>
    </w:p>
    <w:p/>
    <w:p>
      <w:r>
        <w:rPr>
          <w:rFonts w:ascii="Meiryo UI" w:hAnsi="Meiryo UI"/>
          <w:sz w:val="20"/>
        </w:rPr>
        <w:t>本レポートは竹村トレードカンパニー内部資料です。投資判断は最終的にご自身の責任において行ってください。</w:t>
      </w:r>
    </w:p>
    <w:p>
      <w:r>
        <w:rPr>
          <w:rFonts w:ascii="Meiryo UI" w:hAnsi="Meiryo UI"/>
          <w:sz w:val="20"/>
        </w:rPr>
        <w:t>アナリスト：深井｜2026年4月9日｜使用財務データ：Yahoo Finance リアルタイム取得値（2026-04-09 18:38 JST確認済み）</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2.374%</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日本10年国債（JGB10Y）2.374%</w:t>
            </w:r>
          </w:p>
        </w:tc>
      </w:tr>
      <w:tr>
        <w:tc>
          <w:tcPr>
            <w:tcW w:type="dxa" w:w="4703"/>
          </w:tcPr>
          <w:p>
            <w:r>
              <w:rPr>
                <w:rFonts w:ascii="Meiryo UI" w:hAnsi="Meiryo UI"/>
                <w:sz w:val="18"/>
              </w:rPr>
              <w:t>データ取得日時</w:t>
            </w:r>
          </w:p>
        </w:tc>
        <w:tc>
          <w:tcPr>
            <w:tcW w:type="dxa" w:w="4703"/>
          </w:tcPr>
          <w:p>
            <w:r>
              <w:rPr>
                <w:rFonts w:ascii="Meiryo UI" w:hAnsi="Meiryo UI"/>
                <w:sz w:val="18"/>
              </w:rPr>
              <w:t>2026-04-09 18:38 JST（財務省日次 R8.4.8）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9531_東京ガス_SELL_DeepResearch_20260409.md を出力しました。</w:t>
      </w:r>
    </w:p>
    <w:p>
      <w:r>
        <w:rPr>
          <w:rFonts w:ascii="Meiryo UI" w:hAnsi="Meiryo UI"/>
          <w:sz w:val="20"/>
        </w:rPr>
        <w:t>浅井スコア -60 の銘柄 [9531]東京ガス についてDeepResearch完了。</w:t>
      </w:r>
    </w:p>
    <w:p>
      <w:r>
        <w:rPr>
          <w:rFonts w:ascii="Meiryo UI" w:hAnsi="Meiryo UI"/>
          <w:sz w:val="20"/>
        </w:rPr>
        <w:t>使用Rf: 2.374%（取得: 2026-04-09 18:38 JST（財務省日次 R8.4.8））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