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[9672] 東京都競馬</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[9672] 東京都競馬</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東京都競馬（9672.T）DeepResearch レポート</w:t>
      </w:r>
    </w:p>
    <w:p>
      <w:r>
        <w:rPr>
          <w:rFonts w:ascii="Meiryo UI" w:hAnsi="Meiryo UI"/>
          <w:sz w:val="20"/>
        </w:rPr>
        <w:t>作成者：竹村トレードカンパニー アナリスト 深井</w:t>
      </w:r>
    </w:p>
    <w:p>
      <w:r>
        <w:rPr>
          <w:rFonts w:ascii="Meiryo UI" w:hAnsi="Meiryo UI"/>
          <w:sz w:val="20"/>
        </w:rPr>
        <w:t>分析日：2026年4月15日 09:43 JST</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不動産含み益＋低PBR（1.59倍）で資産価値が市場に完全無視。アクティビスト圧力×還元強化で純資産顕在化の素地あり</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¥5,790 ／ 理論株価（FV）¥7,200〜¥8,400 ／ 上値余地 +24%〜+45%</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①2026年5月下旬・本決算発表での増配・自社株買い発表（配当性向引き上げ余地大）　②東京サマーランド等レジャー施設の資産再評価・REIT化・売却検討報道　③東証「PBR1倍割れ是正」要請の継続圧力→経営陣の資本政策変更</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JRA（日本中央競馬会）との法的関係変化・競馬法規制強化により場外馬券売上が構造的に縮小するリスク。2026年5月決算でFCFが▲10%超悪化の場合は損切り確定</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現在値¥5,790周辺で第1トランシェ50%エントリー。残り50%は5月本決算×株主還元方針（増配・自社株買い）確認後に追加。損切りライン¥4,900（NAVディスカウント30%超）。目標値¥7,500（12ヶ月）</w:t>
            </w:r>
          </w:p>
        </w:tc>
      </w:tr>
    </w:tbl>
    <w:p/>
    <w:p>
      <w:r>
        <w:t>──────────────────────────────────────────────────</w:t>
      </w:r>
    </w:p>
    <w:p/>
    <w:p>
      <w:pPr>
        <w:pStyle w:val="Heading2"/>
      </w:pPr>
      <w:r>
        <w:rPr>
          <w:rFonts w:ascii="Meiryo UI" w:hAnsi="Meiryo UI"/>
          <w:color w:val="2E74B5"/>
        </w:rPr>
        <w:t>セクション0：損益の「毒」と「薬」の仕分け（Good/Bad分析）</w:t>
      </w:r>
    </w:p>
    <w:p/>
    <w:p>
      <w:pPr>
        <w:pStyle w:val="Heading3"/>
      </w:pPr>
      <w:r>
        <w:rPr>
          <w:rFonts w:ascii="Meiryo UI" w:hAnsi="Meiryo UI"/>
          <w:color w:val="2E74B5"/>
        </w:rPr>
        <w:t>0-A. 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場外馬券売上（府中・大井競馬場関連）</w:t>
            </w:r>
          </w:p>
        </w:tc>
        <w:tc>
          <w:tcPr>
            <w:tcW w:type="dxa" w:w="1881"/>
          </w:tcPr>
          <w:p>
            <w:r>
              <w:rPr>
                <w:rFonts w:ascii="Meiryo UI" w:hAnsi="Meiryo UI"/>
                <w:sz w:val="18"/>
              </w:rPr>
              <w:t>売上高の約40〜45%</w:t>
            </w:r>
          </w:p>
        </w:tc>
        <w:tc>
          <w:tcPr>
            <w:tcW w:type="dxa" w:w="1881"/>
          </w:tcPr>
          <w:p>
            <w:r>
              <w:rPr>
                <w:rFonts w:ascii="Meiryo UI" w:hAnsi="Meiryo UI"/>
                <w:sz w:val="18"/>
              </w:rPr>
              <w:t>構造的（独占ライセンス）</w:t>
            </w:r>
          </w:p>
        </w:tc>
        <w:tc>
          <w:tcPr>
            <w:tcW w:type="dxa" w:w="1881"/>
          </w:tcPr>
          <w:p>
            <w:r>
              <w:rPr>
                <w:rFonts w:ascii="Meiryo UI" w:hAnsi="Meiryo UI"/>
                <w:sz w:val="18"/>
              </w:rPr>
              <w:t>JRAとの独占的取次契約は参入障壁の塊。簡単には崩れない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東京サマーランド・レジャー施設保有</w:t>
            </w:r>
          </w:p>
        </w:tc>
        <w:tc>
          <w:tcPr>
            <w:tcW w:type="dxa" w:w="1881"/>
            <w:shd w:val="clear" w:color="auto" w:fill="DDEBF7"/>
          </w:tcPr>
          <w:p>
            <w:r>
              <w:rPr>
                <w:rFonts w:ascii="Meiryo UI" w:hAnsi="Meiryo UI"/>
                <w:sz w:val="18"/>
              </w:rPr>
              <w:t>簿価で数百億円規模と推定、含み益は時価で別途</w:t>
            </w:r>
          </w:p>
        </w:tc>
        <w:tc>
          <w:tcPr>
            <w:tcW w:type="dxa" w:w="1881"/>
            <w:shd w:val="clear" w:color="auto" w:fill="DDEBF7"/>
          </w:tcPr>
          <w:p>
            <w:r>
              <w:rPr>
                <w:rFonts w:ascii="Meiryo UI" w:hAnsi="Meiryo UI"/>
                <w:sz w:val="18"/>
              </w:rPr>
              <w:t>構造的（含み益資産）</w:t>
            </w:r>
          </w:p>
        </w:tc>
        <w:tc>
          <w:tcPr>
            <w:tcW w:type="dxa" w:w="1881"/>
            <w:shd w:val="clear" w:color="auto" w:fill="DDEBF7"/>
          </w:tcPr>
          <w:p>
            <w:r>
              <w:rPr>
                <w:rFonts w:ascii="Meiryo UI" w:hAnsi="Meiryo UI"/>
                <w:sz w:val="18"/>
              </w:rPr>
              <w:t>土地・建物を長年持ってる。再評価すれば株価が跳ねる火種</w:t>
            </w:r>
          </w:p>
        </w:tc>
      </w:tr>
      <w:tr>
        <w:tc>
          <w:tcPr>
            <w:tcW w:type="dxa" w:w="1881"/>
          </w:tcPr>
          <w:p>
            <w:r>
              <w:rPr>
                <w:rFonts w:ascii="Meiryo UI" w:hAnsi="Meiryo UI"/>
                <w:sz w:val="18"/>
              </w:rPr>
              <w:t>💊 薬（ポジティブ）</w:t>
            </w:r>
          </w:p>
        </w:tc>
        <w:tc>
          <w:tcPr>
            <w:tcW w:type="dxa" w:w="1881"/>
          </w:tcPr>
          <w:p>
            <w:r>
              <w:rPr>
                <w:rFonts w:ascii="Meiryo UI" w:hAnsi="Meiryo UI"/>
                <w:sz w:val="18"/>
              </w:rPr>
              <w:t>低い財務レバレッジ・実質無借金体質</w:t>
            </w:r>
          </w:p>
        </w:tc>
        <w:tc>
          <w:tcPr>
            <w:tcW w:type="dxa" w:w="1881"/>
          </w:tcPr>
          <w:p>
            <w:r>
              <w:rPr>
                <w:rFonts w:ascii="Meiryo UI" w:hAnsi="Meiryo UI"/>
                <w:sz w:val="18"/>
              </w:rPr>
              <w:t>D/Eレシオ≒0.2以下（推定）</w:t>
            </w:r>
          </w:p>
        </w:tc>
        <w:tc>
          <w:tcPr>
            <w:tcW w:type="dxa" w:w="1881"/>
          </w:tcPr>
          <w:p>
            <w:r>
              <w:rPr>
                <w:rFonts w:ascii="Meiryo UI" w:hAnsi="Meiryo UI"/>
                <w:sz w:val="18"/>
              </w:rPr>
              <w:t>構造的</w:t>
            </w:r>
          </w:p>
        </w:tc>
        <w:tc>
          <w:tcPr>
            <w:tcW w:type="dxa" w:w="1881"/>
          </w:tcPr>
          <w:p>
            <w:r>
              <w:rPr>
                <w:rFonts w:ascii="Meiryo UI" w:hAnsi="Meiryo UI"/>
                <w:sz w:val="18"/>
              </w:rPr>
              <w:t>借金が少ない＝不況時でも生き残れる。バリュー投資家の好物</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累進配当傾向・配当利回り</w:t>
            </w:r>
          </w:p>
        </w:tc>
        <w:tc>
          <w:tcPr>
            <w:tcW w:type="dxa" w:w="1881"/>
            <w:shd w:val="clear" w:color="auto" w:fill="DDEBF7"/>
          </w:tcPr>
          <w:p>
            <w:r>
              <w:rPr>
                <w:rFonts w:ascii="Meiryo UI" w:hAnsi="Meiryo UI"/>
                <w:sz w:val="18"/>
              </w:rPr>
              <w:t>配当利回り≒2.5〜3.0%（推定）</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稼いだ現金を着実に還元している。まだ余力がある</w:t>
            </w:r>
          </w:p>
        </w:tc>
      </w:tr>
      <w:tr>
        <w:tc>
          <w:tcPr>
            <w:tcW w:type="dxa" w:w="1881"/>
          </w:tcPr>
          <w:p>
            <w:r>
              <w:rPr>
                <w:rFonts w:ascii="Meiryo UI" w:hAnsi="Meiryo UI"/>
                <w:sz w:val="18"/>
              </w:rPr>
              <w:t>☠️ 毒（ネガティブ）</w:t>
            </w:r>
          </w:p>
        </w:tc>
        <w:tc>
          <w:tcPr>
            <w:tcW w:type="dxa" w:w="1881"/>
          </w:tcPr>
          <w:p>
            <w:r>
              <w:rPr>
                <w:rFonts w:ascii="Meiryo UI" w:hAnsi="Meiryo UI"/>
                <w:sz w:val="18"/>
              </w:rPr>
              <w:t>競馬売上の構造的長期逓減リスク</w:t>
            </w:r>
          </w:p>
        </w:tc>
        <w:tc>
          <w:tcPr>
            <w:tcW w:type="dxa" w:w="1881"/>
          </w:tcPr>
          <w:p>
            <w:r>
              <w:rPr>
                <w:rFonts w:ascii="Meiryo UI" w:hAnsi="Meiryo UI"/>
                <w:sz w:val="18"/>
              </w:rPr>
              <w:t>若年層の競馬離れ・オンライン移行</w:t>
            </w:r>
          </w:p>
        </w:tc>
        <w:tc>
          <w:tcPr>
            <w:tcW w:type="dxa" w:w="1881"/>
          </w:tcPr>
          <w:p>
            <w:r>
              <w:rPr>
                <w:rFonts w:ascii="Meiryo UI" w:hAnsi="Meiryo UI"/>
                <w:sz w:val="18"/>
              </w:rPr>
              <w:t>構造的（長期）</w:t>
            </w:r>
          </w:p>
        </w:tc>
        <w:tc>
          <w:tcPr>
            <w:tcW w:type="dxa" w:w="1881"/>
          </w:tcPr>
          <w:p>
            <w:r>
              <w:rPr>
                <w:rFonts w:ascii="Meiryo UI" w:hAnsi="Meiryo UI"/>
                <w:sz w:val="18"/>
              </w:rPr>
              <w:t>若い人が競馬場に来ない問題は今すぐ解決しない</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サマーランド等レジャー施設の稼働率低下</w:t>
            </w:r>
          </w:p>
        </w:tc>
        <w:tc>
          <w:tcPr>
            <w:tcW w:type="dxa" w:w="1881"/>
            <w:shd w:val="clear" w:color="auto" w:fill="DDEBF7"/>
          </w:tcPr>
          <w:p>
            <w:r>
              <w:rPr>
                <w:rFonts w:ascii="Meiryo UI" w:hAnsi="Meiryo UI"/>
                <w:sz w:val="18"/>
              </w:rPr>
              <w:t>近年の集客苦戦（コロナ後回復鈍化）</w:t>
            </w:r>
          </w:p>
        </w:tc>
        <w:tc>
          <w:tcPr>
            <w:tcW w:type="dxa" w:w="1881"/>
            <w:shd w:val="clear" w:color="auto" w:fill="DDEBF7"/>
          </w:tcPr>
          <w:p>
            <w:r>
              <w:rPr>
                <w:rFonts w:ascii="Meiryo UI" w:hAnsi="Meiryo UI"/>
                <w:sz w:val="18"/>
              </w:rPr>
              <w:t>構造的→改善中</w:t>
            </w:r>
          </w:p>
        </w:tc>
        <w:tc>
          <w:tcPr>
            <w:tcW w:type="dxa" w:w="1881"/>
            <w:shd w:val="clear" w:color="auto" w:fill="DDEBF7"/>
          </w:tcPr>
          <w:p>
            <w:r>
              <w:rPr>
                <w:rFonts w:ascii="Meiryo UI" w:hAnsi="Meiryo UI"/>
                <w:sz w:val="18"/>
              </w:rPr>
              <w:t>テーマパーク事業は赤字構造になりやすい。資産として持つのと事業として回すのは別の話</w:t>
            </w:r>
          </w:p>
        </w:tc>
      </w:tr>
      <w:tr>
        <w:tc>
          <w:tcPr>
            <w:tcW w:type="dxa" w:w="1881"/>
          </w:tcPr>
          <w:p>
            <w:r>
              <w:rPr>
                <w:rFonts w:ascii="Meiryo UI" w:hAnsi="Meiryo UI"/>
                <w:sz w:val="18"/>
              </w:rPr>
              <w:t>☠️ 毒（ネガティブ）</w:t>
            </w:r>
          </w:p>
        </w:tc>
        <w:tc>
          <w:tcPr>
            <w:tcW w:type="dxa" w:w="1881"/>
          </w:tcPr>
          <w:p>
            <w:r>
              <w:rPr>
                <w:rFonts w:ascii="Meiryo UI" w:hAnsi="Meiryo UI"/>
                <w:sz w:val="18"/>
              </w:rPr>
              <w:t>資本政策の不透明性（PBR放置）</w:t>
            </w:r>
          </w:p>
        </w:tc>
        <w:tc>
          <w:tcPr>
            <w:tcW w:type="dxa" w:w="1881"/>
          </w:tcPr>
          <w:p>
            <w:r>
              <w:rPr>
                <w:rFonts w:ascii="Meiryo UI" w:hAnsi="Meiryo UI"/>
                <w:sz w:val="18"/>
              </w:rPr>
              <w:t>PBR1.59倍だが東証圧力に対し経営陣の動きが鈍い</w:t>
            </w:r>
          </w:p>
        </w:tc>
        <w:tc>
          <w:tcPr>
            <w:tcW w:type="dxa" w:w="1881"/>
          </w:tcPr>
          <w:p>
            <w:r>
              <w:rPr>
                <w:rFonts w:ascii="Meiryo UI" w:hAnsi="Meiryo UI"/>
                <w:sz w:val="18"/>
              </w:rPr>
              <w:t>構造的（経営意思の問題）</w:t>
            </w:r>
          </w:p>
        </w:tc>
        <w:tc>
          <w:tcPr>
            <w:tcW w:type="dxa" w:w="1881"/>
          </w:tcPr>
          <w:p>
            <w:r>
              <w:rPr>
                <w:rFonts w:ascii="Meiryo UI" w:hAnsi="Meiryo UI"/>
                <w:sz w:val="18"/>
              </w:rPr>
              <w:t>「何もしない経営」が一番の毒。株主還元を怠れば株価は上がらない</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流動性リスク（出来高の薄さ）</w:t>
            </w:r>
          </w:p>
        </w:tc>
        <w:tc>
          <w:tcPr>
            <w:tcW w:type="dxa" w:w="1881"/>
            <w:shd w:val="clear" w:color="auto" w:fill="DDEBF7"/>
          </w:tcPr>
          <w:p>
            <w:r>
              <w:rPr>
                <w:rFonts w:ascii="Meiryo UI" w:hAnsi="Meiryo UI"/>
                <w:sz w:val="18"/>
              </w:rPr>
              <w:t>日次出来高が数百〜数千株規模</w:t>
            </w:r>
          </w:p>
        </w:tc>
        <w:tc>
          <w:tcPr>
            <w:tcW w:type="dxa" w:w="1881"/>
            <w:shd w:val="clear" w:color="auto" w:fill="DDEBF7"/>
          </w:tcPr>
          <w:p>
            <w:r>
              <w:rPr>
                <w:rFonts w:ascii="Meiryo UI" w:hAnsi="Meiryo UI"/>
                <w:sz w:val="18"/>
              </w:rPr>
              <w:t>構造的（小型株）</w:t>
            </w:r>
          </w:p>
        </w:tc>
        <w:tc>
          <w:tcPr>
            <w:tcW w:type="dxa" w:w="1881"/>
            <w:shd w:val="clear" w:color="auto" w:fill="DDEBF7"/>
          </w:tcPr>
          <w:p>
            <w:r>
              <w:rPr>
                <w:rFonts w:ascii="Meiryo UI" w:hAnsi="Meiryo UI"/>
                <w:sz w:val="18"/>
              </w:rPr>
              <w:t>売りたい時に売れないリスク。大口には不向き</w:t>
            </w:r>
          </w:p>
        </w:tc>
      </w:tr>
    </w:tbl>
    <w:p/>
    <w:p>
      <w:pPr>
        <w:pStyle w:val="Heading3"/>
      </w:pPr>
      <w:r>
        <w:rPr>
          <w:rFonts w:ascii="Meiryo UI" w:hAnsi="Meiryo UI"/>
          <w:color w:val="2E74B5"/>
        </w:rPr>
        <w:t>実力ベース純利益・実力EPS（一過性除去後）</w:t>
      </w:r>
    </w:p>
    <w:p/>
    <w:p>
      <w:pPr>
        <w:pStyle w:val="ListBullet"/>
      </w:pPr>
      <w:r>
        <w:rPr>
          <w:rFonts w:ascii="Meiryo UI" w:hAnsi="Meiryo UI"/>
          <w:sz w:val="20"/>
        </w:rPr>
        <w:t>公式EPS：¥392（提供データより）</w:t>
      </w:r>
    </w:p>
    <w:p>
      <w:pPr>
        <w:pStyle w:val="ListBullet"/>
      </w:pPr>
      <w:r>
        <w:rPr>
          <w:rFonts w:ascii="Meiryo UI" w:hAnsi="Meiryo UI"/>
          <w:sz w:val="20"/>
        </w:rPr>
        <w:t>一過性要因の排除：レジャー施設の資産売却益（推定¥20〜50/株相当の一過性益）が混入している可能性あり。これを保守的に除去。</w:t>
      </w:r>
    </w:p>
    <w:p>
      <w:pPr>
        <w:pStyle w:val="ListBullet"/>
      </w:pPr>
      <w:r>
        <w:rPr>
          <w:rFonts w:ascii="Meiryo UI" w:hAnsi="Meiryo UI"/>
          <w:sz w:val="20"/>
        </w:rPr>
        <w:t>実力EPS（保守値）：¥340〜¥370</w:t>
      </w:r>
    </w:p>
    <w:p>
      <w:pPr>
        <w:pStyle w:val="ListBullet"/>
      </w:pPr>
      <w:r>
        <w:rPr>
          <w:rFonts w:ascii="Meiryo UI" w:hAnsi="Meiryo UI"/>
          <w:sz w:val="20"/>
        </w:rPr>
        <w:t>実力PER（保守値）：¥5,790 ÷ ¥355（中央値）≒ 16.3倍</w:t>
      </w:r>
    </w:p>
    <w:p>
      <w:pPr>
        <w:pStyle w:val="ListBullet"/>
      </w:pPr>
      <w:r>
        <w:rPr>
          <w:rFonts w:ascii="Meiryo UI" w:hAnsi="Meiryo UI"/>
          <w:sz w:val="20"/>
        </w:rPr>
        <w:t>公式報告値との差分：一過性益を含む場合、報告EPSは実力より¥20〜50程度過大の可能性。ただし、競馬事業は安定収益であり過大評価リスクは限定的。</w:t>
      </w:r>
    </w:p>
    <w:p/>
    <w:p>
      <w:r>
        <w:rPr>
          <w:rFonts w:ascii="Meiryo UI" w:hAnsi="Meiryo UI"/>
          <w:sz w:val="20"/>
        </w:rPr>
        <w:t>&gt; ⚠️ 注記：東京都競馬の詳細四半期セグメントは開示が限定的。上記は公開有価証券報告書・決算短信ベースの推計。確定値は5月決算発表で要確認。</w:t>
      </w:r>
    </w:p>
    <w:p/>
    <w:p>
      <w:r>
        <w:t>──────────────────────────────────────────────────</w:t>
      </w:r>
    </w:p>
    <w:p/>
    <w:p>
      <w:pPr>
        <w:pStyle w:val="Heading3"/>
      </w:pPr>
      <w:r>
        <w:rPr>
          <w:rFonts w:ascii="Meiryo UI" w:hAnsi="Meiryo UI"/>
          <w:color w:val="2E74B5"/>
        </w:rPr>
        <w:t>0-B. 直近四半期（QonQ）変調分析</w:t>
      </w:r>
    </w:p>
    <w:p/>
    <w:p>
      <w:r>
        <w:rPr>
          <w:rFonts w:ascii="Meiryo UI" w:hAnsi="Meiryo UI"/>
          <w:sz w:val="20"/>
        </w:rPr>
        <w:t>&gt; ⚠️ 注記：東京都競馬（9672）は半期開示（H1/H2）が中心で、月次・四半期の詳細セグメント開示は限定的。以下はH1（2025年4〜9月）→H2（2025年10月〜2026年3月）の推計比較。確定値は2026年5月本決算短信で要確認。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H1（2025年4〜9月）推計</w:t>
            </w:r>
          </w:p>
        </w:tc>
        <w:tc>
          <w:tcPr>
            <w:tcW w:type="dxa" w:w="1881"/>
            <w:shd w:val="clear" w:color="auto" w:fill="2E74B5"/>
          </w:tcPr>
          <w:p>
            <w:r>
              <w:rPr>
                <w:rFonts w:ascii="Meiryo UI" w:hAnsi="Meiryo UI"/>
                <w:b/>
                <w:color w:val="FFFFFF"/>
                <w:sz w:val="18"/>
              </w:rPr>
              <w:t>H2（2025年10〜3月）推計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約¥12,500〜¥13,500百万</w:t>
            </w:r>
          </w:p>
        </w:tc>
        <w:tc>
          <w:tcPr>
            <w:tcW w:type="dxa" w:w="1881"/>
          </w:tcPr>
          <w:p>
            <w:r>
              <w:rPr>
                <w:rFonts w:ascii="Meiryo UI" w:hAnsi="Meiryo UI"/>
                <w:sz w:val="18"/>
              </w:rPr>
              <w:t>約¥13,000〜¥14,500百万</w:t>
            </w:r>
          </w:p>
        </w:tc>
        <w:tc>
          <w:tcPr>
            <w:tcW w:type="dxa" w:w="1881"/>
          </w:tcPr>
          <w:p>
            <w:r>
              <w:rPr>
                <w:rFonts w:ascii="Meiryo UI" w:hAnsi="Meiryo UI"/>
                <w:sz w:val="18"/>
              </w:rPr>
              <w:t>+4〜+7%</w:t>
            </w:r>
          </w:p>
        </w:tc>
        <w:tc>
          <w:tcPr>
            <w:tcW w:type="dxa" w:w="1881"/>
          </w:tcPr>
          <w:p>
            <w:r>
              <w:rPr>
                <w:rFonts w:ascii="Meiryo UI" w:hAnsi="Meiryo UI"/>
                <w:sz w:val="18"/>
              </w:rPr>
              <w:t>季節性（秋〜冬の競馬シーズン強化）</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約8〜10%</w:t>
            </w:r>
          </w:p>
        </w:tc>
        <w:tc>
          <w:tcPr>
            <w:tcW w:type="dxa" w:w="1881"/>
            <w:shd w:val="clear" w:color="auto" w:fill="DDEBF7"/>
          </w:tcPr>
          <w:p>
            <w:r>
              <w:rPr>
                <w:rFonts w:ascii="Meiryo UI" w:hAnsi="Meiryo UI"/>
                <w:sz w:val="18"/>
              </w:rPr>
              <w:t>約10〜13%</w:t>
            </w:r>
          </w:p>
        </w:tc>
        <w:tc>
          <w:tcPr>
            <w:tcW w:type="dxa" w:w="1881"/>
            <w:shd w:val="clear" w:color="auto" w:fill="DDEBF7"/>
          </w:tcPr>
          <w:p>
            <w:r>
              <w:rPr>
                <w:rFonts w:ascii="Meiryo UI" w:hAnsi="Meiryo UI"/>
                <w:sz w:val="18"/>
              </w:rPr>
              <w:t>+2〜3%pt</w:t>
            </w:r>
          </w:p>
        </w:tc>
        <w:tc>
          <w:tcPr>
            <w:tcW w:type="dxa" w:w="1881"/>
            <w:shd w:val="clear" w:color="auto" w:fill="DDEBF7"/>
          </w:tcPr>
          <w:p>
            <w:r>
              <w:rPr>
                <w:rFonts w:ascii="Meiryo UI" w:hAnsi="Meiryo UI"/>
                <w:sz w:val="18"/>
              </w:rPr>
              <w:t>季節性（競馬売上の上期・下期配分）</w:t>
            </w:r>
          </w:p>
        </w:tc>
      </w:tr>
      <w:tr>
        <w:tc>
          <w:tcPr>
            <w:tcW w:type="dxa" w:w="1881"/>
          </w:tcPr>
          <w:p>
            <w:r>
              <w:rPr>
                <w:rFonts w:ascii="Meiryo UI" w:hAnsi="Meiryo UI"/>
                <w:sz w:val="18"/>
              </w:rPr>
              <w:t>競馬売上構成比</w:t>
            </w:r>
          </w:p>
        </w:tc>
        <w:tc>
          <w:tcPr>
            <w:tcW w:type="dxa" w:w="1881"/>
          </w:tcPr>
          <w:p>
            <w:r>
              <w:rPr>
                <w:rFonts w:ascii="Meiryo UI" w:hAnsi="Meiryo UI"/>
                <w:sz w:val="18"/>
              </w:rPr>
              <w:t>約40%</w:t>
            </w:r>
          </w:p>
        </w:tc>
        <w:tc>
          <w:tcPr>
            <w:tcW w:type="dxa" w:w="1881"/>
          </w:tcPr>
          <w:p>
            <w:r>
              <w:rPr>
                <w:rFonts w:ascii="Meiryo UI" w:hAnsi="Meiryo UI"/>
                <w:sz w:val="18"/>
              </w:rPr>
              <w:t>約45%</w:t>
            </w:r>
          </w:p>
        </w:tc>
        <w:tc>
          <w:tcPr>
            <w:tcW w:type="dxa" w:w="1881"/>
          </w:tcPr>
          <w:p>
            <w:r>
              <w:rPr>
                <w:rFonts w:ascii="Meiryo UI" w:hAnsi="Meiryo UI"/>
                <w:sz w:val="18"/>
              </w:rPr>
              <w:t>+5%pt</w:t>
            </w:r>
          </w:p>
        </w:tc>
        <w:tc>
          <w:tcPr>
            <w:tcW w:type="dxa" w:w="1881"/>
          </w:tcPr>
          <w:p>
            <w:r>
              <w:rPr>
                <w:rFonts w:ascii="Meiryo UI" w:hAnsi="Meiryo UI"/>
                <w:sz w:val="18"/>
              </w:rPr>
              <w:t>季節性（有馬記念・年末競馬）</w:t>
            </w:r>
          </w:p>
        </w:tc>
      </w:tr>
      <w:tr>
        <w:tc>
          <w:tcPr>
            <w:tcW w:type="dxa" w:w="1881"/>
            <w:shd w:val="clear" w:color="auto" w:fill="DDEBF7"/>
          </w:tcPr>
          <w:p>
            <w:r>
              <w:rPr>
                <w:rFonts w:ascii="Meiryo UI" w:hAnsi="Meiryo UI"/>
                <w:sz w:val="18"/>
              </w:rPr>
              <w:t>レジャー施設稼働</w:t>
            </w:r>
          </w:p>
        </w:tc>
        <w:tc>
          <w:tcPr>
            <w:tcW w:type="dxa" w:w="1881"/>
            <w:shd w:val="clear" w:color="auto" w:fill="DDEBF7"/>
          </w:tcPr>
          <w:p>
            <w:r>
              <w:rPr>
                <w:rFonts w:ascii="Meiryo UI" w:hAnsi="Meiryo UI"/>
                <w:sz w:val="18"/>
              </w:rPr>
              <w:t>高（夏季・サマーランド繁忙）</w:t>
            </w:r>
          </w:p>
        </w:tc>
        <w:tc>
          <w:tcPr>
            <w:tcW w:type="dxa" w:w="1881"/>
            <w:shd w:val="clear" w:color="auto" w:fill="DDEBF7"/>
          </w:tcPr>
          <w:p>
            <w:r>
              <w:rPr>
                <w:rFonts w:ascii="Meiryo UI" w:hAnsi="Meiryo UI"/>
                <w:sz w:val="18"/>
              </w:rPr>
              <w:t>低（冬季オフシーズン）</w:t>
            </w:r>
          </w:p>
        </w:tc>
        <w:tc>
          <w:tcPr>
            <w:tcW w:type="dxa" w:w="1881"/>
            <w:shd w:val="clear" w:color="auto" w:fill="DDEBF7"/>
          </w:tcPr>
          <w:p>
            <w:r>
              <w:rPr>
                <w:rFonts w:ascii="Meiryo UI" w:hAnsi="Meiryo UI"/>
                <w:sz w:val="18"/>
              </w:rPr>
              <w:t>▲15〜20%</w:t>
            </w:r>
          </w:p>
        </w:tc>
        <w:tc>
          <w:tcPr>
            <w:tcW w:type="dxa" w:w="1881"/>
            <w:shd w:val="clear" w:color="auto" w:fill="DDEBF7"/>
          </w:tcPr>
          <w:p>
            <w:r>
              <w:rPr>
                <w:rFonts w:ascii="Meiryo UI" w:hAnsi="Meiryo UI"/>
                <w:sz w:val="18"/>
              </w:rPr>
              <w:t>季節性（構造的季節変動）</w:t>
            </w:r>
          </w:p>
        </w:tc>
      </w:tr>
      <w:tr>
        <w:tc>
          <w:tcPr>
            <w:tcW w:type="dxa" w:w="1881"/>
          </w:tcPr>
          <w:p>
            <w:r>
              <w:rPr>
                <w:rFonts w:ascii="Meiryo UI" w:hAnsi="Meiryo UI"/>
                <w:sz w:val="18"/>
              </w:rPr>
              <w:t>特記事項</w:t>
            </w:r>
          </w:p>
        </w:tc>
        <w:tc>
          <w:tcPr>
            <w:tcW w:type="dxa" w:w="1881"/>
          </w:tcPr>
          <w:p>
            <w:r>
              <w:rPr>
                <w:rFonts w:ascii="Meiryo UI" w:hAnsi="Meiryo UI"/>
                <w:sz w:val="18"/>
              </w:rPr>
              <w:t>夏季レジャー収益が上半期を下支え</w:t>
            </w:r>
          </w:p>
        </w:tc>
        <w:tc>
          <w:tcPr>
            <w:tcW w:type="dxa" w:w="1881"/>
          </w:tcPr>
          <w:p>
            <w:r>
              <w:rPr>
                <w:rFonts w:ascii="Meiryo UI" w:hAnsi="Meiryo UI"/>
                <w:sz w:val="18"/>
              </w:rPr>
              <w:t>下期は競馬売上が主軸。不動産賃料収入は安定</w:t>
            </w:r>
          </w:p>
        </w:tc>
        <w:tc>
          <w:tcPr>
            <w:tcW w:type="dxa" w:w="1881"/>
          </w:tcPr>
          <w:p>
            <w:r>
              <w:rPr>
                <w:rFonts w:ascii="Meiryo UI" w:hAnsi="Meiryo UI"/>
                <w:sz w:val="18"/>
              </w:rPr>
              <w:t>—</w:t>
            </w:r>
          </w:p>
        </w:tc>
        <w:tc>
          <w:tcPr>
            <w:tcW w:type="dxa" w:w="1881"/>
          </w:tcPr>
          <w:p>
            <w:r>
              <w:rPr>
                <w:rFonts w:ascii="Meiryo UI" w:hAnsi="Meiryo UI"/>
                <w:sz w:val="18"/>
              </w:rPr>
              <w:t>安定性高い収益構造</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東京都競馬株式会社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9672（東証スタンダード）</w:t>
            </w:r>
          </w:p>
        </w:tc>
      </w:tr>
      <w:tr>
        <w:tc>
          <w:tcPr>
            <w:tcW w:type="dxa" w:w="4703"/>
          </w:tcPr>
          <w:p>
            <w:r>
              <w:rPr>
                <w:rFonts w:ascii="Meiryo UI" w:hAnsi="Meiryo UI"/>
                <w:sz w:val="18"/>
              </w:rPr>
              <w:t>市場</w:t>
            </w:r>
          </w:p>
        </w:tc>
        <w:tc>
          <w:tcPr>
            <w:tcW w:type="dxa" w:w="4703"/>
          </w:tcPr>
          <w:p>
            <w:r>
              <w:rPr>
                <w:rFonts w:ascii="Meiryo UI" w:hAnsi="Meiryo UI"/>
                <w:sz w:val="18"/>
              </w:rPr>
              <w:t>東証スタンダード市場</w:t>
            </w:r>
          </w:p>
        </w:tc>
      </w:tr>
      <w:tr>
        <w:tc>
          <w:tcPr>
            <w:tcW w:type="dxa" w:w="4703"/>
            <w:shd w:val="clear" w:color="auto" w:fill="DDEBF7"/>
          </w:tcPr>
          <w:p>
            <w:r>
              <w:rPr>
                <w:rFonts w:ascii="Meiryo UI" w:hAnsi="Meiryo UI"/>
                <w:sz w:val="18"/>
              </w:rPr>
              <w:t>筆頭株主</w:t>
            </w:r>
          </w:p>
        </w:tc>
        <w:tc>
          <w:tcPr>
            <w:tcW w:type="dxa" w:w="4703"/>
            <w:shd w:val="clear" w:color="auto" w:fill="DDEBF7"/>
          </w:tcPr>
          <w:p>
            <w:r>
              <w:rPr>
                <w:rFonts w:ascii="Meiryo UI" w:hAnsi="Meiryo UI"/>
                <w:sz w:val="18"/>
              </w:rPr>
              <w:t>東京都（大株主・特殊会社的性格）</w:t>
            </w:r>
          </w:p>
        </w:tc>
      </w:tr>
      <w:tr>
        <w:tc>
          <w:tcPr>
            <w:tcW w:type="dxa" w:w="4703"/>
          </w:tcPr>
          <w:p>
            <w:r>
              <w:rPr>
                <w:rFonts w:ascii="Meiryo UI" w:hAnsi="Meiryo UI"/>
                <w:sz w:val="18"/>
              </w:rPr>
              <w:t>業態</w:t>
            </w:r>
          </w:p>
        </w:tc>
        <w:tc>
          <w:tcPr>
            <w:tcW w:type="dxa" w:w="4703"/>
          </w:tcPr>
          <w:p>
            <w:r>
              <w:rPr>
                <w:rFonts w:ascii="Meiryo UI" w:hAnsi="Meiryo UI"/>
                <w:sz w:val="18"/>
              </w:rPr>
              <w:t>地方競馬（大井競馬場）・レジャー施設・不動産</w:t>
            </w:r>
          </w:p>
        </w:tc>
      </w:tr>
    </w:tbl>
    <w:p/>
    <w:p>
      <w:pPr>
        <w:pStyle w:val="Heading3"/>
      </w:pPr>
      <w:r>
        <w:rPr>
          <w:rFonts w:ascii="Meiryo UI" w:hAnsi="Meiryo UI"/>
          <w:color w:val="2E74B5"/>
        </w:rPr>
        <w:t>1-2. セグメント構成（推計）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売上構成比（推計）</w:t>
            </w:r>
          </w:p>
        </w:tc>
        <w:tc>
          <w:tcPr>
            <w:tcW w:type="dxa" w:w="2351"/>
            <w:shd w:val="clear" w:color="auto" w:fill="2E74B5"/>
          </w:tcPr>
          <w:p>
            <w:r>
              <w:rPr>
                <w:rFonts w:ascii="Meiryo UI" w:hAnsi="Meiryo UI"/>
                <w:b/>
                <w:color w:val="FFFFFF"/>
                <w:sz w:val="18"/>
              </w:rPr>
              <w:t>利益貢献度</w:t>
            </w:r>
          </w:p>
        </w:tc>
        <w:tc>
          <w:tcPr>
            <w:tcW w:type="dxa" w:w="2351"/>
            <w:shd w:val="clear" w:color="auto" w:fill="2E74B5"/>
          </w:tcPr>
          <w:p>
            <w:r>
              <w:rPr>
                <w:rFonts w:ascii="Meiryo UI" w:hAnsi="Meiryo UI"/>
                <w:b/>
                <w:color w:val="FFFFFF"/>
                <w:sz w:val="18"/>
              </w:rPr>
              <w:t>特性</w:t>
            </w:r>
          </w:p>
        </w:tc>
      </w:tr>
      <w:tr>
        <w:tc>
          <w:tcPr>
            <w:tcW w:type="dxa" w:w="2351"/>
          </w:tcPr>
          <w:p>
            <w:r>
              <w:rPr>
                <w:rFonts w:ascii="Meiryo UI" w:hAnsi="Meiryo UI"/>
                <w:sz w:val="18"/>
              </w:rPr>
              <w:t>競馬事業（大井競馬場・場外馬券売場）</w:t>
            </w:r>
          </w:p>
        </w:tc>
        <w:tc>
          <w:tcPr>
            <w:tcW w:type="dxa" w:w="2351"/>
          </w:tcPr>
          <w:p>
            <w:r>
              <w:rPr>
                <w:rFonts w:ascii="Meiryo UI" w:hAnsi="Meiryo UI"/>
                <w:sz w:val="18"/>
              </w:rPr>
              <w:t>約40〜45%</w:t>
            </w:r>
          </w:p>
        </w:tc>
        <w:tc>
          <w:tcPr>
            <w:tcW w:type="dxa" w:w="2351"/>
          </w:tcPr>
          <w:p>
            <w:r>
              <w:rPr>
                <w:rFonts w:ascii="Meiryo UI" w:hAnsi="Meiryo UI"/>
                <w:sz w:val="18"/>
              </w:rPr>
              <w:t>高（独占ライセンス）</w:t>
            </w:r>
          </w:p>
        </w:tc>
        <w:tc>
          <w:tcPr>
            <w:tcW w:type="dxa" w:w="2351"/>
          </w:tcPr>
          <w:p>
            <w:r>
              <w:rPr>
                <w:rFonts w:ascii="Meiryo UI" w:hAnsi="Meiryo UI"/>
                <w:sz w:val="18"/>
              </w:rPr>
              <w:t>安定・参入障壁高</w:t>
            </w:r>
          </w:p>
        </w:tc>
      </w:tr>
      <w:tr>
        <w:tc>
          <w:tcPr>
            <w:tcW w:type="dxa" w:w="2351"/>
            <w:shd w:val="clear" w:color="auto" w:fill="DDEBF7"/>
          </w:tcPr>
          <w:p>
            <w:r>
              <w:rPr>
                <w:rFonts w:ascii="Meiryo UI" w:hAnsi="Meiryo UI"/>
                <w:sz w:val="18"/>
              </w:rPr>
              <w:t>レジャー施設（東京サマーランド等）</w:t>
            </w:r>
          </w:p>
        </w:tc>
        <w:tc>
          <w:tcPr>
            <w:tcW w:type="dxa" w:w="2351"/>
            <w:shd w:val="clear" w:color="auto" w:fill="DDEBF7"/>
          </w:tcPr>
          <w:p>
            <w:r>
              <w:rPr>
                <w:rFonts w:ascii="Meiryo UI" w:hAnsi="Meiryo UI"/>
                <w:sz w:val="18"/>
              </w:rPr>
              <w:t>約25〜30%</w:t>
            </w:r>
          </w:p>
        </w:tc>
        <w:tc>
          <w:tcPr>
            <w:tcW w:type="dxa" w:w="2351"/>
            <w:shd w:val="clear" w:color="auto" w:fill="DDEBF7"/>
          </w:tcPr>
          <w:p>
            <w:r>
              <w:rPr>
                <w:rFonts w:ascii="Meiryo UI" w:hAnsi="Meiryo UI"/>
                <w:sz w:val="18"/>
              </w:rPr>
              <w:t>中〜低（季節変動大）</w:t>
            </w:r>
          </w:p>
        </w:tc>
        <w:tc>
          <w:tcPr>
            <w:tcW w:type="dxa" w:w="2351"/>
            <w:shd w:val="clear" w:color="auto" w:fill="DDEBF7"/>
          </w:tcPr>
          <w:p>
            <w:r>
              <w:rPr>
                <w:rFonts w:ascii="Meiryo UI" w:hAnsi="Meiryo UI"/>
                <w:sz w:val="18"/>
              </w:rPr>
              <w:t>資産価値は高いが収益性にムラ</w:t>
            </w:r>
          </w:p>
        </w:tc>
      </w:tr>
      <w:tr>
        <w:tc>
          <w:tcPr>
            <w:tcW w:type="dxa" w:w="2351"/>
          </w:tcPr>
          <w:p>
            <w:r>
              <w:rPr>
                <w:rFonts w:ascii="Meiryo UI" w:hAnsi="Meiryo UI"/>
                <w:sz w:val="18"/>
              </w:rPr>
              <w:t>不動産・施設賃貸</w:t>
            </w:r>
          </w:p>
        </w:tc>
        <w:tc>
          <w:tcPr>
            <w:tcW w:type="dxa" w:w="2351"/>
          </w:tcPr>
          <w:p>
            <w:r>
              <w:rPr>
                <w:rFonts w:ascii="Meiryo UI" w:hAnsi="Meiryo UI"/>
                <w:sz w:val="18"/>
              </w:rPr>
              <w:t>約15〜20%</w:t>
            </w:r>
          </w:p>
        </w:tc>
        <w:tc>
          <w:tcPr>
            <w:tcW w:type="dxa" w:w="2351"/>
          </w:tcPr>
          <w:p>
            <w:r>
              <w:rPr>
                <w:rFonts w:ascii="Meiryo UI" w:hAnsi="Meiryo UI"/>
                <w:sz w:val="18"/>
              </w:rPr>
              <w:t>高（固定収益）</w:t>
            </w:r>
          </w:p>
        </w:tc>
        <w:tc>
          <w:tcPr>
            <w:tcW w:type="dxa" w:w="2351"/>
          </w:tcPr>
          <w:p>
            <w:r>
              <w:rPr>
                <w:rFonts w:ascii="Meiryo UI" w:hAnsi="Meiryo UI"/>
                <w:sz w:val="18"/>
              </w:rPr>
              <w:t>キャッシュカウ</w:t>
            </w:r>
          </w:p>
        </w:tc>
      </w:tr>
      <w:tr>
        <w:tc>
          <w:tcPr>
            <w:tcW w:type="dxa" w:w="2351"/>
            <w:shd w:val="clear" w:color="auto" w:fill="DDEBF7"/>
          </w:tcPr>
          <w:p>
            <w:r>
              <w:rPr>
                <w:rFonts w:ascii="Meiryo UI" w:hAnsi="Meiryo UI"/>
                <w:sz w:val="18"/>
              </w:rPr>
              <w:t>その他（駐車場・飲食等）</w:t>
            </w:r>
          </w:p>
        </w:tc>
        <w:tc>
          <w:tcPr>
            <w:tcW w:type="dxa" w:w="2351"/>
            <w:shd w:val="clear" w:color="auto" w:fill="DDEBF7"/>
          </w:tcPr>
          <w:p>
            <w:r>
              <w:rPr>
                <w:rFonts w:ascii="Meiryo UI" w:hAnsi="Meiryo UI"/>
                <w:sz w:val="18"/>
              </w:rPr>
              <w:t>約10〜15%</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競馬場付帯</w:t>
            </w:r>
          </w:p>
        </w:tc>
      </w:tr>
    </w:tbl>
    <w:p/>
    <w:p>
      <w:pPr>
        <w:pStyle w:val="Heading3"/>
      </w:pPr>
      <w:r>
        <w:rPr>
          <w:rFonts w:ascii="Meiryo UI" w:hAnsi="Meiryo UI"/>
          <w:color w:val="2E74B5"/>
        </w:rPr>
        <w:t>1-3. 競合優位性（Economic Moat）</w:t>
      </w:r>
    </w:p>
    <w:p/>
    <w:p>
      <w:pPr>
        <w:pStyle w:val="ListNumber"/>
      </w:pPr>
      <w:r>
        <w:rPr>
          <w:rFonts w:ascii="Meiryo UI" w:hAnsi="Meiryo UI"/>
          <w:sz w:val="20"/>
        </w:rPr>
        <w:t>法的独占ライセンス：大井競馬場の開催権は東京都が付与。代替不可能な独占事業。</w:t>
      </w:r>
    </w:p>
    <w:p>
      <w:pPr>
        <w:pStyle w:val="ListNumber"/>
      </w:pPr>
      <w:r>
        <w:rPr>
          <w:rFonts w:ascii="Meiryo UI" w:hAnsi="Meiryo UI"/>
          <w:sz w:val="20"/>
        </w:rPr>
        <w:t>都有地・低コスト土地保有：東京23区・多摩エリアの不動産を長期保有。含み益が簿価の数倍に達している可能性が高い。</w:t>
      </w:r>
    </w:p>
    <w:p>
      <w:pPr>
        <w:pStyle w:val="ListNumber"/>
      </w:pPr>
      <w:r>
        <w:rPr>
          <w:rFonts w:ascii="Meiryo UI" w:hAnsi="Meiryo UI"/>
          <w:sz w:val="20"/>
        </w:rPr>
        <w:t>JRAとの場外馬券取次契約：JRAレースの場外馬券売上は安定的。オンライン化で物理的来場は減少しても、ネット経由売上が代替している。</w:t>
      </w:r>
    </w:p>
    <w:p>
      <w:pPr>
        <w:pStyle w:val="ListNumber"/>
      </w:pPr>
      <w:r>
        <w:rPr>
          <w:rFonts w:ascii="Meiryo UI" w:hAnsi="Meiryo UI"/>
          <w:sz w:val="20"/>
        </w:rPr>
        <w:t>東京都が筆頭株主：事実上の半官半民体制。財政的安定性と施設用地の継続確保が強み。</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期待インパクト</w:t>
            </w:r>
          </w:p>
        </w:tc>
      </w:tr>
      <w:tr>
        <w:tc>
          <w:tcPr>
            <w:tcW w:type="dxa" w:w="3135"/>
          </w:tcPr>
          <w:p>
            <w:r>
              <w:rPr>
                <w:rFonts w:ascii="Meiryo UI" w:hAnsi="Meiryo UI"/>
                <w:sz w:val="18"/>
              </w:rPr>
              <w:t>2026年5月・本決算発表</w:t>
            </w:r>
          </w:p>
        </w:tc>
        <w:tc>
          <w:tcPr>
            <w:tcW w:type="dxa" w:w="3135"/>
          </w:tcPr>
          <w:p>
            <w:r>
              <w:rPr>
                <w:rFonts w:ascii="Meiryo UI" w:hAnsi="Meiryo UI"/>
                <w:sz w:val="18"/>
              </w:rPr>
              <w:t>2026年5月下旬</w:t>
            </w:r>
          </w:p>
        </w:tc>
        <w:tc>
          <w:tcPr>
            <w:tcW w:type="dxa" w:w="3135"/>
          </w:tcPr>
          <w:p>
            <w:r>
              <w:rPr>
                <w:rFonts w:ascii="Meiryo UI" w:hAnsi="Meiryo UI"/>
                <w:sz w:val="18"/>
              </w:rPr>
              <w:t>増配・自社株買い発表の有無</w:t>
            </w:r>
          </w:p>
        </w:tc>
      </w:tr>
      <w:tr>
        <w:tc>
          <w:tcPr>
            <w:tcW w:type="dxa" w:w="3135"/>
            <w:shd w:val="clear" w:color="auto" w:fill="DDEBF7"/>
          </w:tcPr>
          <w:p>
            <w:r>
              <w:rPr>
                <w:rFonts w:ascii="Meiryo UI" w:hAnsi="Meiryo UI"/>
                <w:sz w:val="18"/>
              </w:rPr>
              <w:t>東証PBR1倍超改善要請の継続圧力</w:t>
            </w:r>
          </w:p>
        </w:tc>
        <w:tc>
          <w:tcPr>
            <w:tcW w:type="dxa" w:w="3135"/>
            <w:shd w:val="clear" w:color="auto" w:fill="DDEBF7"/>
          </w:tcPr>
          <w:p>
            <w:r>
              <w:rPr>
                <w:rFonts w:ascii="Meiryo UI" w:hAnsi="Meiryo UI"/>
                <w:sz w:val="18"/>
              </w:rPr>
              <w:t>継続中</w:t>
            </w:r>
          </w:p>
        </w:tc>
        <w:tc>
          <w:tcPr>
            <w:tcW w:type="dxa" w:w="3135"/>
            <w:shd w:val="clear" w:color="auto" w:fill="DDEBF7"/>
          </w:tcPr>
          <w:p>
            <w:r>
              <w:rPr>
                <w:rFonts w:ascii="Meiryo UI" w:hAnsi="Meiryo UI"/>
                <w:sz w:val="18"/>
              </w:rPr>
              <w:t>資本政策変更強制</w:t>
            </w:r>
          </w:p>
        </w:tc>
      </w:tr>
      <w:tr>
        <w:tc>
          <w:tcPr>
            <w:tcW w:type="dxa" w:w="3135"/>
          </w:tcPr>
          <w:p>
            <w:r>
              <w:rPr>
                <w:rFonts w:ascii="Meiryo UI" w:hAnsi="Meiryo UI"/>
                <w:sz w:val="18"/>
              </w:rPr>
              <w:t>東京サマーランド再開発・売却報道</w:t>
            </w:r>
          </w:p>
        </w:tc>
        <w:tc>
          <w:tcPr>
            <w:tcW w:type="dxa" w:w="3135"/>
          </w:tcPr>
          <w:p>
            <w:r>
              <w:rPr>
                <w:rFonts w:ascii="Meiryo UI" w:hAnsi="Meiryo UI"/>
                <w:sz w:val="18"/>
              </w:rPr>
              <w:t>不定期</w:t>
            </w:r>
          </w:p>
        </w:tc>
        <w:tc>
          <w:tcPr>
            <w:tcW w:type="dxa" w:w="3135"/>
          </w:tcPr>
          <w:p>
            <w:r>
              <w:rPr>
                <w:rFonts w:ascii="Meiryo UI" w:hAnsi="Meiryo UI"/>
                <w:sz w:val="18"/>
              </w:rPr>
              <w:t>含み益顕在化（数十億〜百億円超）</w:t>
            </w:r>
          </w:p>
        </w:tc>
      </w:tr>
      <w:tr>
        <w:tc>
          <w:tcPr>
            <w:tcW w:type="dxa" w:w="3135"/>
            <w:shd w:val="clear" w:color="auto" w:fill="DDEBF7"/>
          </w:tcPr>
          <w:p>
            <w:r>
              <w:rPr>
                <w:rFonts w:ascii="Meiryo UI" w:hAnsi="Meiryo UI"/>
                <w:sz w:val="18"/>
              </w:rPr>
              <w:t>大井競馬場周辺再開発（品川エリア）</w:t>
            </w:r>
          </w:p>
        </w:tc>
        <w:tc>
          <w:tcPr>
            <w:tcW w:type="dxa" w:w="3135"/>
            <w:shd w:val="clear" w:color="auto" w:fill="DDEBF7"/>
          </w:tcPr>
          <w:p>
            <w:r>
              <w:rPr>
                <w:rFonts w:ascii="Meiryo UI" w:hAnsi="Meiryo UI"/>
                <w:sz w:val="18"/>
              </w:rPr>
              <w:t>2027〜2030年代</w:t>
            </w:r>
          </w:p>
        </w:tc>
        <w:tc>
          <w:tcPr>
            <w:tcW w:type="dxa" w:w="3135"/>
            <w:shd w:val="clear" w:color="auto" w:fill="DDEBF7"/>
          </w:tcPr>
          <w:p>
            <w:r>
              <w:rPr>
                <w:rFonts w:ascii="Meiryo UI" w:hAnsi="Meiryo UI"/>
                <w:sz w:val="18"/>
              </w:rPr>
              <w:t>長期的不動産価値解放</w:t>
            </w:r>
          </w:p>
        </w:tc>
      </w:tr>
    </w:tbl>
    <w:p/>
    <w:p>
      <w:r>
        <w:t>──────────────────────────────────────────────────</w:t>
      </w:r>
    </w:p>
    <w:p/>
    <w:p>
      <w:pPr>
        <w:pStyle w:val="Heading2"/>
      </w:pPr>
      <w:r>
        <w:rPr>
          <w:rFonts w:ascii="Meiryo UI" w:hAnsi="Meiryo UI"/>
          <w:color w:val="2E74B5"/>
        </w:rPr>
        <w:t>2. 社長指示の重点分析：「ずっと上がらない。買えるか？」</w:t>
      </w:r>
    </w:p>
    <w:p/>
    <w:p>
      <w:pPr>
        <w:pStyle w:val="Heading3"/>
      </w:pPr>
      <w:r>
        <w:rPr>
          <w:rFonts w:ascii="Meiryo UI" w:hAnsi="Meiryo UI"/>
          <w:color w:val="2E74B5"/>
        </w:rPr>
        <w:t>2-1. なぜ株価が上がらないのか（4つの構造的原因）</w:t>
      </w:r>
    </w:p>
    <w:p/>
    <w:p>
      <w:pPr>
        <w:pStyle w:val="Heading4"/>
      </w:pPr>
      <w:r>
        <w:rPr>
          <w:rFonts w:ascii="Meiryo UI" w:hAnsi="Meiryo UI"/>
          <w:color w:val="2E74B5"/>
        </w:rPr>
        <w:t>原因①：「地味すぎる事業＋流動性の薄さ」による市場無視</w:t>
      </w:r>
    </w:p>
    <w:p>
      <w:r>
        <w:rPr>
          <w:rFonts w:ascii="Meiryo UI" w:hAnsi="Meiryo UI"/>
          <w:sz w:val="20"/>
        </w:rPr>
        <w:t>東京都競馬は競馬・テーマパーク・不動産という3つの地味な事業の組み合わせ。グロース投資家の視野外で、機関投資家のカバレッジも極めて少ない。東証スタンダード市場×出来高薄い小型株という条件が重なり、市場のスクリーニングから外れている。</w:t>
      </w:r>
    </w:p>
    <w:p/>
    <w:p>
      <w:pPr>
        <w:pStyle w:val="Heading4"/>
      </w:pPr>
      <w:r>
        <w:rPr>
          <w:rFonts w:ascii="Meiryo UI" w:hAnsi="Meiryo UI"/>
          <w:color w:val="2E74B5"/>
        </w:rPr>
        <w:t>原因②：東京都が筆頭株主→「何も変えない」ガバナンス</w:t>
      </w:r>
    </w:p>
    <w:p>
      <w:r>
        <w:rPr>
          <w:rFonts w:ascii="Meiryo UI" w:hAnsi="Meiryo UI"/>
          <w:sz w:val="20"/>
        </w:rPr>
        <w:t>東京都が大株主として存在する限り、TOBや経営権争奪は実質的に発生しない。アクティビストが入っても東京都という壁が株主還元圧力を吸収してしまう。「変化が起きないから株価が上がらない」という合理的な市場の評価が形成されている。</w:t>
      </w:r>
    </w:p>
    <w:p/>
    <w:p>
      <w:pPr>
        <w:pStyle w:val="Heading4"/>
      </w:pPr>
      <w:r>
        <w:rPr>
          <w:rFonts w:ascii="Meiryo UI" w:hAnsi="Meiryo UI"/>
          <w:color w:val="2E74B5"/>
        </w:rPr>
        <w:t>原因③：成長ストーリーの欠如</w:t>
      </w:r>
    </w:p>
    <w:p>
      <w:r>
        <w:rPr>
          <w:rFonts w:ascii="Meiryo UI" w:hAnsi="Meiryo UI"/>
          <w:sz w:val="20"/>
        </w:rPr>
        <w:t>EPSは¥392、PER14.8倍、ROE11.3%と財務的に健全だが、売上高の成長率が低い（競馬売上の人口動態的逓減）。グロース投資家が買わず、バリュー投資家も「いつ開放されるかわからない」として敬遠。典型的なバリュートラップの外観を呈している。</w:t>
      </w:r>
    </w:p>
    <w:p/>
    <w:p>
      <w:pPr>
        <w:pStyle w:val="Heading4"/>
      </w:pPr>
      <w:r>
        <w:rPr>
          <w:rFonts w:ascii="Meiryo UI" w:hAnsi="Meiryo UI"/>
          <w:color w:val="2E74B5"/>
        </w:rPr>
        <w:t>原因④：含み益の「見えにくさ」</w:t>
      </w:r>
    </w:p>
    <w:p>
      <w:r>
        <w:rPr>
          <w:rFonts w:ascii="Meiryo UI" w:hAnsi="Meiryo UI"/>
          <w:sz w:val="20"/>
        </w:rPr>
        <w:t>不動産の含み益は有価証券報告書の注記に埋もれており、IR発信力が極めて低い。投資家が自分で読み解かないと気づかない構造。</w:t>
      </w:r>
    </w:p>
    <w:p/>
    <w:p>
      <w:pPr>
        <w:pStyle w:val="Heading3"/>
      </w:pPr>
      <w:r>
        <w:rPr>
          <w:rFonts w:ascii="Meiryo UI" w:hAnsi="Meiryo UI"/>
          <w:color w:val="2E74B5"/>
        </w:rPr>
        <w:t>2-2. 「バリュートラップ」か「本物のバリュー株」か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判断軸</w:t>
            </w:r>
          </w:p>
        </w:tc>
        <w:tc>
          <w:tcPr>
            <w:tcW w:type="dxa" w:w="2351"/>
            <w:shd w:val="clear" w:color="auto" w:fill="2E74B5"/>
          </w:tcPr>
          <w:p>
            <w:r>
              <w:rPr>
                <w:rFonts w:ascii="Meiryo UI" w:hAnsi="Meiryo UI"/>
                <w:b/>
                <w:color w:val="FFFFFF"/>
                <w:sz w:val="18"/>
              </w:rPr>
              <w:t>バリュートラップの条件</w:t>
            </w:r>
          </w:p>
        </w:tc>
        <w:tc>
          <w:tcPr>
            <w:tcW w:type="dxa" w:w="2351"/>
            <w:shd w:val="clear" w:color="auto" w:fill="2E74B5"/>
          </w:tcPr>
          <w:p>
            <w:r>
              <w:rPr>
                <w:rFonts w:ascii="Meiryo UI" w:hAnsi="Meiryo UI"/>
                <w:b/>
                <w:color w:val="FFFFFF"/>
                <w:sz w:val="18"/>
              </w:rPr>
              <w:t>東京都競馬の実態</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事業の競争力低下</w:t>
            </w:r>
          </w:p>
        </w:tc>
        <w:tc>
          <w:tcPr>
            <w:tcW w:type="dxa" w:w="2351"/>
          </w:tcPr>
          <w:p>
            <w:r>
              <w:rPr>
                <w:rFonts w:ascii="Meiryo UI" w:hAnsi="Meiryo UI"/>
                <w:sz w:val="18"/>
              </w:rPr>
              <w:t>参入障壁消滅</w:t>
            </w:r>
          </w:p>
        </w:tc>
        <w:tc>
          <w:tcPr>
            <w:tcW w:type="dxa" w:w="2351"/>
          </w:tcPr>
          <w:p>
            <w:r>
              <w:rPr>
                <w:rFonts w:ascii="Meiryo UI" w:hAnsi="Meiryo UI"/>
                <w:sz w:val="18"/>
              </w:rPr>
              <w:t>ライセンス独占継続</w:t>
            </w:r>
          </w:p>
        </w:tc>
        <w:tc>
          <w:tcPr>
            <w:tcW w:type="dxa" w:w="2351"/>
          </w:tcPr>
          <w:p>
            <w:r>
              <w:rPr>
                <w:rFonts w:ascii="Meiryo UI" w:hAnsi="Meiryo UI"/>
                <w:sz w:val="18"/>
              </w:rPr>
              <w:t>✅ トラップではない</w:t>
            </w:r>
          </w:p>
        </w:tc>
      </w:tr>
      <w:tr>
        <w:tc>
          <w:tcPr>
            <w:tcW w:type="dxa" w:w="2351"/>
            <w:shd w:val="clear" w:color="auto" w:fill="DDEBF7"/>
          </w:tcPr>
          <w:p>
            <w:r>
              <w:rPr>
                <w:rFonts w:ascii="Meiryo UI" w:hAnsi="Meiryo UI"/>
                <w:sz w:val="18"/>
              </w:rPr>
              <w:t>資産劣化</w:t>
            </w:r>
          </w:p>
        </w:tc>
        <w:tc>
          <w:tcPr>
            <w:tcW w:type="dxa" w:w="2351"/>
            <w:shd w:val="clear" w:color="auto" w:fill="DDEBF7"/>
          </w:tcPr>
          <w:p>
            <w:r>
              <w:rPr>
                <w:rFonts w:ascii="Meiryo UI" w:hAnsi="Meiryo UI"/>
                <w:sz w:val="18"/>
              </w:rPr>
              <w:t>不動産価値下落</w:t>
            </w:r>
          </w:p>
        </w:tc>
        <w:tc>
          <w:tcPr>
            <w:tcW w:type="dxa" w:w="2351"/>
            <w:shd w:val="clear" w:color="auto" w:fill="DDEBF7"/>
          </w:tcPr>
          <w:p>
            <w:r>
              <w:rPr>
                <w:rFonts w:ascii="Meiryo UI" w:hAnsi="Meiryo UI"/>
                <w:sz w:val="18"/>
              </w:rPr>
              <w:t>東京近郊・地価上昇環境</w:t>
            </w:r>
          </w:p>
        </w:tc>
        <w:tc>
          <w:tcPr>
            <w:tcW w:type="dxa" w:w="2351"/>
            <w:shd w:val="clear" w:color="auto" w:fill="DDEBF7"/>
          </w:tcPr>
          <w:p>
            <w:r>
              <w:rPr>
                <w:rFonts w:ascii="Meiryo UI" w:hAnsi="Meiryo UI"/>
                <w:sz w:val="18"/>
              </w:rPr>
              <w:t>✅ トラップではない</w:t>
            </w:r>
          </w:p>
        </w:tc>
      </w:tr>
      <w:tr>
        <w:tc>
          <w:tcPr>
            <w:tcW w:type="dxa" w:w="2351"/>
          </w:tcPr>
          <w:p>
            <w:r>
              <w:rPr>
                <w:rFonts w:ascii="Meiryo UI" w:hAnsi="Meiryo UI"/>
                <w:sz w:val="18"/>
              </w:rPr>
              <w:t>経営陣の還元意欲</w:t>
            </w:r>
          </w:p>
        </w:tc>
        <w:tc>
          <w:tcPr>
            <w:tcW w:type="dxa" w:w="2351"/>
          </w:tcPr>
          <w:p>
            <w:r>
              <w:rPr>
                <w:rFonts w:ascii="Meiryo UI" w:hAnsi="Meiryo UI"/>
                <w:sz w:val="18"/>
              </w:rPr>
              <w:t>配当を削減し続ける</w:t>
            </w:r>
          </w:p>
        </w:tc>
        <w:tc>
          <w:tcPr>
            <w:tcW w:type="dxa" w:w="2351"/>
          </w:tcPr>
          <w:p>
            <w:r>
              <w:rPr>
                <w:rFonts w:ascii="Meiryo UI" w:hAnsi="Meiryo UI"/>
                <w:sz w:val="18"/>
              </w:rPr>
              <w:t>累進配当傾向あり（要確認）</w:t>
            </w:r>
          </w:p>
        </w:tc>
        <w:tc>
          <w:tcPr>
            <w:tcW w:type="dxa" w:w="2351"/>
          </w:tcPr>
          <w:p>
            <w:r>
              <w:rPr>
                <w:rFonts w:ascii="Meiryo UI" w:hAnsi="Meiryo UI"/>
                <w:sz w:val="18"/>
              </w:rPr>
              <w:t>⚠️ 微妙</w:t>
            </w:r>
          </w:p>
        </w:tc>
      </w:tr>
      <w:tr>
        <w:tc>
          <w:tcPr>
            <w:tcW w:type="dxa" w:w="2351"/>
            <w:shd w:val="clear" w:color="auto" w:fill="DDEBF7"/>
          </w:tcPr>
          <w:p>
            <w:r>
              <w:rPr>
                <w:rFonts w:ascii="Meiryo UI" w:hAnsi="Meiryo UI"/>
                <w:sz w:val="18"/>
              </w:rPr>
              <w:t>カタリストの有無</w:t>
            </w:r>
          </w:p>
        </w:tc>
        <w:tc>
          <w:tcPr>
            <w:tcW w:type="dxa" w:w="2351"/>
            <w:shd w:val="clear" w:color="auto" w:fill="DDEBF7"/>
          </w:tcPr>
          <w:p>
            <w:r>
              <w:rPr>
                <w:rFonts w:ascii="Meiryo UI" w:hAnsi="Meiryo UI"/>
                <w:sz w:val="18"/>
              </w:rPr>
              <w:t>永遠に変化なし</w:t>
            </w:r>
          </w:p>
        </w:tc>
        <w:tc>
          <w:tcPr>
            <w:tcW w:type="dxa" w:w="2351"/>
            <w:shd w:val="clear" w:color="auto" w:fill="DDEBF7"/>
          </w:tcPr>
          <w:p>
            <w:r>
              <w:rPr>
                <w:rFonts w:ascii="Meiryo UI" w:hAnsi="Meiryo UI"/>
                <w:sz w:val="18"/>
              </w:rPr>
              <w:t>東証圧力・決算×資本政策</w:t>
            </w:r>
          </w:p>
        </w:tc>
        <w:tc>
          <w:tcPr>
            <w:tcW w:type="dxa" w:w="2351"/>
            <w:shd w:val="clear" w:color="auto" w:fill="DDEBF7"/>
          </w:tcPr>
          <w:p>
            <w:r>
              <w:rPr>
                <w:rFonts w:ascii="Meiryo UI" w:hAnsi="Meiryo UI"/>
                <w:sz w:val="18"/>
              </w:rPr>
              <w:t>✅ カタリスト存在</w:t>
            </w:r>
          </w:p>
        </w:tc>
      </w:tr>
      <w:tr>
        <w:tc>
          <w:tcPr>
            <w:tcW w:type="dxa" w:w="2351"/>
          </w:tcPr>
          <w:p>
            <w:r>
              <w:rPr>
                <w:rFonts w:ascii="Meiryo UI" w:hAnsi="Meiryo UI"/>
                <w:sz w:val="18"/>
              </w:rPr>
              <w:t>財務健全性</w:t>
            </w:r>
          </w:p>
        </w:tc>
        <w:tc>
          <w:tcPr>
            <w:tcW w:type="dxa" w:w="2351"/>
          </w:tcPr>
          <w:p>
            <w:r>
              <w:rPr>
                <w:rFonts w:ascii="Meiryo UI" w:hAnsi="Meiryo UI"/>
                <w:sz w:val="18"/>
              </w:rPr>
              <w:t>借金膨張</w:t>
            </w:r>
          </w:p>
        </w:tc>
        <w:tc>
          <w:tcPr>
            <w:tcW w:type="dxa" w:w="2351"/>
          </w:tcPr>
          <w:p>
            <w:r>
              <w:rPr>
                <w:rFonts w:ascii="Meiryo UI" w:hAnsi="Meiryo UI"/>
                <w:sz w:val="18"/>
              </w:rPr>
              <w:t>低レバレッジ</w:t>
            </w:r>
          </w:p>
        </w:tc>
        <w:tc>
          <w:tcPr>
            <w:tcW w:type="dxa" w:w="2351"/>
          </w:tcPr>
          <w:p>
            <w:r>
              <w:rPr>
                <w:rFonts w:ascii="Meiryo UI" w:hAnsi="Meiryo UI"/>
                <w:sz w:val="18"/>
              </w:rPr>
              <w:t>✅ 健全</w:t>
            </w:r>
          </w:p>
        </w:tc>
      </w:tr>
    </w:tbl>
    <w:p/>
    <w:p>
      <w:r>
        <w:rPr>
          <w:rFonts w:ascii="Meiryo UI" w:hAnsi="Meiryo UI"/>
          <w:sz w:val="20"/>
        </w:rPr>
        <w:t>結論：バリュートラップではなく「放置されたバリュー株」。カタリストさえ来れば動く。</w:t>
      </w:r>
    </w:p>
    <w:p/>
    <w:p>
      <w:pPr>
        <w:pStyle w:val="Heading3"/>
      </w:pPr>
      <w:r>
        <w:rPr>
          <w:rFonts w:ascii="Meiryo UI" w:hAnsi="Meiryo UI"/>
          <w:color w:val="2E74B5"/>
        </w:rPr>
        <w:t>2-3. 「買えるか？」への明確回答</w:t>
      </w:r>
    </w:p>
    <w:p/>
    <w:p>
      <w:r>
        <w:rPr>
          <w:rFonts w:ascii="Meiryo UI" w:hAnsi="Meiryo UI"/>
          <w:sz w:val="20"/>
        </w:rPr>
        <w:t>→ 買える。ただし「いつ動くかわからない」覚悟が必要。</w:t>
      </w:r>
    </w:p>
    <w:p/>
    <w:p>
      <w:pPr>
        <w:pStyle w:val="ListBullet"/>
      </w:pPr>
      <w:r>
        <w:rPr>
          <w:rFonts w:ascii="Meiryo UI" w:hAnsi="Meiryo UI"/>
          <w:sz w:val="20"/>
        </w:rPr>
        <w:t>PBR1.59倍は純粋な簿価ベース。不動産含み益を加味したNAVベースでは実質PBRはさらに低い可能性が高い。</w:t>
      </w:r>
    </w:p>
    <w:p>
      <w:pPr>
        <w:pStyle w:val="ListBullet"/>
      </w:pPr>
      <w:r>
        <w:rPr>
          <w:rFonts w:ascii="Meiryo UI" w:hAnsi="Meiryo UI"/>
          <w:sz w:val="20"/>
        </w:rPr>
        <w:t>ROE11.3%×PBR1.59倍は「稼ぐ力はあるが市場が評価していない」状態。</w:t>
      </w:r>
    </w:p>
    <w:p>
      <w:pPr>
        <w:pStyle w:val="ListBullet"/>
      </w:pPr>
      <w:r>
        <w:rPr>
          <w:rFonts w:ascii="Meiryo UI" w:hAnsi="Meiryo UI"/>
          <w:sz w:val="20"/>
        </w:rPr>
        <w:t>東証のPBR是正圧力が続く中、経営陣が動けば株価は6〜12ヶ月で20〜45%の上値がある。</w:t>
      </w:r>
    </w:p>
    <w:p>
      <w:pPr>
        <w:pStyle w:val="ListBullet"/>
      </w:pPr>
      <w:r>
        <w:rPr>
          <w:rFonts w:ascii="Meiryo UI" w:hAnsi="Meiryo UI"/>
          <w:sz w:val="20"/>
        </w:rPr>
        <w:t>動かなければ「配当をもらいながら待つ」戦略で十分成立する。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提供財務指標（リアルタイム確定値）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¥5,790</w:t>
            </w:r>
          </w:p>
        </w:tc>
        <w:tc>
          <w:tcPr>
            <w:tcW w:type="dxa" w:w="3135"/>
          </w:tcPr>
          <w:p>
            <w:r>
              <w:rPr>
                <w:rFonts w:ascii="Meiryo UI" w:hAnsi="Meiryo UI"/>
                <w:sz w:val="18"/>
              </w:rPr>
              <w:t>2026-04-15 09:43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1.59倍</w:t>
            </w:r>
          </w:p>
        </w:tc>
        <w:tc>
          <w:tcPr>
            <w:tcW w:type="dxa" w:w="3135"/>
            <w:shd w:val="clear" w:color="auto" w:fill="DDEBF7"/>
          </w:tcPr>
          <w:p>
            <w:r>
              <w:rPr>
                <w:rFonts w:ascii="Meiryo UI" w:hAnsi="Meiryo UI"/>
                <w:sz w:val="18"/>
              </w:rPr>
              <w:t>Yahoo Finance 確定値</w:t>
            </w:r>
          </w:p>
        </w:tc>
      </w:tr>
      <w:tr>
        <w:tc>
          <w:tcPr>
            <w:tcW w:type="dxa" w:w="3135"/>
          </w:tcPr>
          <w:p>
            <w:r>
              <w:rPr>
                <w:rFonts w:ascii="Meiryo UI" w:hAnsi="Meiryo UI"/>
                <w:sz w:val="18"/>
              </w:rPr>
              <w:t>BPS</w:t>
            </w:r>
          </w:p>
        </w:tc>
        <w:tc>
          <w:tcPr>
            <w:tcW w:type="dxa" w:w="3135"/>
          </w:tcPr>
          <w:p>
            <w:r>
              <w:rPr>
                <w:rFonts w:ascii="Meiryo UI" w:hAnsi="Meiryo UI"/>
                <w:sz w:val="18"/>
              </w:rPr>
              <w:t>¥3,639</w:t>
            </w:r>
          </w:p>
        </w:tc>
        <w:tc>
          <w:tcPr>
            <w:tcW w:type="dxa" w:w="3135"/>
          </w:tcPr>
          <w:p>
            <w:r>
              <w:rPr>
                <w:rFonts w:ascii="Meiryo UI" w:hAnsi="Meiryo UI"/>
                <w:sz w:val="18"/>
              </w:rPr>
              <w:t>Yahoo Finance 確定値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11.3%</w:t>
            </w:r>
          </w:p>
        </w:tc>
        <w:tc>
          <w:tcPr>
            <w:tcW w:type="dxa" w:w="3135"/>
            <w:shd w:val="clear" w:color="auto" w:fill="DDEBF7"/>
          </w:tcPr>
          <w:p>
            <w:r>
              <w:rPr>
                <w:rFonts w:ascii="Meiryo UI" w:hAnsi="Meiryo UI"/>
                <w:sz w:val="18"/>
              </w:rPr>
              <w:t>Yahoo Finance 確定値</w:t>
            </w:r>
          </w:p>
        </w:tc>
      </w:tr>
      <w:tr>
        <w:tc>
          <w:tcPr>
            <w:tcW w:type="dxa" w:w="3135"/>
          </w:tcPr>
          <w:p>
            <w:r>
              <w:rPr>
                <w:rFonts w:ascii="Meiryo UI" w:hAnsi="Meiryo UI"/>
                <w:sz w:val="18"/>
              </w:rPr>
              <w:t>PER</w:t>
            </w:r>
          </w:p>
        </w:tc>
        <w:tc>
          <w:tcPr>
            <w:tcW w:type="dxa" w:w="3135"/>
          </w:tcPr>
          <w:p>
            <w:r>
              <w:rPr>
                <w:rFonts w:ascii="Meiryo UI" w:hAnsi="Meiryo UI"/>
                <w:sz w:val="18"/>
              </w:rPr>
              <w:t>14.8倍</w:t>
            </w:r>
          </w:p>
        </w:tc>
        <w:tc>
          <w:tcPr>
            <w:tcW w:type="dxa" w:w="3135"/>
          </w:tcPr>
          <w:p>
            <w:r>
              <w:rPr>
                <w:rFonts w:ascii="Meiryo UI" w:hAnsi="Meiryo UI"/>
                <w:sz w:val="18"/>
              </w:rPr>
              <w:t>Yahoo Finance 確定値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¥392</w:t>
            </w:r>
          </w:p>
        </w:tc>
        <w:tc>
          <w:tcPr>
            <w:tcW w:type="dxa" w:w="3135"/>
            <w:shd w:val="clear" w:color="auto" w:fill="DDEBF7"/>
          </w:tcPr>
          <w:p>
            <w:r>
              <w:rPr>
                <w:rFonts w:ascii="Meiryo UI" w:hAnsi="Meiryo UI"/>
                <w:sz w:val="18"/>
              </w:rPr>
              <w:t>Yahoo Finance 確定値</w:t>
            </w:r>
          </w:p>
        </w:tc>
      </w:tr>
    </w:tbl>
    <w:p/>
    <w:p>
      <w:pPr>
        <w:pStyle w:val="Heading3"/>
      </w:pPr>
      <w:r>
        <w:rPr>
          <w:rFonts w:ascii="Meiryo UI" w:hAnsi="Meiryo UI"/>
          <w:color w:val="2E74B5"/>
        </w:rPr>
        <w:t>3-2. 財務健全性チェック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純資産総額</w:t>
            </w:r>
          </w:p>
        </w:tc>
        <w:tc>
          <w:tcPr>
            <w:tcW w:type="dxa" w:w="3135"/>
          </w:tcPr>
          <w:p>
            <w:r>
              <w:rPr>
                <w:rFonts w:ascii="Meiryo UI" w:hAnsi="Meiryo UI"/>
                <w:sz w:val="18"/>
              </w:rPr>
              <w:t>BPS¥3,639×株数（推計2,000万株前後）≒¥72〜75億円規模</w:t>
            </w:r>
          </w:p>
        </w:tc>
        <w:tc>
          <w:tcPr>
            <w:tcW w:type="dxa" w:w="3135"/>
          </w:tcPr>
          <w:p>
            <w:r>
              <w:rPr>
                <w:rFonts w:ascii="Meiryo UI" w:hAnsi="Meiryo UI"/>
                <w:sz w:val="18"/>
              </w:rPr>
              <w:t>安定的</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11.3%</w:t>
            </w:r>
          </w:p>
        </w:tc>
        <w:tc>
          <w:tcPr>
            <w:tcW w:type="dxa" w:w="3135"/>
            <w:shd w:val="clear" w:color="auto" w:fill="DDEBF7"/>
          </w:tcPr>
          <w:p>
            <w:r>
              <w:rPr>
                <w:rFonts w:ascii="Meiryo UI" w:hAnsi="Meiryo UI"/>
                <w:sz w:val="18"/>
              </w:rPr>
              <w:t>良好（≥10%基準クリア）</w:t>
            </w:r>
          </w:p>
        </w:tc>
      </w:tr>
      <w:tr>
        <w:tc>
          <w:tcPr>
            <w:tcW w:type="dxa" w:w="3135"/>
          </w:tcPr>
          <w:p>
            <w:r>
              <w:rPr>
                <w:rFonts w:ascii="Meiryo UI" w:hAnsi="Meiryo UI"/>
                <w:sz w:val="18"/>
              </w:rPr>
              <w:t>実力EPS</w:t>
            </w:r>
          </w:p>
        </w:tc>
        <w:tc>
          <w:tcPr>
            <w:tcW w:type="dxa" w:w="3135"/>
          </w:tcPr>
          <w:p>
            <w:r>
              <w:rPr>
                <w:rFonts w:ascii="Meiryo UI" w:hAnsi="Meiryo UI"/>
                <w:sz w:val="18"/>
              </w:rPr>
              <w:t>¥340〜¥370（保守値）</w:t>
            </w:r>
          </w:p>
        </w:tc>
        <w:tc>
          <w:tcPr>
            <w:tcW w:type="dxa" w:w="3135"/>
          </w:tcPr>
          <w:p>
            <w:r>
              <w:rPr>
                <w:rFonts w:ascii="Meiryo UI" w:hAnsi="Meiryo UI"/>
                <w:sz w:val="18"/>
              </w:rPr>
              <w:t>安定</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推定2.5〜3.0%</w:t>
            </w:r>
          </w:p>
        </w:tc>
        <w:tc>
          <w:tcPr>
            <w:tcW w:type="dxa" w:w="3135"/>
            <w:shd w:val="clear" w:color="auto" w:fill="DDEBF7"/>
          </w:tcPr>
          <w:p>
            <w:r>
              <w:rPr>
                <w:rFonts w:ascii="Meiryo UI" w:hAnsi="Meiryo UI"/>
                <w:sz w:val="18"/>
              </w:rPr>
              <w:t>水準的に合格</w:t>
            </w:r>
          </w:p>
        </w:tc>
      </w:tr>
      <w:tr>
        <w:tc>
          <w:tcPr>
            <w:tcW w:type="dxa" w:w="3135"/>
          </w:tcPr>
          <w:p>
            <w:r>
              <w:rPr>
                <w:rFonts w:ascii="Meiryo UI" w:hAnsi="Meiryo UI"/>
                <w:sz w:val="18"/>
              </w:rPr>
              <w:t>D/Eレシオ</w:t>
            </w:r>
          </w:p>
        </w:tc>
        <w:tc>
          <w:tcPr>
            <w:tcW w:type="dxa" w:w="3135"/>
          </w:tcPr>
          <w:p>
            <w:r>
              <w:rPr>
                <w:rFonts w:ascii="Meiryo UI" w:hAnsi="Meiryo UI"/>
                <w:sz w:val="18"/>
              </w:rPr>
              <w:t>推定0.1〜0.2（実質無借金に近い）</w:t>
            </w:r>
          </w:p>
        </w:tc>
        <w:tc>
          <w:tcPr>
            <w:tcW w:type="dxa" w:w="3135"/>
          </w:tcPr>
          <w:p>
            <w:r>
              <w:rPr>
                <w:rFonts w:ascii="Meiryo UI" w:hAnsi="Meiryo UI"/>
                <w:sz w:val="18"/>
              </w:rPr>
              <w:t>非常に健全</w:t>
            </w:r>
          </w:p>
        </w:tc>
      </w:tr>
    </w:tbl>
    <w:p/>
    <w:p>
      <w:pPr>
        <w:pStyle w:val="Heading3"/>
      </w:pPr>
      <w:r>
        <w:rPr>
          <w:rFonts w:ascii="Meiryo UI" w:hAnsi="Meiryo UI"/>
          <w:color w:val="2E74B5"/>
        </w:rPr>
        <w:t>3-3. 収益の質分析</w:t>
      </w:r>
    </w:p>
    <w:p/>
    <w:p>
      <w:pPr>
        <w:pStyle w:val="ListBullet"/>
      </w:pPr>
      <w:r>
        <w:rPr>
          <w:rFonts w:ascii="Meiryo UI" w:hAnsi="Meiryo UI"/>
          <w:sz w:val="20"/>
        </w:rPr>
        <w:t>競馬収益：法律に守られた準公益事業。景気への感応度は他業種比で低い。</w:t>
      </w:r>
    </w:p>
    <w:p>
      <w:pPr>
        <w:pStyle w:val="ListBullet"/>
      </w:pPr>
      <w:r>
        <w:rPr>
          <w:rFonts w:ascii="Meiryo UI" w:hAnsi="Meiryo UI"/>
          <w:sz w:val="20"/>
        </w:rPr>
        <w:t>レジャー施設：変動費型コスト構造だが固定費も重い。稼働率依存。</w:t>
      </w:r>
    </w:p>
    <w:p>
      <w:pPr>
        <w:pStyle w:val="ListBullet"/>
      </w:pPr>
      <w:r>
        <w:rPr>
          <w:rFonts w:ascii="Meiryo UI" w:hAnsi="Meiryo UI"/>
          <w:sz w:val="20"/>
        </w:rPr>
        <w:t>不動産賃貸：最も「質の高い収益」。固定的で予見可能。</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WACCの算出</w:t>
      </w:r>
    </w:p>
    <w:p/>
    <w:p>
      <w:pPr>
        <w:pStyle w:val="Heading4"/>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2.423%</w:t>
            </w:r>
          </w:p>
        </w:tc>
        <w:tc>
          <w:tcPr>
            <w:tcW w:type="dxa" w:w="3135"/>
          </w:tcPr>
          <w:p>
            <w:r>
              <w:rPr>
                <w:rFonts w:ascii="Meiryo UI" w:hAnsi="Meiryo UI"/>
                <w:sz w:val="18"/>
              </w:rPr>
              <w:t>JGB10年（財務省 R8.4.14確定値）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日本株市場標準（Damodaran 2025年日本推計）</w:t>
            </w:r>
          </w:p>
        </w:tc>
      </w:tr>
      <w:tr>
        <w:tc>
          <w:tcPr>
            <w:tcW w:type="dxa" w:w="3135"/>
          </w:tcPr>
          <w:p>
            <w:r>
              <w:rPr>
                <w:rFonts w:ascii="Meiryo UI" w:hAnsi="Meiryo UI"/>
                <w:sz w:val="18"/>
              </w:rPr>
              <w:t>β（ベータ）</w:t>
            </w:r>
          </w:p>
        </w:tc>
        <w:tc>
          <w:tcPr>
            <w:tcW w:type="dxa" w:w="3135"/>
          </w:tcPr>
          <w:p>
            <w:r>
              <w:rPr>
                <w:rFonts w:ascii="Meiryo UI" w:hAnsi="Meiryo UI"/>
                <w:sz w:val="18"/>
              </w:rPr>
              <w:t>0.65</w:t>
            </w:r>
          </w:p>
        </w:tc>
        <w:tc>
          <w:tcPr>
            <w:tcW w:type="dxa" w:w="3135"/>
          </w:tcPr>
          <w:p>
            <w:r>
              <w:rPr>
                <w:rFonts w:ascii="Meiryo UI" w:hAnsi="Meiryo UI"/>
                <w:sz w:val="18"/>
              </w:rPr>
              <w:t>東証スタンダード小型・競馬/レジャー/不動産複合業態。市場平均より低変動。過去5年推計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2.423% + 0.65 × 5.5% = 5.998% ≒ 6.0%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Rd（借入コスト）</w:t>
            </w:r>
          </w:p>
        </w:tc>
        <w:tc>
          <w:tcPr>
            <w:tcW w:type="dxa" w:w="3135"/>
          </w:tcPr>
          <w:p>
            <w:r>
              <w:rPr>
                <w:rFonts w:ascii="Meiryo UI" w:hAnsi="Meiryo UI"/>
                <w:sz w:val="18"/>
              </w:rPr>
              <w:t>1.2%</w:t>
            </w:r>
          </w:p>
        </w:tc>
        <w:tc>
          <w:tcPr>
            <w:tcW w:type="dxa" w:w="3135"/>
          </w:tcPr>
          <w:p>
            <w:r>
              <w:rPr>
                <w:rFonts w:ascii="Meiryo UI" w:hAnsi="Meiryo UI"/>
                <w:sz w:val="18"/>
              </w:rPr>
              <w:t>低レバレッジ・格付けAA相当の公的色彩企業</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日本法人標準</w:t>
            </w:r>
          </w:p>
        </w:tc>
      </w:tr>
      <w:tr>
        <w:tc>
          <w:tcPr>
            <w:tcW w:type="dxa" w:w="3135"/>
          </w:tcPr>
          <w:p>
            <w:r>
              <w:rPr>
                <w:rFonts w:ascii="Meiryo UI" w:hAnsi="Meiryo UI"/>
                <w:sz w:val="18"/>
              </w:rPr>
              <w:t>E/(D+E)</w:t>
            </w:r>
          </w:p>
        </w:tc>
        <w:tc>
          <w:tcPr>
            <w:tcW w:type="dxa" w:w="3135"/>
          </w:tcPr>
          <w:p>
            <w:r>
              <w:rPr>
                <w:rFonts w:ascii="Meiryo UI" w:hAnsi="Meiryo UI"/>
                <w:sz w:val="18"/>
              </w:rPr>
              <w:t>85%</w:t>
            </w:r>
          </w:p>
        </w:tc>
        <w:tc>
          <w:tcPr>
            <w:tcW w:type="dxa" w:w="3135"/>
          </w:tcPr>
          <w:p>
            <w:r>
              <w:rPr>
                <w:rFonts w:ascii="Meiryo UI" w:hAnsi="Meiryo UI"/>
                <w:sz w:val="18"/>
              </w:rPr>
              <w:t>実質無借金に近い資本構成</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r>
          </w:p>
        </w:tc>
      </w:tr>
    </w:tbl>
    <w:p/>
    <w:p>
      <w:pPr>
        <w:pStyle w:val="Heading4"/>
      </w:pPr>
      <w:r>
        <w:rPr>
          <w:rFonts w:ascii="Meiryo UI" w:hAnsi="Meiryo UI"/>
          <w:color w:val="2E74B5"/>
        </w:rPr>
        <w:t>WACC計算</w:t>
      </w:r>
    </w:p>
    <w:p/>
    <w:p>
      <w:pPr>
        <w:shd w:val="clear" w:color="auto" w:fill="F2F2F2"/>
      </w:pPr>
      <w:r>
        <w:rPr>
          <w:rFonts w:ascii="Courier New" w:hAnsi="Courier New"/>
          <w:sz w:val="16"/>
        </w:rPr>
        <w:t>WACC = 0.85 × 6.0% + 0.15 × 1.2% × (1 - 0.30)</w:t>
        <w:br/>
        <w:t xml:space="preserve">     = 5.10% + 0.126%</w:t>
        <w:br/>
        <w:t xml:space="preserve">     = 5.226% ≒ 5.23%</w:t>
      </w:r>
    </w:p>
    <w:p/>
    <w:p>
      <w:pPr>
        <w:pStyle w:val="Heading3"/>
      </w:pPr>
      <w:r>
        <w:rPr>
          <w:rFonts w:ascii="Meiryo UI" w:hAnsi="Meiryo UI"/>
          <w:color w:val="2E74B5"/>
        </w:rPr>
        <w:t>4-2. DCF前提条件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ベース売上高（FY2026E）</w:t>
            </w:r>
          </w:p>
        </w:tc>
        <w:tc>
          <w:tcPr>
            <w:tcW w:type="dxa" w:w="3135"/>
          </w:tcPr>
          <w:p>
            <w:r>
              <w:rPr>
                <w:rFonts w:ascii="Meiryo UI" w:hAnsi="Meiryo UI"/>
                <w:sz w:val="18"/>
              </w:rPr>
              <w:t>約¥26,000〜¥28,000百万</w:t>
            </w:r>
          </w:p>
        </w:tc>
        <w:tc>
          <w:tcPr>
            <w:tcW w:type="dxa" w:w="3135"/>
          </w:tcPr>
          <w:p>
            <w:r>
              <w:rPr>
                <w:rFonts w:ascii="Meiryo UI" w:hAnsi="Meiryo UI"/>
                <w:sz w:val="18"/>
              </w:rPr>
              <w:t>過去決算推計</w:t>
            </w:r>
          </w:p>
        </w:tc>
      </w:tr>
      <w:tr>
        <w:tc>
          <w:tcPr>
            <w:tcW w:type="dxa" w:w="3135"/>
            <w:shd w:val="clear" w:color="auto" w:fill="DDEBF7"/>
          </w:tcPr>
          <w:p>
            <w:r>
              <w:rPr>
                <w:rFonts w:ascii="Meiryo UI" w:hAnsi="Meiryo UI"/>
                <w:sz w:val="18"/>
              </w:rPr>
              <w:t>EBIT（事業利益）マージン</w:t>
            </w:r>
          </w:p>
        </w:tc>
        <w:tc>
          <w:tcPr>
            <w:tcW w:type="dxa" w:w="3135"/>
            <w:shd w:val="clear" w:color="auto" w:fill="DDEBF7"/>
          </w:tcPr>
          <w:p>
            <w:r>
              <w:rPr>
                <w:rFonts w:ascii="Meiryo UI" w:hAnsi="Meiryo UI"/>
                <w:sz w:val="18"/>
              </w:rPr>
              <w:t>10〜13%</w:t>
            </w:r>
          </w:p>
        </w:tc>
        <w:tc>
          <w:tcPr>
            <w:tcW w:type="dxa" w:w="3135"/>
            <w:shd w:val="clear" w:color="auto" w:fill="DDEBF7"/>
          </w:tcPr>
          <w:p>
            <w:r>
              <w:rPr>
                <w:rFonts w:ascii="Meiryo UI" w:hAnsi="Meiryo UI"/>
                <w:sz w:val="18"/>
              </w:rPr>
              <w:t>競馬+不動産の安定構造</w:t>
            </w:r>
          </w:p>
        </w:tc>
      </w:tr>
      <w:tr>
        <w:tc>
          <w:tcPr>
            <w:tcW w:type="dxa" w:w="3135"/>
          </w:tcPr>
          <w:p>
            <w:r>
              <w:rPr>
                <w:rFonts w:ascii="Meiryo UI" w:hAnsi="Meiryo UI"/>
                <w:sz w:val="18"/>
              </w:rPr>
              <w:t>FCFF（フリーキャッシュフロー）</w:t>
            </w:r>
          </w:p>
        </w:tc>
        <w:tc>
          <w:tcPr>
            <w:tcW w:type="dxa" w:w="3135"/>
          </w:tcPr>
          <w:p>
            <w:r>
              <w:rPr>
                <w:rFonts w:ascii="Meiryo UI" w:hAnsi="Meiryo UI"/>
                <w:sz w:val="18"/>
              </w:rPr>
              <w:t>約¥2,200〜¥3,000百万/年</w:t>
            </w:r>
          </w:p>
        </w:tc>
        <w:tc>
          <w:tcPr>
            <w:tcW w:type="dxa" w:w="3135"/>
          </w:tcPr>
          <w:p>
            <w:r>
              <w:rPr>
                <w:rFonts w:ascii="Meiryo UI" w:hAnsi="Meiryo UI"/>
                <w:sz w:val="18"/>
              </w:rPr>
              <w:t>EBIT×(1-Tc)+D&amp;A-CapEx</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10年（FY2026〜FY2035）</w:t>
            </w:r>
          </w:p>
        </w:tc>
        <w:tc>
          <w:tcPr>
            <w:tcW w:type="dxa" w:w="3135"/>
          </w:tcPr>
          <w:p/>
        </w:tc>
      </w:tr>
      <w:tr>
        <w:tc>
          <w:tcPr>
            <w:tcW w:type="dxa" w:w="3135"/>
          </w:tcPr>
          <w:p>
            <w:r>
              <w:rPr>
                <w:rFonts w:ascii="Meiryo UI" w:hAnsi="Meiryo UI"/>
                <w:sz w:val="18"/>
              </w:rPr>
              <w:t>FCF成長率（前半5年）</w:t>
            </w:r>
          </w:p>
        </w:tc>
        <w:tc>
          <w:tcPr>
            <w:tcW w:type="dxa" w:w="3135"/>
          </w:tcPr>
          <w:p>
            <w:r>
              <w:rPr>
                <w:rFonts w:ascii="Meiryo UI" w:hAnsi="Meiryo UI"/>
                <w:sz w:val="18"/>
              </w:rPr>
              <w:t>+2.0%/年</w:t>
            </w:r>
          </w:p>
        </w:tc>
        <w:tc>
          <w:tcPr>
            <w:tcW w:type="dxa" w:w="3135"/>
          </w:tcPr>
          <w:p>
            <w:r>
              <w:rPr>
                <w:rFonts w:ascii="Meiryo UI" w:hAnsi="Meiryo UI"/>
                <w:sz w:val="18"/>
              </w:rPr>
              <w:t>競馬売上ゆるやか回復+不動産安定</w:t>
            </w:r>
          </w:p>
        </w:tc>
      </w:tr>
      <w:tr>
        <w:tc>
          <w:tcPr>
            <w:tcW w:type="dxa" w:w="3135"/>
            <w:shd w:val="clear" w:color="auto" w:fill="DDEBF7"/>
          </w:tcPr>
          <w:p>
            <w:r>
              <w:rPr>
                <w:rFonts w:ascii="Meiryo UI" w:hAnsi="Meiryo UI"/>
                <w:sz w:val="18"/>
              </w:rPr>
              <w:t>FCF成長率（後半5年）</w:t>
            </w:r>
          </w:p>
        </w:tc>
        <w:tc>
          <w:tcPr>
            <w:tcW w:type="dxa" w:w="3135"/>
            <w:shd w:val="clear" w:color="auto" w:fill="DDEBF7"/>
          </w:tcPr>
          <w:p>
            <w:r>
              <w:rPr>
                <w:rFonts w:ascii="Meiryo UI" w:hAnsi="Meiryo UI"/>
                <w:sz w:val="18"/>
              </w:rPr>
              <w:t>+1.0%/年</w:t>
            </w:r>
          </w:p>
        </w:tc>
        <w:tc>
          <w:tcPr>
            <w:tcW w:type="dxa" w:w="3135"/>
            <w:shd w:val="clear" w:color="auto" w:fill="DDEBF7"/>
          </w:tcPr>
          <w:p>
            <w:r>
              <w:rPr>
                <w:rFonts w:ascii="Meiryo UI" w:hAnsi="Meiryo UI"/>
                <w:sz w:val="18"/>
              </w:rPr>
              <w:t>成熟事業の現実的水準</w:t>
            </w:r>
          </w:p>
        </w:tc>
      </w:tr>
      <w:tr>
        <w:tc>
          <w:tcPr>
            <w:tcW w:type="dxa" w:w="3135"/>
          </w:tcPr>
          <w:p>
            <w:r>
              <w:rPr>
                <w:rFonts w:ascii="Meiryo UI" w:hAnsi="Meiryo UI"/>
                <w:sz w:val="18"/>
              </w:rPr>
              <w:t>永続成長率（g）</w:t>
            </w:r>
          </w:p>
        </w:tc>
        <w:tc>
          <w:tcPr>
            <w:tcW w:type="dxa" w:w="3135"/>
          </w:tcPr>
          <w:p>
            <w:r>
              <w:rPr>
                <w:rFonts w:ascii="Meiryo UI" w:hAnsi="Meiryo UI"/>
                <w:sz w:val="18"/>
              </w:rPr>
              <w:t>0.5%</w:t>
            </w:r>
          </w:p>
        </w:tc>
        <w:tc>
          <w:tcPr>
            <w:tcW w:type="dxa" w:w="3135"/>
          </w:tcPr>
          <w:p>
            <w:r>
              <w:rPr>
                <w:rFonts w:ascii="Meiryo UI" w:hAnsi="Meiryo UI"/>
                <w:sz w:val="18"/>
              </w:rPr>
              <w:t>競馬人口の長期逓減を保守的に設定</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5.23%</w:t>
            </w:r>
          </w:p>
        </w:tc>
        <w:tc>
          <w:tcPr>
            <w:tcW w:type="dxa" w:w="3135"/>
            <w:shd w:val="clear" w:color="auto" w:fill="DDEBF7"/>
          </w:tcPr>
          <w:p>
            <w:r>
              <w:rPr>
                <w:rFonts w:ascii="Meiryo UI" w:hAnsi="Meiryo UI"/>
                <w:sz w:val="18"/>
              </w:rPr>
              <w:t>上記算出</w:t>
            </w:r>
          </w:p>
        </w:tc>
      </w:tr>
      <w:tr>
        <w:tc>
          <w:tcPr>
            <w:tcW w:type="dxa" w:w="3135"/>
          </w:tcPr>
          <w:p>
            <w:r>
              <w:rPr>
                <w:rFonts w:ascii="Meiryo UI" w:hAnsi="Meiryo UI"/>
                <w:sz w:val="18"/>
              </w:rPr>
              <w:t>発行済株式数（推計）</w:t>
            </w:r>
          </w:p>
        </w:tc>
        <w:tc>
          <w:tcPr>
            <w:tcW w:type="dxa" w:w="3135"/>
          </w:tcPr>
          <w:p>
            <w:r>
              <w:rPr>
                <w:rFonts w:ascii="Meiryo UI" w:hAnsi="Meiryo UI"/>
                <w:sz w:val="18"/>
              </w:rPr>
              <w:t>約12,000〜13,000千株</w:t>
            </w:r>
          </w:p>
        </w:tc>
        <w:tc>
          <w:tcPr>
            <w:tcW w:type="dxa" w:w="3135"/>
          </w:tcPr>
          <w:p>
            <w:r>
              <w:rPr>
                <w:rFonts w:ascii="Meiryo UI" w:hAnsi="Meiryo UI"/>
                <w:sz w:val="18"/>
              </w:rPr>
              <w:t>時価総額÷株価から逆算：¥5,790×株数≒¥70〜75億</w:t>
            </w:r>
          </w:p>
        </w:tc>
      </w:tr>
    </w:tbl>
    <w:p/>
    <w:p>
      <w:r>
        <w:rPr>
          <w:rFonts w:ascii="Meiryo UI" w:hAnsi="Meiryo UI"/>
          <w:sz w:val="20"/>
        </w:rPr>
        <w:t>&gt; ⚠️ 株数推計：時価総額≒¥70〜75億（スタンダード市場小型株として妥当）、¥7,000÷¥5,790≒1.21億株では高すぎる。¥70億÷¥5,790≒1,209万株を採用。要確認。</w:t>
      </w:r>
    </w:p>
    <w:p/>
    <w:p>
      <w:pPr>
        <w:pStyle w:val="Heading3"/>
      </w:pPr>
      <w:r>
        <w:rPr>
          <w:rFonts w:ascii="Meiryo UI" w:hAnsi="Meiryo UI"/>
          <w:color w:val="2E74B5"/>
        </w:rPr>
        <w:t>4-3. DCF試算（基本シナリオ）</w:t>
      </w:r>
    </w:p>
    <w:p/>
    <w:p>
      <w:r>
        <w:rPr>
          <w:rFonts w:ascii="Meiryo UI" w:hAnsi="Meiryo UI"/>
          <w:sz w:val="20"/>
        </w:rPr>
        <w:t>フリーキャッシュフロー推計（ベース¥2,500百万/年）</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FCF（百万円）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現在価値（百万円）</w:t>
            </w:r>
          </w:p>
        </w:tc>
      </w:tr>
      <w:tr>
        <w:tc>
          <w:tcPr>
            <w:tcW w:type="dxa" w:w="2351"/>
          </w:tcPr>
          <w:p>
            <w:r>
              <w:rPr>
                <w:rFonts w:ascii="Meiryo UI" w:hAnsi="Meiryo UI"/>
                <w:sz w:val="18"/>
              </w:rPr>
              <w:t>FY2026</w:t>
            </w:r>
          </w:p>
        </w:tc>
        <w:tc>
          <w:tcPr>
            <w:tcW w:type="dxa" w:w="2351"/>
          </w:tcPr>
          <w:p>
            <w:r>
              <w:rPr>
                <w:rFonts w:ascii="Meiryo UI" w:hAnsi="Meiryo UI"/>
                <w:sz w:val="18"/>
              </w:rPr>
              <w:t>2,500</w:t>
            </w:r>
          </w:p>
        </w:tc>
        <w:tc>
          <w:tcPr>
            <w:tcW w:type="dxa" w:w="2351"/>
          </w:tcPr>
          <w:p>
            <w:r>
              <w:rPr>
                <w:rFonts w:ascii="Meiryo UI" w:hAnsi="Meiryo UI"/>
                <w:sz w:val="18"/>
              </w:rPr>
              <w:t>(1.0523)^1</w:t>
            </w:r>
          </w:p>
        </w:tc>
        <w:tc>
          <w:tcPr>
            <w:tcW w:type="dxa" w:w="2351"/>
          </w:tcPr>
          <w:p>
            <w:r>
              <w:rPr>
                <w:rFonts w:ascii="Meiryo UI" w:hAnsi="Meiryo UI"/>
                <w:sz w:val="18"/>
              </w:rPr>
              <w:t>2,376</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2,550</w:t>
            </w:r>
          </w:p>
        </w:tc>
        <w:tc>
          <w:tcPr>
            <w:tcW w:type="dxa" w:w="2351"/>
            <w:shd w:val="clear" w:color="auto" w:fill="DDEBF7"/>
          </w:tcPr>
          <w:p>
            <w:r>
              <w:rPr>
                <w:rFonts w:ascii="Meiryo UI" w:hAnsi="Meiryo UI"/>
                <w:sz w:val="18"/>
              </w:rPr>
              <w:t>(1.0523)^2</w:t>
            </w:r>
          </w:p>
        </w:tc>
        <w:tc>
          <w:tcPr>
            <w:tcW w:type="dxa" w:w="2351"/>
            <w:shd w:val="clear" w:color="auto" w:fill="DDEBF7"/>
          </w:tcPr>
          <w:p>
            <w:r>
              <w:rPr>
                <w:rFonts w:ascii="Meiryo UI" w:hAnsi="Meiryo UI"/>
                <w:sz w:val="18"/>
              </w:rPr>
              <w:t>2,304</w:t>
            </w:r>
          </w:p>
        </w:tc>
      </w:tr>
      <w:tr>
        <w:tc>
          <w:tcPr>
            <w:tcW w:type="dxa" w:w="2351"/>
          </w:tcPr>
          <w:p>
            <w:r>
              <w:rPr>
                <w:rFonts w:ascii="Meiryo UI" w:hAnsi="Meiryo UI"/>
                <w:sz w:val="18"/>
              </w:rPr>
              <w:t>FY2028</w:t>
            </w:r>
          </w:p>
        </w:tc>
        <w:tc>
          <w:tcPr>
            <w:tcW w:type="dxa" w:w="2351"/>
          </w:tcPr>
          <w:p>
            <w:r>
              <w:rPr>
                <w:rFonts w:ascii="Meiryo UI" w:hAnsi="Meiryo UI"/>
                <w:sz w:val="18"/>
              </w:rPr>
              <w:t>2,601</w:t>
            </w:r>
          </w:p>
        </w:tc>
        <w:tc>
          <w:tcPr>
            <w:tcW w:type="dxa" w:w="2351"/>
          </w:tcPr>
          <w:p>
            <w:r>
              <w:rPr>
                <w:rFonts w:ascii="Meiryo UI" w:hAnsi="Meiryo UI"/>
                <w:sz w:val="18"/>
              </w:rPr>
              <w:t>(1.0523)^3</w:t>
            </w:r>
          </w:p>
        </w:tc>
        <w:tc>
          <w:tcPr>
            <w:tcW w:type="dxa" w:w="2351"/>
          </w:tcPr>
          <w:p>
            <w:r>
              <w:rPr>
                <w:rFonts w:ascii="Meiryo UI" w:hAnsi="Meiryo UI"/>
                <w:sz w:val="18"/>
              </w:rPr>
              <w:t>2,234</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2,653</w:t>
            </w:r>
          </w:p>
        </w:tc>
        <w:tc>
          <w:tcPr>
            <w:tcW w:type="dxa" w:w="2351"/>
            <w:shd w:val="clear" w:color="auto" w:fill="DDEBF7"/>
          </w:tcPr>
          <w:p>
            <w:r>
              <w:rPr>
                <w:rFonts w:ascii="Meiryo UI" w:hAnsi="Meiryo UI"/>
                <w:sz w:val="18"/>
              </w:rPr>
              <w:t>(1.0523)^4</w:t>
            </w:r>
          </w:p>
        </w:tc>
        <w:tc>
          <w:tcPr>
            <w:tcW w:type="dxa" w:w="2351"/>
            <w:shd w:val="clear" w:color="auto" w:fill="DDEBF7"/>
          </w:tcPr>
          <w:p>
            <w:r>
              <w:rPr>
                <w:rFonts w:ascii="Meiryo UI" w:hAnsi="Meiryo UI"/>
                <w:sz w:val="18"/>
              </w:rPr>
              <w:t>2,168</w:t>
            </w:r>
          </w:p>
        </w:tc>
      </w:tr>
      <w:tr>
        <w:tc>
          <w:tcPr>
            <w:tcW w:type="dxa" w:w="2351"/>
          </w:tcPr>
          <w:p>
            <w:r>
              <w:rPr>
                <w:rFonts w:ascii="Meiryo UI" w:hAnsi="Meiryo UI"/>
                <w:sz w:val="18"/>
              </w:rPr>
              <w:t>FY2030</w:t>
            </w:r>
          </w:p>
        </w:tc>
        <w:tc>
          <w:tcPr>
            <w:tcW w:type="dxa" w:w="2351"/>
          </w:tcPr>
          <w:p>
            <w:r>
              <w:rPr>
                <w:rFonts w:ascii="Meiryo UI" w:hAnsi="Meiryo UI"/>
                <w:sz w:val="18"/>
              </w:rPr>
              <w:t>2,706</w:t>
            </w:r>
          </w:p>
        </w:tc>
        <w:tc>
          <w:tcPr>
            <w:tcW w:type="dxa" w:w="2351"/>
          </w:tcPr>
          <w:p>
            <w:r>
              <w:rPr>
                <w:rFonts w:ascii="Meiryo UI" w:hAnsi="Meiryo UI"/>
                <w:sz w:val="18"/>
              </w:rPr>
              <w:t>(1.0523)^5</w:t>
            </w:r>
          </w:p>
        </w:tc>
        <w:tc>
          <w:tcPr>
            <w:tcW w:type="dxa" w:w="2351"/>
          </w:tcPr>
          <w:p>
            <w:r>
              <w:rPr>
                <w:rFonts w:ascii="Meiryo UI" w:hAnsi="Meiryo UI"/>
                <w:sz w:val="18"/>
              </w:rPr>
              <w:t>2,103</w:t>
            </w:r>
          </w:p>
        </w:tc>
      </w:tr>
      <w:tr>
        <w:tc>
          <w:tcPr>
            <w:tcW w:type="dxa" w:w="2351"/>
            <w:shd w:val="clear" w:color="auto" w:fill="DDEBF7"/>
          </w:tcPr>
          <w:p>
            <w:r>
              <w:rPr>
                <w:rFonts w:ascii="Meiryo UI" w:hAnsi="Meiryo UI"/>
                <w:sz w:val="18"/>
              </w:rPr>
              <w:t>FY2031</w:t>
            </w:r>
          </w:p>
        </w:tc>
        <w:tc>
          <w:tcPr>
            <w:tcW w:type="dxa" w:w="2351"/>
            <w:shd w:val="clear" w:color="auto" w:fill="DDEBF7"/>
          </w:tcPr>
          <w:p>
            <w:r>
              <w:rPr>
                <w:rFonts w:ascii="Meiryo UI" w:hAnsi="Meiryo UI"/>
                <w:sz w:val="18"/>
              </w:rPr>
              <w:t>2,733</w:t>
            </w:r>
          </w:p>
        </w:tc>
        <w:tc>
          <w:tcPr>
            <w:tcW w:type="dxa" w:w="2351"/>
            <w:shd w:val="clear" w:color="auto" w:fill="DDEBF7"/>
          </w:tcPr>
          <w:p>
            <w:r>
              <w:rPr>
                <w:rFonts w:ascii="Meiryo UI" w:hAnsi="Meiryo UI"/>
                <w:sz w:val="18"/>
              </w:rPr>
              <w:t>(1.0523)^6</w:t>
            </w:r>
          </w:p>
        </w:tc>
        <w:tc>
          <w:tcPr>
            <w:tcW w:type="dxa" w:w="2351"/>
            <w:shd w:val="clear" w:color="auto" w:fill="DDEBF7"/>
          </w:tcPr>
          <w:p>
            <w:r>
              <w:rPr>
                <w:rFonts w:ascii="Meiryo UI" w:hAnsi="Meiryo UI"/>
                <w:sz w:val="18"/>
              </w:rPr>
              <w:t>2,023</w:t>
            </w:r>
          </w:p>
        </w:tc>
      </w:tr>
      <w:tr>
        <w:tc>
          <w:tcPr>
            <w:tcW w:type="dxa" w:w="2351"/>
          </w:tcPr>
          <w:p>
            <w:r>
              <w:rPr>
                <w:rFonts w:ascii="Meiryo UI" w:hAnsi="Meiryo UI"/>
                <w:sz w:val="18"/>
              </w:rPr>
              <w:t>FY2032</w:t>
            </w:r>
          </w:p>
        </w:tc>
        <w:tc>
          <w:tcPr>
            <w:tcW w:type="dxa" w:w="2351"/>
          </w:tcPr>
          <w:p>
            <w:r>
              <w:rPr>
                <w:rFonts w:ascii="Meiryo UI" w:hAnsi="Meiryo UI"/>
                <w:sz w:val="18"/>
              </w:rPr>
              <w:t>2,760</w:t>
            </w:r>
          </w:p>
        </w:tc>
        <w:tc>
          <w:tcPr>
            <w:tcW w:type="dxa" w:w="2351"/>
          </w:tcPr>
          <w:p>
            <w:r>
              <w:rPr>
                <w:rFonts w:ascii="Meiryo UI" w:hAnsi="Meiryo UI"/>
                <w:sz w:val="18"/>
              </w:rPr>
              <w:t>(1.0523)^7</w:t>
            </w:r>
          </w:p>
        </w:tc>
        <w:tc>
          <w:tcPr>
            <w:tcW w:type="dxa" w:w="2351"/>
          </w:tcPr>
          <w:p>
            <w:r>
              <w:rPr>
                <w:rFonts w:ascii="Meiryo UI" w:hAnsi="Meiryo UI"/>
                <w:sz w:val="18"/>
              </w:rPr>
              <w:t>1,946</w:t>
            </w:r>
          </w:p>
        </w:tc>
      </w:tr>
      <w:tr>
        <w:tc>
          <w:tcPr>
            <w:tcW w:type="dxa" w:w="2351"/>
            <w:shd w:val="clear" w:color="auto" w:fill="DDEBF7"/>
          </w:tcPr>
          <w:p>
            <w:r>
              <w:rPr>
                <w:rFonts w:ascii="Meiryo UI" w:hAnsi="Meiryo UI"/>
                <w:sz w:val="18"/>
              </w:rPr>
              <w:t>FY2033</w:t>
            </w:r>
          </w:p>
        </w:tc>
        <w:tc>
          <w:tcPr>
            <w:tcW w:type="dxa" w:w="2351"/>
            <w:shd w:val="clear" w:color="auto" w:fill="DDEBF7"/>
          </w:tcPr>
          <w:p>
            <w:r>
              <w:rPr>
                <w:rFonts w:ascii="Meiryo UI" w:hAnsi="Meiryo UI"/>
                <w:sz w:val="18"/>
              </w:rPr>
              <w:t>2,788</w:t>
            </w:r>
          </w:p>
        </w:tc>
        <w:tc>
          <w:tcPr>
            <w:tcW w:type="dxa" w:w="2351"/>
            <w:shd w:val="clear" w:color="auto" w:fill="DDEBF7"/>
          </w:tcPr>
          <w:p>
            <w:r>
              <w:rPr>
                <w:rFonts w:ascii="Meiryo UI" w:hAnsi="Meiryo UI"/>
                <w:sz w:val="18"/>
              </w:rPr>
              <w:t>(1.0523)^8</w:t>
            </w:r>
          </w:p>
        </w:tc>
        <w:tc>
          <w:tcPr>
            <w:tcW w:type="dxa" w:w="2351"/>
            <w:shd w:val="clear" w:color="auto" w:fill="DDEBF7"/>
          </w:tcPr>
          <w:p>
            <w:r>
              <w:rPr>
                <w:rFonts w:ascii="Meiryo UI" w:hAnsi="Meiryo UI"/>
                <w:sz w:val="18"/>
              </w:rPr>
              <w:t>1,872</w:t>
            </w:r>
          </w:p>
        </w:tc>
      </w:tr>
      <w:tr>
        <w:tc>
          <w:tcPr>
            <w:tcW w:type="dxa" w:w="2351"/>
          </w:tcPr>
          <w:p>
            <w:r>
              <w:rPr>
                <w:rFonts w:ascii="Meiryo UI" w:hAnsi="Meiryo UI"/>
                <w:sz w:val="18"/>
              </w:rPr>
              <w:t>FY2034</w:t>
            </w:r>
          </w:p>
        </w:tc>
        <w:tc>
          <w:tcPr>
            <w:tcW w:type="dxa" w:w="2351"/>
          </w:tcPr>
          <w:p>
            <w:r>
              <w:rPr>
                <w:rFonts w:ascii="Meiryo UI" w:hAnsi="Meiryo UI"/>
                <w:sz w:val="18"/>
              </w:rPr>
              <w:t>2,816</w:t>
            </w:r>
          </w:p>
        </w:tc>
        <w:tc>
          <w:tcPr>
            <w:tcW w:type="dxa" w:w="2351"/>
          </w:tcPr>
          <w:p>
            <w:r>
              <w:rPr>
                <w:rFonts w:ascii="Meiryo UI" w:hAnsi="Meiryo UI"/>
                <w:sz w:val="18"/>
              </w:rPr>
              <w:t>(1.0523)^9</w:t>
            </w:r>
          </w:p>
        </w:tc>
        <w:tc>
          <w:tcPr>
            <w:tcW w:type="dxa" w:w="2351"/>
          </w:tcPr>
          <w:p>
            <w:r>
              <w:rPr>
                <w:rFonts w:ascii="Meiryo UI" w:hAnsi="Meiryo UI"/>
                <w:sz w:val="18"/>
              </w:rPr>
              <w:t>1,800</w:t>
            </w:r>
          </w:p>
        </w:tc>
      </w:tr>
      <w:tr>
        <w:tc>
          <w:tcPr>
            <w:tcW w:type="dxa" w:w="2351"/>
            <w:shd w:val="clear" w:color="auto" w:fill="DDEBF7"/>
          </w:tcPr>
          <w:p>
            <w:r>
              <w:rPr>
                <w:rFonts w:ascii="Meiryo UI" w:hAnsi="Meiryo UI"/>
                <w:sz w:val="18"/>
              </w:rPr>
              <w:t>FY2035</w:t>
            </w:r>
          </w:p>
        </w:tc>
        <w:tc>
          <w:tcPr>
            <w:tcW w:type="dxa" w:w="2351"/>
            <w:shd w:val="clear" w:color="auto" w:fill="DDEBF7"/>
          </w:tcPr>
          <w:p>
            <w:r>
              <w:rPr>
                <w:rFonts w:ascii="Meiryo UI" w:hAnsi="Meiryo UI"/>
                <w:sz w:val="18"/>
              </w:rPr>
              <w:t>2,844</w:t>
            </w:r>
          </w:p>
        </w:tc>
        <w:tc>
          <w:tcPr>
            <w:tcW w:type="dxa" w:w="2351"/>
            <w:shd w:val="clear" w:color="auto" w:fill="DDEBF7"/>
          </w:tcPr>
          <w:p>
            <w:r>
              <w:rPr>
                <w:rFonts w:ascii="Meiryo UI" w:hAnsi="Meiryo UI"/>
                <w:sz w:val="18"/>
              </w:rPr>
              <w:t>(1.0523)^10</w:t>
            </w:r>
          </w:p>
        </w:tc>
        <w:tc>
          <w:tcPr>
            <w:tcW w:type="dxa" w:w="2351"/>
            <w:shd w:val="clear" w:color="auto" w:fill="DDEBF7"/>
          </w:tcPr>
          <w:p>
            <w:r>
              <w:rPr>
                <w:rFonts w:ascii="Meiryo UI" w:hAnsi="Meiryo UI"/>
                <w:sz w:val="18"/>
              </w:rPr>
              <w:t>1,731</w:t>
            </w:r>
          </w:p>
        </w:tc>
      </w:tr>
      <w:tr>
        <w:tc>
          <w:tcPr>
            <w:tcW w:type="dxa" w:w="2351"/>
          </w:tcPr>
          <w:p>
            <w:r>
              <w:rPr>
                <w:rFonts w:ascii="Meiryo UI" w:hAnsi="Meiryo UI"/>
                <w:sz w:val="18"/>
              </w:rPr>
              <w:t>FCF合計（PV）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20,557</w:t>
            </w:r>
          </w:p>
        </w:tc>
      </w:tr>
    </w:tbl>
    <w:p/>
    <w:p>
      <w:r>
        <w:rPr>
          <w:rFonts w:ascii="Meiryo UI" w:hAnsi="Meiryo UI"/>
          <w:sz w:val="20"/>
        </w:rPr>
        <w:t>ターミナルバリュー（TV）計算：</w:t>
      </w:r>
    </w:p>
    <w:p>
      <w:pPr>
        <w:shd w:val="clear" w:color="auto" w:fill="F2F2F2"/>
      </w:pPr>
      <w:r>
        <w:rPr>
          <w:rFonts w:ascii="Courier New" w:hAnsi="Courier New"/>
          <w:sz w:val="16"/>
        </w:rPr>
        <w:t>TV = FCF_2035 × (1+g) / (WACC - g)</w:t>
        <w:br/>
        <w:t xml:space="preserve">   = 2,844 × 1.005 / (0.0523 - 0.005)</w:t>
        <w:br/>
        <w:t xml:space="preserve">   = 2,858 / 0.0473</w:t>
        <w:br/>
        <w:t xml:space="preserve">   = 60,422百万円</w:t>
        <w:br/>
        <w:br/>
        <w:t>TV現在価値 = 60,422 / (1.0523)^10 = 60,422 / 1.6739 = 36,096百万円</w:t>
      </w:r>
    </w:p>
    <w:p/>
    <w:p>
      <w:r>
        <w:rPr>
          <w:rFonts w:ascii="Meiryo UI" w:hAnsi="Meiryo UI"/>
          <w:sz w:val="20"/>
        </w:rPr>
        <w:t>企業価値（EV）：</w:t>
      </w:r>
    </w:p>
    <w:p>
      <w:pPr>
        <w:shd w:val="clear" w:color="auto" w:fill="F2F2F2"/>
      </w:pPr>
      <w:r>
        <w:rPr>
          <w:rFonts w:ascii="Courier New" w:hAnsi="Courier New"/>
          <w:sz w:val="16"/>
        </w:rPr>
        <w:t>EV = FCFsのPV合計 + TVのPV</w:t>
        <w:br/>
        <w:t xml:space="preserve">   = 20,557 + 36,096</w:t>
        <w:br/>
        <w:t xml:space="preserve">   = 56,653百万円（約¥566億）</w:t>
      </w:r>
    </w:p>
    <w:p/>
    <w:p>
      <w:r>
        <w:rPr>
          <w:rFonts w:ascii="Meiryo UI" w:hAnsi="Meiryo UI"/>
          <w:sz w:val="20"/>
        </w:rPr>
        <w:t>純有利子負債控除（推定）： 実質無借金→ネットデット≒▲¥3,000〜5,000百万（ネットキャッシュ）</w:t>
      </w:r>
    </w:p>
    <w:p>
      <w:pPr>
        <w:shd w:val="clear" w:color="auto" w:fill="F2F2F2"/>
      </w:pPr>
      <w:r>
        <w:rPr>
          <w:rFonts w:ascii="Courier New" w:hAnsi="Courier New"/>
          <w:sz w:val="16"/>
        </w:rPr>
        <w:t>株主価値 = 56,653 + 4,000（ネットキャッシュ推定）= 60,653百万円</w:t>
      </w:r>
    </w:p>
    <w:p/>
    <w:p>
      <w:r>
        <w:rPr>
          <w:rFonts w:ascii="Meiryo UI" w:hAnsi="Meiryo UI"/>
          <w:sz w:val="20"/>
        </w:rPr>
        <w:t>理論株価（DCFベース）：</w:t>
      </w:r>
    </w:p>
    <w:p>
      <w:pPr>
        <w:shd w:val="clear" w:color="auto" w:fill="F2F2F2"/>
      </w:pPr>
      <w:r>
        <w:rPr>
          <w:rFonts w:ascii="Courier New" w:hAnsi="Courier New"/>
          <w:sz w:val="16"/>
        </w:rPr>
        <w:t>理論株価 = 60,653百万 ÷ 12,000千株 = ¥5,054/株</w:t>
      </w:r>
    </w:p>
    <w:p/>
    <w:p>
      <w:r>
        <w:rPr>
          <w:rFonts w:ascii="Meiryo UI" w:hAnsi="Meiryo UI"/>
          <w:sz w:val="20"/>
        </w:rPr>
        <w:t>&gt; ⚠️ DCFのみでは¥5,054。ただし、これは不動産含み益（NAVプレミアム）を除いた純粋キャッシュフロー価値。東京近郊不動産の含み益を加味したNAV価値が別途存在する。</w:t>
      </w:r>
    </w:p>
    <w:p/>
    <w:p>
      <w:pPr>
        <w:pStyle w:val="Heading3"/>
      </w:pPr>
      <w:r>
        <w:rPr>
          <w:rFonts w:ascii="Meiryo UI" w:hAnsi="Meiryo UI"/>
          <w:color w:val="2E74B5"/>
        </w:rPr>
        <w:t>4-4. NAVバリュエーション（不動産含み益加算）</w:t>
      </w:r>
    </w:p>
    <w:p/>
    <w:p>
      <w:r>
        <w:rPr>
          <w:rFonts w:ascii="Meiryo UI" w:hAnsi="Meiryo UI"/>
          <w:sz w:val="20"/>
        </w:rPr>
        <w:t>東京都競馬の保有資産（大井競馬場用地・サマーランド土地建物・駐車場等）の含み益を推計：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w:t>
            </w:r>
          </w:p>
        </w:tc>
        <w:tc>
          <w:tcPr>
            <w:tcW w:type="dxa" w:w="2351"/>
            <w:shd w:val="clear" w:color="auto" w:fill="2E74B5"/>
          </w:tcPr>
          <w:p>
            <w:r>
              <w:rPr>
                <w:rFonts w:ascii="Meiryo UI" w:hAnsi="Meiryo UI"/>
                <w:b/>
                <w:color w:val="FFFFFF"/>
                <w:sz w:val="18"/>
              </w:rPr>
              <w:t>簿価推計</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含み益推計</w:t>
            </w:r>
          </w:p>
        </w:tc>
      </w:tr>
      <w:tr>
        <w:tc>
          <w:tcPr>
            <w:tcW w:type="dxa" w:w="2351"/>
          </w:tcPr>
          <w:p>
            <w:r>
              <w:rPr>
                <w:rFonts w:ascii="Meiryo UI" w:hAnsi="Meiryo UI"/>
                <w:sz w:val="18"/>
              </w:rPr>
              <w:t>大井競馬場周辺用地（品川・大田区）</w:t>
            </w:r>
          </w:p>
        </w:tc>
        <w:tc>
          <w:tcPr>
            <w:tcW w:type="dxa" w:w="2351"/>
          </w:tcPr>
          <w:p>
            <w:r>
              <w:rPr>
                <w:rFonts w:ascii="Meiryo UI" w:hAnsi="Meiryo UI"/>
                <w:sz w:val="18"/>
              </w:rPr>
              <w:t>約¥100億</w:t>
            </w:r>
          </w:p>
        </w:tc>
        <w:tc>
          <w:tcPr>
            <w:tcW w:type="dxa" w:w="2351"/>
          </w:tcPr>
          <w:p>
            <w:r>
              <w:rPr>
                <w:rFonts w:ascii="Meiryo UI" w:hAnsi="Meiryo UI"/>
                <w:sz w:val="18"/>
              </w:rPr>
              <w:t>約¥200〜300億</w:t>
            </w:r>
          </w:p>
        </w:tc>
        <w:tc>
          <w:tcPr>
            <w:tcW w:type="dxa" w:w="2351"/>
          </w:tcPr>
          <w:p>
            <w:r>
              <w:rPr>
                <w:rFonts w:ascii="Meiryo UI" w:hAnsi="Meiryo UI"/>
                <w:sz w:val="18"/>
              </w:rPr>
              <w:t>¥100〜200億</w:t>
            </w:r>
          </w:p>
        </w:tc>
      </w:tr>
      <w:tr>
        <w:tc>
          <w:tcPr>
            <w:tcW w:type="dxa" w:w="2351"/>
            <w:shd w:val="clear" w:color="auto" w:fill="DDEBF7"/>
          </w:tcPr>
          <w:p>
            <w:r>
              <w:rPr>
                <w:rFonts w:ascii="Meiryo UI" w:hAnsi="Meiryo UI"/>
                <w:sz w:val="18"/>
              </w:rPr>
              <w:t>東京サマーランド（あきる野市）</w:t>
            </w:r>
          </w:p>
        </w:tc>
        <w:tc>
          <w:tcPr>
            <w:tcW w:type="dxa" w:w="2351"/>
            <w:shd w:val="clear" w:color="auto" w:fill="DDEBF7"/>
          </w:tcPr>
          <w:p>
            <w:r>
              <w:rPr>
                <w:rFonts w:ascii="Meiryo UI" w:hAnsi="Meiryo UI"/>
                <w:sz w:val="18"/>
              </w:rPr>
              <w:t>約¥50億</w:t>
            </w:r>
          </w:p>
        </w:tc>
        <w:tc>
          <w:tcPr>
            <w:tcW w:type="dxa" w:w="2351"/>
            <w:shd w:val="clear" w:color="auto" w:fill="DDEBF7"/>
          </w:tcPr>
          <w:p>
            <w:r>
              <w:rPr>
                <w:rFonts w:ascii="Meiryo UI" w:hAnsi="Meiryo UI"/>
                <w:sz w:val="18"/>
              </w:rPr>
              <w:t>約¥70〜100億</w:t>
            </w:r>
          </w:p>
        </w:tc>
        <w:tc>
          <w:tcPr>
            <w:tcW w:type="dxa" w:w="2351"/>
            <w:shd w:val="clear" w:color="auto" w:fill="DDEBF7"/>
          </w:tcPr>
          <w:p>
            <w:r>
              <w:rPr>
                <w:rFonts w:ascii="Meiryo UI" w:hAnsi="Meiryo UI"/>
                <w:sz w:val="18"/>
              </w:rPr>
              <w:t>¥20〜50億</w:t>
            </w:r>
          </w:p>
        </w:tc>
      </w:tr>
      <w:tr>
        <w:tc>
          <w:tcPr>
            <w:tcW w:type="dxa" w:w="2351"/>
          </w:tcPr>
          <w:p>
            <w:r>
              <w:rPr>
                <w:rFonts w:ascii="Meiryo UI" w:hAnsi="Meiryo UI"/>
                <w:sz w:val="18"/>
              </w:rPr>
              <w:t>その他不動産・駐車場等</w:t>
            </w:r>
          </w:p>
        </w:tc>
        <w:tc>
          <w:tcPr>
            <w:tcW w:type="dxa" w:w="2351"/>
          </w:tcPr>
          <w:p>
            <w:r>
              <w:rPr>
                <w:rFonts w:ascii="Meiryo UI" w:hAnsi="Meiryo UI"/>
                <w:sz w:val="18"/>
              </w:rPr>
              <w:t>約¥30億</w:t>
            </w:r>
          </w:p>
        </w:tc>
        <w:tc>
          <w:tcPr>
            <w:tcW w:type="dxa" w:w="2351"/>
          </w:tcPr>
          <w:p>
            <w:r>
              <w:rPr>
                <w:rFonts w:ascii="Meiryo UI" w:hAnsi="Meiryo UI"/>
                <w:sz w:val="18"/>
              </w:rPr>
              <w:t>約¥40〜50億</w:t>
            </w:r>
          </w:p>
        </w:tc>
        <w:tc>
          <w:tcPr>
            <w:tcW w:type="dxa" w:w="2351"/>
          </w:tcPr>
          <w:p>
            <w:r>
              <w:rPr>
                <w:rFonts w:ascii="Meiryo UI" w:hAnsi="Meiryo UI"/>
                <w:sz w:val="18"/>
              </w:rPr>
              <w:t>¥10〜20億</w:t>
            </w:r>
          </w:p>
        </w:tc>
      </w:tr>
      <w:tr>
        <w:tc>
          <w:tcPr>
            <w:tcW w:type="dxa" w:w="2351"/>
            <w:shd w:val="clear" w:color="auto" w:fill="DDEBF7"/>
          </w:tcPr>
          <w:p>
            <w:r>
              <w:rPr>
                <w:rFonts w:ascii="Meiryo UI" w:hAnsi="Meiryo UI"/>
                <w:sz w:val="18"/>
              </w:rPr>
              <w:t>含み益合計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¥130〜270億</w:t>
            </w:r>
          </w:p>
        </w:tc>
      </w:tr>
    </w:tbl>
    <w:p/>
    <w:p>
      <w:r>
        <w:rPr>
          <w:rFonts w:ascii="Meiryo UI" w:hAnsi="Meiryo UI"/>
          <w:sz w:val="20"/>
        </w:rPr>
        <w:t>NAV調整後理論株価：</w:t>
      </w:r>
    </w:p>
    <w:p>
      <w:pPr>
        <w:shd w:val="clear" w:color="auto" w:fill="F2F2F2"/>
      </w:pPr>
      <w:r>
        <w:rPr>
          <w:rFonts w:ascii="Courier New" w:hAnsi="Courier New"/>
          <w:sz w:val="16"/>
        </w:rPr>
        <w:t>含み益中央値：¥200億 ÷ 12,000千株 ≒ ¥1,667/株（税引き前）</w:t>
        <w:br/>
        <w:t>税引き後（30%控除）：¥1,667 × 0.7 ≒ ¥1,167/株</w:t>
        <w:br/>
        <w:br/>
        <w:t>NAV調整後理論株価 = DCF価値¥5,054 + NAV¥1,167 = ¥6,221/株（保守値）</w:t>
        <w:br/>
        <w:br/>
        <w:t>楽観値（含み益¥250億適用）= ¥5,054 + ¥1,458 = ¥6,512</w:t>
        <w:br/>
        <w:t>強気値（含み益¥270億+DCF成長込み）= ¥7,200〜¥8,400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理論株価（JPY）</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DCF（WACC 5.23%、g=0.5%）</w:t>
            </w:r>
          </w:p>
        </w:tc>
        <w:tc>
          <w:tcPr>
            <w:tcW w:type="dxa" w:w="3135"/>
          </w:tcPr>
          <w:p>
            <w:r>
              <w:rPr>
                <w:rFonts w:ascii="Meiryo UI" w:hAnsi="Meiryo UI"/>
                <w:sz w:val="18"/>
              </w:rPr>
              <w:t>¥5,054</w:t>
            </w:r>
          </w:p>
        </w:tc>
        <w:tc>
          <w:tcPr>
            <w:tcW w:type="dxa" w:w="3135"/>
          </w:tcPr>
          <w:p>
            <w:r>
              <w:rPr>
                <w:rFonts w:ascii="Meiryo UI" w:hAnsi="Meiryo UI"/>
                <w:sz w:val="18"/>
              </w:rPr>
              <w:t>▲12.7%（やや割高）</w:t>
            </w:r>
          </w:p>
        </w:tc>
      </w:tr>
      <w:tr>
        <w:tc>
          <w:tcPr>
            <w:tcW w:type="dxa" w:w="3135"/>
            <w:shd w:val="clear" w:color="auto" w:fill="DDEBF7"/>
          </w:tcPr>
          <w:p>
            <w:r>
              <w:rPr>
                <w:rFonts w:ascii="Meiryo UI" w:hAnsi="Meiryo UI"/>
                <w:sz w:val="18"/>
              </w:rPr>
              <w:t>DCF + NAVプレミアム（保守値）</w:t>
            </w:r>
          </w:p>
        </w:tc>
        <w:tc>
          <w:tcPr>
            <w:tcW w:type="dxa" w:w="3135"/>
            <w:shd w:val="clear" w:color="auto" w:fill="DDEBF7"/>
          </w:tcPr>
          <w:p>
            <w:r>
              <w:rPr>
                <w:rFonts w:ascii="Meiryo UI" w:hAnsi="Meiryo UI"/>
                <w:sz w:val="18"/>
              </w:rPr>
              <w:t>¥6,221</w:t>
            </w:r>
          </w:p>
        </w:tc>
        <w:tc>
          <w:tcPr>
            <w:tcW w:type="dxa" w:w="3135"/>
            <w:shd w:val="clear" w:color="auto" w:fill="DDEBF7"/>
          </w:tcPr>
          <w:p>
            <w:r>
              <w:rPr>
                <w:rFonts w:ascii="Meiryo UI" w:hAnsi="Meiryo UI"/>
                <w:sz w:val="18"/>
              </w:rPr>
              <w:t>+7.4%</w:t>
            </w:r>
          </w:p>
        </w:tc>
      </w:tr>
      <w:tr>
        <w:tc>
          <w:tcPr>
            <w:tcW w:type="dxa" w:w="3135"/>
          </w:tcPr>
          <w:p>
            <w:r>
              <w:rPr>
                <w:rFonts w:ascii="Meiryo UI" w:hAnsi="Meiryo UI"/>
                <w:sz w:val="18"/>
              </w:rPr>
              <w:t>DCF + NAVプレミアム（中央値）</w:t>
            </w:r>
          </w:p>
        </w:tc>
        <w:tc>
          <w:tcPr>
            <w:tcW w:type="dxa" w:w="3135"/>
          </w:tcPr>
          <w:p>
            <w:r>
              <w:rPr>
                <w:rFonts w:ascii="Meiryo UI" w:hAnsi="Meiryo UI"/>
                <w:sz w:val="18"/>
              </w:rPr>
              <w:t>¥6,800〜¥7,200</w:t>
            </w:r>
          </w:p>
        </w:tc>
        <w:tc>
          <w:tcPr>
            <w:tcW w:type="dxa" w:w="3135"/>
          </w:tcPr>
          <w:p>
            <w:r>
              <w:rPr>
                <w:rFonts w:ascii="Meiryo UI" w:hAnsi="Meiryo UI"/>
                <w:sz w:val="18"/>
              </w:rPr>
              <w:t>+17〜+24%</w:t>
            </w:r>
          </w:p>
        </w:tc>
      </w:tr>
      <w:tr>
        <w:tc>
          <w:tcPr>
            <w:tcW w:type="dxa" w:w="3135"/>
            <w:shd w:val="clear" w:color="auto" w:fill="DDEBF7"/>
          </w:tcPr>
          <w:p>
            <w:r>
              <w:rPr>
                <w:rFonts w:ascii="Meiryo UI" w:hAnsi="Meiryo UI"/>
                <w:sz w:val="18"/>
              </w:rPr>
              <w:t>DCF + NAVプレミアム（楽観値）</w:t>
            </w:r>
          </w:p>
        </w:tc>
        <w:tc>
          <w:tcPr>
            <w:tcW w:type="dxa" w:w="3135"/>
            <w:shd w:val="clear" w:color="auto" w:fill="DDEBF7"/>
          </w:tcPr>
          <w:p>
            <w:r>
              <w:rPr>
                <w:rFonts w:ascii="Meiryo UI" w:hAnsi="Meiryo UI"/>
                <w:sz w:val="18"/>
              </w:rPr>
              <w:t>¥8,400</w:t>
            </w:r>
          </w:p>
        </w:tc>
        <w:tc>
          <w:tcPr>
            <w:tcW w:type="dxa" w:w="3135"/>
            <w:shd w:val="clear" w:color="auto" w:fill="DDEBF7"/>
          </w:tcPr>
          <w:p>
            <w:r>
              <w:rPr>
                <w:rFonts w:ascii="Meiryo UI" w:hAnsi="Meiryo UI"/>
                <w:sz w:val="18"/>
              </w:rPr>
              <w:t>+45%</w:t>
            </w:r>
          </w:p>
        </w:tc>
      </w:tr>
      <w:tr>
        <w:tc>
          <w:tcPr>
            <w:tcW w:type="dxa" w:w="3135"/>
          </w:tcPr>
          <w:p>
            <w:r>
              <w:rPr>
                <w:rFonts w:ascii="Meiryo UI" w:hAnsi="Meiryo UI"/>
                <w:sz w:val="18"/>
              </w:rPr>
              <w:t>PBR法（目標PBR 2.0倍）</w:t>
            </w:r>
          </w:p>
        </w:tc>
        <w:tc>
          <w:tcPr>
            <w:tcW w:type="dxa" w:w="3135"/>
          </w:tcPr>
          <w:p>
            <w:r>
              <w:rPr>
                <w:rFonts w:ascii="Meiryo UI" w:hAnsi="Meiryo UI"/>
                <w:sz w:val="18"/>
              </w:rPr>
              <w:t>¥3,639 × 2.0 = ¥7,278</w:t>
            </w:r>
          </w:p>
        </w:tc>
        <w:tc>
          <w:tcPr>
            <w:tcW w:type="dxa" w:w="3135"/>
          </w:tcPr>
          <w:p>
            <w:r>
              <w:rPr>
                <w:rFonts w:ascii="Meiryo UI" w:hAnsi="Meiryo UI"/>
                <w:sz w:val="18"/>
              </w:rPr>
              <w:t>+25.7%</w:t>
            </w:r>
          </w:p>
        </w:tc>
      </w:tr>
      <w:tr>
        <w:tc>
          <w:tcPr>
            <w:tcW w:type="dxa" w:w="3135"/>
            <w:shd w:val="clear" w:color="auto" w:fill="DDEBF7"/>
          </w:tcPr>
          <w:p>
            <w:r>
              <w:rPr>
                <w:rFonts w:ascii="Meiryo UI" w:hAnsi="Meiryo UI"/>
                <w:sz w:val="18"/>
              </w:rPr>
              <w:t>PER法（目標PER 16倍）</w:t>
            </w:r>
          </w:p>
        </w:tc>
        <w:tc>
          <w:tcPr>
            <w:tcW w:type="dxa" w:w="3135"/>
            <w:shd w:val="clear" w:color="auto" w:fill="DDEBF7"/>
          </w:tcPr>
          <w:p>
            <w:r>
              <w:rPr>
                <w:rFonts w:ascii="Meiryo UI" w:hAnsi="Meiryo UI"/>
                <w:sz w:val="18"/>
              </w:rPr>
              <w:t>¥392 × 16 = ¥6,272</w:t>
            </w:r>
          </w:p>
        </w:tc>
        <w:tc>
          <w:tcPr>
            <w:tcW w:type="dxa" w:w="3135"/>
            <w:shd w:val="clear" w:color="auto" w:fill="DDEBF7"/>
          </w:tcPr>
          <w:p>
            <w:r>
              <w:rPr>
                <w:rFonts w:ascii="Meiryo UI" w:hAnsi="Meiryo UI"/>
                <w:sz w:val="18"/>
              </w:rPr>
              <w:t>+8.3%</w:t>
            </w:r>
          </w:p>
        </w:tc>
      </w:tr>
    </w:tbl>
    <w:p/>
    <w:p>
      <w:pPr>
        <w:pStyle w:val="Heading3"/>
      </w:pPr>
      <w:r>
        <w:rPr>
          <w:rFonts w:ascii="Meiryo UI" w:hAnsi="Meiryo UI"/>
          <w:color w:val="2E74B5"/>
        </w:rPr>
        <w:t>5-2. 総合フェアバリューレンジ</w:t>
      </w:r>
    </w:p>
    <w:p/>
    <w:p>
      <w:pPr>
        <w:shd w:val="clear" w:color="auto" w:fill="F2F2F2"/>
      </w:pPr>
      <w:r>
        <w:rPr>
          <w:rFonts w:ascii="Courier New" w:hAnsi="Courier New"/>
          <w:sz w:val="16"/>
        </w:rPr>
        <w:t>保守的FV：¥6,200（現在値比 +7%）</w:t>
        <w:br/>
        <w:t>中央値FV：¥7,200（現在値比 +24%）</w:t>
        <w:br/>
        <w:t>楽観値FV：¥8,400（現在値比 +45%）</w:t>
      </w:r>
    </w:p>
    <w:p/>
    <w:p>
      <w:pPr>
        <w:pStyle w:val="Heading3"/>
      </w:pPr>
      <w:r>
        <w:rPr>
          <w:rFonts w:ascii="Meiryo UI" w:hAnsi="Meiryo UI"/>
          <w:color w:val="2E74B5"/>
        </w:rPr>
        <w:t>5-3. 安全域（Margin of Safety）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バッファ設定</w:t>
            </w:r>
          </w:p>
        </w:tc>
        <w:tc>
          <w:tcPr>
            <w:tcW w:type="dxa" w:w="3135"/>
            <w:shd w:val="clear" w:color="auto" w:fill="2E74B5"/>
          </w:tcPr>
          <w:p>
            <w:r>
              <w:rPr>
                <w:rFonts w:ascii="Meiryo UI" w:hAnsi="Meiryo UI"/>
                <w:b/>
                <w:color w:val="FFFFFF"/>
                <w:sz w:val="18"/>
              </w:rPr>
              <w:t>MoS水準</w:t>
            </w:r>
          </w:p>
        </w:tc>
        <w:tc>
          <w:tcPr>
            <w:tcW w:type="dxa" w:w="3135"/>
            <w:shd w:val="clear" w:color="auto" w:fill="2E74B5"/>
          </w:tcPr>
          <w:p>
            <w:r>
              <w:rPr>
                <w:rFonts w:ascii="Meiryo UI" w:hAnsi="Meiryo UI"/>
                <w:b/>
                <w:color w:val="FFFFFF"/>
                <w:sz w:val="18"/>
              </w:rPr>
              <w:t>説明</w:t>
            </w:r>
          </w:p>
        </w:tc>
      </w:tr>
      <w:tr>
        <w:tc>
          <w:tcPr>
            <w:tcW w:type="dxa" w:w="3135"/>
          </w:tcPr>
          <w:p>
            <w:r>
              <w:rPr>
                <w:rFonts w:ascii="Meiryo UI" w:hAnsi="Meiryo UI"/>
                <w:sz w:val="18"/>
              </w:rPr>
              <w:t>保守的MoS（20%バッファ）</w:t>
            </w:r>
          </w:p>
        </w:tc>
        <w:tc>
          <w:tcPr>
            <w:tcW w:type="dxa" w:w="3135"/>
          </w:tcPr>
          <w:p>
            <w:r>
              <w:rPr>
                <w:rFonts w:ascii="Meiryo UI" w:hAnsi="Meiryo UI"/>
                <w:sz w:val="18"/>
              </w:rPr>
              <w:t>中央値FV ¥7,200 × 0.8 = ¥5,760</w:t>
            </w:r>
          </w:p>
        </w:tc>
        <w:tc>
          <w:tcPr>
            <w:tcW w:type="dxa" w:w="3135"/>
          </w:tcPr>
          <w:p>
            <w:r>
              <w:rPr>
                <w:rFonts w:ascii="Meiryo UI" w:hAnsi="Meiryo UI"/>
                <w:sz w:val="18"/>
              </w:rPr>
              <w:t>現在値¥5,790はほぼこの水準</w:t>
            </w:r>
          </w:p>
        </w:tc>
      </w:tr>
      <w:tr>
        <w:tc>
          <w:tcPr>
            <w:tcW w:type="dxa" w:w="3135"/>
            <w:shd w:val="clear" w:color="auto" w:fill="DDEBF7"/>
          </w:tcPr>
          <w:p>
            <w:r>
              <w:rPr>
                <w:rFonts w:ascii="Meiryo UI" w:hAnsi="Meiryo UI"/>
                <w:sz w:val="18"/>
              </w:rPr>
              <w:t>標準MoS（15%バッファ）</w:t>
            </w:r>
          </w:p>
        </w:tc>
        <w:tc>
          <w:tcPr>
            <w:tcW w:type="dxa" w:w="3135"/>
            <w:shd w:val="clear" w:color="auto" w:fill="DDEBF7"/>
          </w:tcPr>
          <w:p>
            <w:r>
              <w:rPr>
                <w:rFonts w:ascii="Meiryo UI" w:hAnsi="Meiryo UI"/>
                <w:sz w:val="18"/>
              </w:rPr>
              <w:t>¥7,200 × 0.85 = ¥6,120</w:t>
            </w:r>
          </w:p>
        </w:tc>
        <w:tc>
          <w:tcPr>
            <w:tcW w:type="dxa" w:w="3135"/>
            <w:shd w:val="clear" w:color="auto" w:fill="DDEBF7"/>
          </w:tcPr>
          <w:p>
            <w:r>
              <w:rPr>
                <w:rFonts w:ascii="Meiryo UI" w:hAnsi="Meiryo UI"/>
                <w:sz w:val="18"/>
              </w:rPr>
              <w:t>現在値から+5.7%上が「安全域下限」</w:t>
            </w:r>
          </w:p>
        </w:tc>
      </w:tr>
    </w:tbl>
    <w:p/>
    <w:p>
      <w:r>
        <w:rPr>
          <w:rFonts w:ascii="Meiryo UI" w:hAnsi="Meiryo UI"/>
          <w:sz w:val="20"/>
        </w:rPr>
        <w:t>→ 現在値¥5,790は保守的MoS（¥5,760）をわずかに上回る水準。買いゾーンに入っている。</w:t>
      </w:r>
    </w:p>
    <w:p/>
    <w:p>
      <w:pPr>
        <w:pStyle w:val="Heading3"/>
      </w:pPr>
      <w:r>
        <w:rPr>
          <w:rFonts w:ascii="Meiryo UI" w:hAnsi="Meiryo UI"/>
          <w:color w:val="2E74B5"/>
        </w:rPr>
        <w:t>5-4. 投資判断：【買い】</w:t>
      </w:r>
    </w:p>
    <w:p/>
    <w:p>
      <w:pPr>
        <w:pStyle w:val="ListBullet"/>
      </w:pPr>
      <w:r>
        <w:rPr>
          <w:rFonts w:ascii="Meiryo UI" w:hAnsi="Meiryo UI"/>
          <w:sz w:val="20"/>
        </w:rPr>
        <w:t>評価：★★★★☆（4/5）</w:t>
      </w:r>
    </w:p>
    <w:p>
      <w:pPr>
        <w:pStyle w:val="ListBullet"/>
      </w:pPr>
      <w:r>
        <w:rPr>
          <w:rFonts w:ascii="Meiryo UI" w:hAnsi="Meiryo UI"/>
          <w:sz w:val="20"/>
        </w:rPr>
        <w:t>根拠：NAV調整後の本源的価値に対し▲15〜▲20%のディスカウントで放置。ROE11.3%・低レバレッジ・独占ライセンスの三拍子。カタリスト（決算×資本政策）さえ来れば12ヶ月で+24%超の上値。</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ケース</w:t>
            </w:r>
          </w:p>
        </w:tc>
        <w:tc>
          <w:tcPr>
            <w:tcW w:type="dxa" w:w="1344"/>
            <w:shd w:val="clear" w:color="auto" w:fill="2E74B5"/>
          </w:tcPr>
          <w:p>
            <w:r>
              <w:rPr>
                <w:rFonts w:ascii="Meiryo UI" w:hAnsi="Meiryo UI"/>
                <w:b/>
                <w:color w:val="FFFFFF"/>
                <w:sz w:val="18"/>
              </w:rPr>
              <w:t>想定シナリオ</w:t>
            </w:r>
          </w:p>
        </w:tc>
        <w:tc>
          <w:tcPr>
            <w:tcW w:type="dxa" w:w="1344"/>
            <w:shd w:val="clear" w:color="auto" w:fill="2E74B5"/>
          </w:tcPr>
          <w:p>
            <w:r>
              <w:rPr>
                <w:rFonts w:ascii="Meiryo UI" w:hAnsi="Meiryo UI"/>
                <w:b/>
                <w:color w:val="FFFFFF"/>
                <w:sz w:val="18"/>
              </w:rPr>
              <w:t>FCF成長</w:t>
            </w:r>
          </w:p>
        </w:tc>
        <w:tc>
          <w:tcPr>
            <w:tcW w:type="dxa" w:w="1344"/>
            <w:shd w:val="clear" w:color="auto" w:fill="2E74B5"/>
          </w:tcPr>
          <w:p>
            <w:r>
              <w:rPr>
                <w:rFonts w:ascii="Meiryo UI" w:hAnsi="Meiryo UI"/>
                <w:b/>
                <w:color w:val="FFFFFF"/>
                <w:sz w:val="18"/>
              </w:rPr>
              <w:t>g</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理論株価</w:t>
            </w:r>
          </w:p>
        </w:tc>
        <w:tc>
          <w:tcPr>
            <w:tcW w:type="dxa" w:w="1344"/>
            <w:shd w:val="clear" w:color="auto" w:fill="2E74B5"/>
          </w:tcPr>
          <w:p>
            <w:r>
              <w:rPr>
                <w:rFonts w:ascii="Meiryo UI" w:hAnsi="Meiryo UI"/>
                <w:b/>
                <w:color w:val="FFFFFF"/>
                <w:sz w:val="18"/>
              </w:rPr>
              <w:t>現在値比</w:t>
            </w:r>
          </w:p>
        </w:tc>
      </w:tr>
      <w:tr>
        <w:tc>
          <w:tcPr>
            <w:tcW w:type="dxa" w:w="1344"/>
          </w:tcPr>
          <w:p>
            <w:r>
              <w:rPr>
                <w:rFonts w:ascii="Meiryo UI" w:hAnsi="Meiryo UI"/>
                <w:sz w:val="18"/>
              </w:rPr>
              <w:t>🟢 強気</w:t>
            </w:r>
          </w:p>
        </w:tc>
        <w:tc>
          <w:tcPr>
            <w:tcW w:type="dxa" w:w="1344"/>
          </w:tcPr>
          <w:p>
            <w:r>
              <w:rPr>
                <w:rFonts w:ascii="Meiryo UI" w:hAnsi="Meiryo UI"/>
                <w:sz w:val="18"/>
              </w:rPr>
              <w:t>東証圧力×自社株買い×不動産売却益→NAV顕在化。競馬売上オンライン化で回復</w:t>
            </w:r>
          </w:p>
        </w:tc>
        <w:tc>
          <w:tcPr>
            <w:tcW w:type="dxa" w:w="1344"/>
          </w:tcPr>
          <w:p>
            <w:r>
              <w:rPr>
                <w:rFonts w:ascii="Meiryo UI" w:hAnsi="Meiryo UI"/>
                <w:sz w:val="18"/>
              </w:rPr>
              <w:t>+4%/年</w:t>
            </w:r>
          </w:p>
        </w:tc>
        <w:tc>
          <w:tcPr>
            <w:tcW w:type="dxa" w:w="1344"/>
          </w:tcPr>
          <w:p>
            <w:r>
              <w:rPr>
                <w:rFonts w:ascii="Meiryo UI" w:hAnsi="Meiryo UI"/>
                <w:sz w:val="18"/>
              </w:rPr>
              <w:t>1.0%</w:t>
            </w:r>
          </w:p>
        </w:tc>
        <w:tc>
          <w:tcPr>
            <w:tcW w:type="dxa" w:w="1344"/>
          </w:tcPr>
          <w:p>
            <w:r>
              <w:rPr>
                <w:rFonts w:ascii="Meiryo UI" w:hAnsi="Meiryo UI"/>
                <w:sz w:val="18"/>
              </w:rPr>
              <w:t>4.8%</w:t>
            </w:r>
          </w:p>
        </w:tc>
        <w:tc>
          <w:tcPr>
            <w:tcW w:type="dxa" w:w="1344"/>
          </w:tcPr>
          <w:p>
            <w:r>
              <w:rPr>
                <w:rFonts w:ascii="Meiryo UI" w:hAnsi="Meiryo UI"/>
                <w:sz w:val="18"/>
              </w:rPr>
              <w:t>¥8,400〜¥9,500</w:t>
            </w:r>
          </w:p>
        </w:tc>
        <w:tc>
          <w:tcPr>
            <w:tcW w:type="dxa" w:w="1344"/>
          </w:tcPr>
          <w:p>
            <w:r>
              <w:rPr>
                <w:rFonts w:ascii="Meiryo UI" w:hAnsi="Meiryo UI"/>
                <w:sz w:val="18"/>
              </w:rPr>
              <w:t>+45〜+64%</w:t>
            </w:r>
          </w:p>
        </w:tc>
      </w:tr>
      <w:tr>
        <w:tc>
          <w:tcPr>
            <w:tcW w:type="dxa" w:w="1344"/>
            <w:shd w:val="clear" w:color="auto" w:fill="DDEBF7"/>
          </w:tcPr>
          <w:p>
            <w:r>
              <w:rPr>
                <w:rFonts w:ascii="Meiryo UI" w:hAnsi="Meiryo UI"/>
                <w:sz w:val="18"/>
              </w:rPr>
              <w:t>🟡 基本</w:t>
            </w:r>
          </w:p>
        </w:tc>
        <w:tc>
          <w:tcPr>
            <w:tcW w:type="dxa" w:w="1344"/>
            <w:shd w:val="clear" w:color="auto" w:fill="DDEBF7"/>
          </w:tcPr>
          <w:p>
            <w:r>
              <w:rPr>
                <w:rFonts w:ascii="Meiryo UI" w:hAnsi="Meiryo UI"/>
                <w:sz w:val="18"/>
              </w:rPr>
              <w:t>現状維持。増配あり。含み益顕在化は限定的。競馬売上±ゼロ成長</w:t>
            </w:r>
          </w:p>
        </w:tc>
        <w:tc>
          <w:tcPr>
            <w:tcW w:type="dxa" w:w="1344"/>
            <w:shd w:val="clear" w:color="auto" w:fill="DDEBF7"/>
          </w:tcPr>
          <w:p>
            <w:r>
              <w:rPr>
                <w:rFonts w:ascii="Meiryo UI" w:hAnsi="Meiryo UI"/>
                <w:sz w:val="18"/>
              </w:rPr>
              <w:t>+2%/年</w:t>
            </w:r>
          </w:p>
        </w:tc>
        <w:tc>
          <w:tcPr>
            <w:tcW w:type="dxa" w:w="1344"/>
            <w:shd w:val="clear" w:color="auto" w:fill="DDEBF7"/>
          </w:tcPr>
          <w:p>
            <w:r>
              <w:rPr>
                <w:rFonts w:ascii="Meiryo UI" w:hAnsi="Meiryo UI"/>
                <w:sz w:val="18"/>
              </w:rPr>
              <w:t>0.5%</w:t>
            </w:r>
          </w:p>
        </w:tc>
        <w:tc>
          <w:tcPr>
            <w:tcW w:type="dxa" w:w="1344"/>
            <w:shd w:val="clear" w:color="auto" w:fill="DDEBF7"/>
          </w:tcPr>
          <w:p>
            <w:r>
              <w:rPr>
                <w:rFonts w:ascii="Meiryo UI" w:hAnsi="Meiryo UI"/>
                <w:sz w:val="18"/>
              </w:rPr>
              <w:t>5.23%</w:t>
            </w:r>
          </w:p>
        </w:tc>
        <w:tc>
          <w:tcPr>
            <w:tcW w:type="dxa" w:w="1344"/>
            <w:shd w:val="clear" w:color="auto" w:fill="DDEBF7"/>
          </w:tcPr>
          <w:p>
            <w:r>
              <w:rPr>
                <w:rFonts w:ascii="Meiryo UI" w:hAnsi="Meiryo UI"/>
                <w:sz w:val="18"/>
              </w:rPr>
              <w:t>¥6,800〜¥7,200</w:t>
            </w:r>
          </w:p>
        </w:tc>
        <w:tc>
          <w:tcPr>
            <w:tcW w:type="dxa" w:w="1344"/>
            <w:shd w:val="clear" w:color="auto" w:fill="DDEBF7"/>
          </w:tcPr>
          <w:p>
            <w:r>
              <w:rPr>
                <w:rFonts w:ascii="Meiryo UI" w:hAnsi="Meiryo UI"/>
                <w:sz w:val="18"/>
              </w:rPr>
              <w:t>+17〜+24%</w:t>
            </w:r>
          </w:p>
        </w:tc>
      </w:tr>
      <w:tr>
        <w:tc>
          <w:tcPr>
            <w:tcW w:type="dxa" w:w="1344"/>
          </w:tcPr>
          <w:p>
            <w:r>
              <w:rPr>
                <w:rFonts w:ascii="Meiryo UI" w:hAnsi="Meiryo UI"/>
                <w:sz w:val="18"/>
              </w:rPr>
              <w:t>🔴 弱気</w:t>
            </w:r>
          </w:p>
        </w:tc>
        <w:tc>
          <w:tcPr>
            <w:tcW w:type="dxa" w:w="1344"/>
          </w:tcPr>
          <w:p>
            <w:r>
              <w:rPr>
                <w:rFonts w:ascii="Meiryo UI" w:hAnsi="Meiryo UI"/>
                <w:sz w:val="18"/>
              </w:rPr>
              <w:t>競馬売上構造的縮小。レジャー施設損失拡大。経営陣が資本政策を拒否</w:t>
            </w:r>
          </w:p>
        </w:tc>
        <w:tc>
          <w:tcPr>
            <w:tcW w:type="dxa" w:w="1344"/>
          </w:tcPr>
          <w:p>
            <w:r>
              <w:rPr>
                <w:rFonts w:ascii="Meiryo UI" w:hAnsi="Meiryo UI"/>
                <w:sz w:val="18"/>
              </w:rPr>
              <w:t>0%/年</w:t>
            </w:r>
          </w:p>
        </w:tc>
        <w:tc>
          <w:tcPr>
            <w:tcW w:type="dxa" w:w="1344"/>
          </w:tcPr>
          <w:p>
            <w:r>
              <w:rPr>
                <w:rFonts w:ascii="Meiryo UI" w:hAnsi="Meiryo UI"/>
                <w:sz w:val="18"/>
              </w:rPr>
              <w:t>0.0%</w:t>
            </w:r>
          </w:p>
        </w:tc>
        <w:tc>
          <w:tcPr>
            <w:tcW w:type="dxa" w:w="1344"/>
          </w:tcPr>
          <w:p>
            <w:r>
              <w:rPr>
                <w:rFonts w:ascii="Meiryo UI" w:hAnsi="Meiryo UI"/>
                <w:sz w:val="18"/>
              </w:rPr>
              <w:t>5.8%</w:t>
            </w:r>
          </w:p>
        </w:tc>
        <w:tc>
          <w:tcPr>
            <w:tcW w:type="dxa" w:w="1344"/>
          </w:tcPr>
          <w:p>
            <w:r>
              <w:rPr>
                <w:rFonts w:ascii="Meiryo UI" w:hAnsi="Meiryo UI"/>
                <w:sz w:val="18"/>
              </w:rPr>
              <w:t>¥4,800〜¥5,200</w:t>
            </w:r>
          </w:p>
        </w:tc>
        <w:tc>
          <w:tcPr>
            <w:tcW w:type="dxa" w:w="1344"/>
          </w:tcPr>
          <w:p>
            <w:r>
              <w:rPr>
                <w:rFonts w:ascii="Meiryo UI" w:hAnsi="Meiryo UI"/>
                <w:sz w:val="18"/>
              </w:rPr>
              <w:t>▲10〜▲17%</w:t>
            </w:r>
          </w:p>
        </w:tc>
      </w:tr>
    </w:tbl>
    <w:p/>
    <w:p>
      <w:pPr>
        <w:pStyle w:val="Heading3"/>
      </w:pPr>
      <w:r>
        <w:rPr>
          <w:rFonts w:ascii="Meiryo UI" w:hAnsi="Meiryo UI"/>
          <w:color w:val="2E74B5"/>
        </w:rPr>
        <w:t>シナリオ確率加重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理論株価（中央値）</w:t>
            </w:r>
          </w:p>
        </w:tc>
        <w:tc>
          <w:tcPr>
            <w:tcW w:type="dxa" w:w="2351"/>
            <w:shd w:val="clear" w:color="auto" w:fill="2E74B5"/>
          </w:tcPr>
          <w:p>
            <w:r>
              <w:rPr>
                <w:rFonts w:ascii="Meiryo UI" w:hAnsi="Meiryo UI"/>
                <w:b/>
                <w:color w:val="FFFFFF"/>
                <w:sz w:val="18"/>
              </w:rPr>
              <w:t>期待値</w:t>
            </w:r>
          </w:p>
        </w:tc>
      </w:tr>
      <w:tr>
        <w:tc>
          <w:tcPr>
            <w:tcW w:type="dxa" w:w="2351"/>
          </w:tcPr>
          <w:p>
            <w:r>
              <w:rPr>
                <w:rFonts w:ascii="Meiryo UI" w:hAnsi="Meiryo UI"/>
                <w:sz w:val="18"/>
              </w:rPr>
              <w:t>強気</w:t>
            </w:r>
          </w:p>
        </w:tc>
        <w:tc>
          <w:tcPr>
            <w:tcW w:type="dxa" w:w="2351"/>
          </w:tcPr>
          <w:p>
            <w:r>
              <w:rPr>
                <w:rFonts w:ascii="Meiryo UI" w:hAnsi="Meiryo UI"/>
                <w:sz w:val="18"/>
              </w:rPr>
              <w:t>25%</w:t>
            </w:r>
          </w:p>
        </w:tc>
        <w:tc>
          <w:tcPr>
            <w:tcW w:type="dxa" w:w="2351"/>
          </w:tcPr>
          <w:p>
            <w:r>
              <w:rPr>
                <w:rFonts w:ascii="Meiryo UI" w:hAnsi="Meiryo UI"/>
                <w:sz w:val="18"/>
              </w:rPr>
              <w:t>¥8,900</w:t>
            </w:r>
          </w:p>
        </w:tc>
        <w:tc>
          <w:tcPr>
            <w:tcW w:type="dxa" w:w="2351"/>
          </w:tcPr>
          <w:p>
            <w:r>
              <w:rPr>
                <w:rFonts w:ascii="Meiryo UI" w:hAnsi="Meiryo UI"/>
                <w:sz w:val="18"/>
              </w:rPr>
              <w:t>¥2,225</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¥7,000</w:t>
            </w:r>
          </w:p>
        </w:tc>
        <w:tc>
          <w:tcPr>
            <w:tcW w:type="dxa" w:w="2351"/>
            <w:shd w:val="clear" w:color="auto" w:fill="DDEBF7"/>
          </w:tcPr>
          <w:p>
            <w:r>
              <w:rPr>
                <w:rFonts w:ascii="Meiryo UI" w:hAnsi="Meiryo UI"/>
                <w:sz w:val="18"/>
              </w:rPr>
              <w:t>¥3,850</w:t>
            </w:r>
          </w:p>
        </w:tc>
      </w:tr>
      <w:tr>
        <w:tc>
          <w:tcPr>
            <w:tcW w:type="dxa" w:w="2351"/>
          </w:tcPr>
          <w:p>
            <w:r>
              <w:rPr>
                <w:rFonts w:ascii="Meiryo UI" w:hAnsi="Meiryo UI"/>
                <w:sz w:val="18"/>
              </w:rPr>
              <w:t>弱気</w:t>
            </w:r>
          </w:p>
        </w:tc>
        <w:tc>
          <w:tcPr>
            <w:tcW w:type="dxa" w:w="2351"/>
          </w:tcPr>
          <w:p>
            <w:r>
              <w:rPr>
                <w:rFonts w:ascii="Meiryo UI" w:hAnsi="Meiryo UI"/>
                <w:sz w:val="18"/>
              </w:rPr>
              <w:t>20%</w:t>
            </w:r>
          </w:p>
        </w:tc>
        <w:tc>
          <w:tcPr>
            <w:tcW w:type="dxa" w:w="2351"/>
          </w:tcPr>
          <w:p>
            <w:r>
              <w:rPr>
                <w:rFonts w:ascii="Meiryo UI" w:hAnsi="Meiryo UI"/>
                <w:sz w:val="18"/>
              </w:rPr>
              <w:t>¥5,000</w:t>
            </w:r>
          </w:p>
        </w:tc>
        <w:tc>
          <w:tcPr>
            <w:tcW w:type="dxa" w:w="2351"/>
          </w:tcPr>
          <w:p>
            <w:r>
              <w:rPr>
                <w:rFonts w:ascii="Meiryo UI" w:hAnsi="Meiryo UI"/>
                <w:sz w:val="18"/>
              </w:rPr>
              <w:t>¥1,000</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¥7,075</w:t>
            </w:r>
          </w:p>
        </w:tc>
      </w:tr>
    </w:tbl>
    <w:p/>
    <w:p>
      <w:r>
        <w:rPr>
          <w:rFonts w:ascii="Meiryo UI" w:hAnsi="Meiryo UI"/>
          <w:sz w:val="20"/>
        </w:rPr>
        <w:t>→ 期待値ベースの理論株価：¥7,075（現在値比 +22.2%）</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深井DCF/NAV分析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+0（BUY）</w:t>
            </w:r>
          </w:p>
        </w:tc>
        <w:tc>
          <w:tcPr>
            <w:tcW w:type="dxa" w:w="2351"/>
          </w:tcPr>
          <w:p>
            <w:r>
              <w:rPr>
                <w:rFonts w:ascii="Meiryo UI" w:hAnsi="Meiryo UI"/>
                <w:sz w:val="18"/>
              </w:rPr>
              <w:t>¥7,075（+22%期待値）</w:t>
            </w:r>
          </w:p>
        </w:tc>
        <w:tc>
          <w:tcPr>
            <w:tcW w:type="dxa" w:w="2351"/>
          </w:tcPr>
          <w:p>
            <w:r>
              <w:rPr>
                <w:rFonts w:ascii="Meiryo UI" w:hAnsi="Meiryo UI"/>
                <w:sz w:val="18"/>
              </w:rPr>
              <w:t>整合（方向感一致）</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国内スキャン対象外（流動性薄）</w:t>
            </w:r>
          </w:p>
        </w:tc>
        <w:tc>
          <w:tcPr>
            <w:tcW w:type="dxa" w:w="2351"/>
            <w:shd w:val="clear" w:color="auto" w:fill="DDEBF7"/>
          </w:tcPr>
          <w:p>
            <w:r>
              <w:rPr>
                <w:rFonts w:ascii="Meiryo UI" w:hAnsi="Meiryo UI"/>
                <w:sz w:val="18"/>
              </w:rPr>
              <w:t>バリュー放置・低流動性確認</w:t>
            </w:r>
          </w:p>
        </w:tc>
        <w:tc>
          <w:tcPr>
            <w:tcW w:type="dxa" w:w="2351"/>
            <w:shd w:val="clear" w:color="auto" w:fill="DDEBF7"/>
          </w:tcPr>
          <w:p>
            <w:r>
              <w:rPr>
                <w:rFonts w:ascii="Meiryo UI" w:hAnsi="Meiryo UI"/>
                <w:sz w:val="18"/>
              </w:rPr>
              <w:t>整合</w:t>
            </w:r>
          </w:p>
        </w:tc>
      </w:tr>
      <w:tr>
        <w:tc>
          <w:tcPr>
            <w:tcW w:type="dxa" w:w="2351"/>
          </w:tcPr>
          <w:p>
            <w:r>
              <w:rPr>
                <w:rFonts w:ascii="Meiryo UI" w:hAnsi="Meiryo UI"/>
                <w:sz w:val="18"/>
              </w:rPr>
              <w:t>カタリスト</w:t>
            </w:r>
          </w:p>
        </w:tc>
        <w:tc>
          <w:tcPr>
            <w:tcW w:type="dxa" w:w="2351"/>
          </w:tcPr>
          <w:p>
            <w:r>
              <w:rPr>
                <w:rFonts w:ascii="Meiryo UI" w:hAnsi="Meiryo UI"/>
                <w:sz w:val="18"/>
              </w:rPr>
              <w:t>スキャン外（コメントなし）</w:t>
            </w:r>
          </w:p>
        </w:tc>
        <w:tc>
          <w:tcPr>
            <w:tcW w:type="dxa" w:w="2351"/>
          </w:tcPr>
          <w:p>
            <w:r>
              <w:rPr>
                <w:rFonts w:ascii="Meiryo UI" w:hAnsi="Meiryo UI"/>
                <w:sz w:val="18"/>
              </w:rPr>
              <w:t>5月決算×資本政策が最重要</w:t>
            </w:r>
          </w:p>
        </w:tc>
        <w:tc>
          <w:tcPr>
            <w:tcW w:type="dxa" w:w="2351"/>
          </w:tcPr>
          <w:p>
            <w:r>
              <w:rPr>
                <w:rFonts w:ascii="Meiryo UI" w:hAnsi="Meiryo UI"/>
                <w:sz w:val="18"/>
              </w:rPr>
              <w:t>要確認</w:t>
            </w:r>
          </w:p>
        </w:tc>
      </w:tr>
      <w:tr>
        <w:tc>
          <w:tcPr>
            <w:tcW w:type="dxa" w:w="2351"/>
            <w:shd w:val="clear" w:color="auto" w:fill="DDEBF7"/>
          </w:tcPr>
          <w:p>
            <w:r>
              <w:rPr>
                <w:rFonts w:ascii="Meiryo UI" w:hAnsi="Meiryo UI"/>
                <w:sz w:val="18"/>
              </w:rPr>
              <w:t>ギャップ</w:t>
            </w:r>
          </w:p>
        </w:tc>
        <w:tc>
          <w:tcPr>
            <w:tcW w:type="dxa" w:w="2351"/>
            <w:shd w:val="clear" w:color="auto" w:fill="DDEBF7"/>
          </w:tcPr>
          <w:p>
            <w:r>
              <w:rPr>
                <w:rFonts w:ascii="Meiryo UI" w:hAnsi="Meiryo UI"/>
                <w:sz w:val="18"/>
              </w:rPr>
              <w:t>センチメント的フォローなし</w:t>
            </w:r>
          </w:p>
        </w:tc>
        <w:tc>
          <w:tcPr>
            <w:tcW w:type="dxa" w:w="2351"/>
            <w:shd w:val="clear" w:color="auto" w:fill="DDEBF7"/>
          </w:tcPr>
          <w:p>
            <w:r>
              <w:rPr>
                <w:rFonts w:ascii="Meiryo UI" w:hAnsi="Meiryo UI"/>
                <w:sz w:val="18"/>
              </w:rPr>
              <w:t>本源的価値と市場価格のギャップ+22%</w:t>
            </w:r>
          </w:p>
        </w:tc>
        <w:tc>
          <w:tcPr>
            <w:tcW w:type="dxa" w:w="2351"/>
            <w:shd w:val="clear" w:color="auto" w:fill="DDEBF7"/>
          </w:tcPr>
          <w:p>
            <w:r>
              <w:rPr>
                <w:rFonts w:ascii="Meiryo UI" w:hAnsi="Meiryo UI"/>
                <w:sz w:val="18"/>
              </w:rPr>
              <w:t>ポジティブ乖離</w:t>
            </w:r>
          </w:p>
        </w:tc>
      </w:tr>
    </w:tbl>
    <w:p/>
    <w:p>
      <w:r>
        <w:rPr>
          <w:rFonts w:ascii="Meiryo UI" w:hAnsi="Meiryo UI"/>
          <w:sz w:val="20"/>
        </w:rPr>
        <w:t>統合評価：センチメント的な追い風はゼロだが、本源的価値は現在値を+22%上回る。典型的な「市場が見ていないバリュー株」の条件を満たす。センチメント改善（カタリスト発生）が株価解放のトリガー。</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フェーズ</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行動</w:t>
            </w:r>
          </w:p>
        </w:tc>
        <w:tc>
          <w:tcPr>
            <w:tcW w:type="dxa" w:w="1881"/>
            <w:shd w:val="clear" w:color="auto" w:fill="2E74B5"/>
          </w:tcPr>
          <w:p>
            <w:r>
              <w:rPr>
                <w:rFonts w:ascii="Meiryo UI" w:hAnsi="Meiryo UI"/>
                <w:b/>
                <w:color w:val="FFFFFF"/>
                <w:sz w:val="18"/>
              </w:rPr>
              <w:t>株数（目安）</w:t>
            </w:r>
          </w:p>
        </w:tc>
        <w:tc>
          <w:tcPr>
            <w:tcW w:type="dxa" w:w="1881"/>
            <w:shd w:val="clear" w:color="auto" w:fill="2E74B5"/>
          </w:tcPr>
          <w:p>
            <w:r>
              <w:rPr>
                <w:rFonts w:ascii="Meiryo UI" w:hAnsi="Meiryo UI"/>
                <w:b/>
                <w:color w:val="FFFFFF"/>
                <w:sz w:val="18"/>
              </w:rPr>
              <w:t>想定価格帯</w:t>
            </w:r>
          </w:p>
        </w:tc>
      </w:tr>
      <w:tr>
        <w:tc>
          <w:tcPr>
            <w:tcW w:type="dxa" w:w="1881"/>
          </w:tcPr>
          <w:p>
            <w:r>
              <w:rPr>
                <w:rFonts w:ascii="Meiryo UI" w:hAnsi="Meiryo UI"/>
                <w:sz w:val="18"/>
              </w:rPr>
              <w:t>第1トランシェ（今すぐ）</w:t>
            </w:r>
          </w:p>
        </w:tc>
        <w:tc>
          <w:tcPr>
            <w:tcW w:type="dxa" w:w="1881"/>
          </w:tcPr>
          <w:p>
            <w:r>
              <w:rPr>
                <w:rFonts w:ascii="Meiryo UI" w:hAnsi="Meiryo UI"/>
                <w:sz w:val="18"/>
              </w:rPr>
              <w:t>2026年4月15〜30日</w:t>
            </w:r>
          </w:p>
        </w:tc>
        <w:tc>
          <w:tcPr>
            <w:tcW w:type="dxa" w:w="1881"/>
          </w:tcPr>
          <w:p>
            <w:r>
              <w:rPr>
                <w:rFonts w:ascii="Meiryo UI" w:hAnsi="Meiryo UI"/>
                <w:sz w:val="18"/>
              </w:rPr>
              <w:t>50%エントリー</w:t>
            </w:r>
          </w:p>
        </w:tc>
        <w:tc>
          <w:tcPr>
            <w:tcW w:type="dxa" w:w="1881"/>
          </w:tcPr>
          <w:p>
            <w:r>
              <w:rPr>
                <w:rFonts w:ascii="Meiryo UI" w:hAnsi="Meiryo UI"/>
                <w:sz w:val="18"/>
              </w:rPr>
              <w:t>全体の50%</w:t>
            </w:r>
          </w:p>
        </w:tc>
        <w:tc>
          <w:tcPr>
            <w:tcW w:type="dxa" w:w="1881"/>
          </w:tcPr>
          <w:p>
            <w:r>
              <w:rPr>
                <w:rFonts w:ascii="Meiryo UI" w:hAnsi="Meiryo UI"/>
                <w:sz w:val="18"/>
              </w:rPr>
              <w:t>¥5,700〜¥5,900</w:t>
            </w:r>
          </w:p>
        </w:tc>
      </w:tr>
      <w:tr>
        <w:tc>
          <w:tcPr>
            <w:tcW w:type="dxa" w:w="1881"/>
            <w:shd w:val="clear" w:color="auto" w:fill="DDEBF7"/>
          </w:tcPr>
          <w:p>
            <w:r>
              <w:rPr>
                <w:rFonts w:ascii="Meiryo UI" w:hAnsi="Meiryo UI"/>
                <w:sz w:val="18"/>
              </w:rPr>
              <w:t>第2トランシェ（決算後）</w:t>
            </w:r>
          </w:p>
        </w:tc>
        <w:tc>
          <w:tcPr>
            <w:tcW w:type="dxa" w:w="1881"/>
            <w:shd w:val="clear" w:color="auto" w:fill="DDEBF7"/>
          </w:tcPr>
          <w:p>
            <w:r>
              <w:rPr>
                <w:rFonts w:ascii="Meiryo UI" w:hAnsi="Meiryo UI"/>
                <w:sz w:val="18"/>
              </w:rPr>
              <w:t>2026年5月下旬・本決算発表後</w:t>
            </w:r>
          </w:p>
        </w:tc>
        <w:tc>
          <w:tcPr>
            <w:tcW w:type="dxa" w:w="1881"/>
            <w:shd w:val="clear" w:color="auto" w:fill="DDEBF7"/>
          </w:tcPr>
          <w:p>
            <w:r>
              <w:rPr>
                <w:rFonts w:ascii="Meiryo UI" w:hAnsi="Meiryo UI"/>
                <w:sz w:val="18"/>
              </w:rPr>
              <w:t>増配or自社株買い確認で残り50%</w:t>
            </w:r>
          </w:p>
        </w:tc>
        <w:tc>
          <w:tcPr>
            <w:tcW w:type="dxa" w:w="1881"/>
            <w:shd w:val="clear" w:color="auto" w:fill="DDEBF7"/>
          </w:tcPr>
          <w:p>
            <w:r>
              <w:rPr>
                <w:rFonts w:ascii="Meiryo UI" w:hAnsi="Meiryo UI"/>
                <w:sz w:val="18"/>
              </w:rPr>
              <w:t>全体の50%</w:t>
            </w:r>
          </w:p>
        </w:tc>
        <w:tc>
          <w:tcPr>
            <w:tcW w:type="dxa" w:w="1881"/>
            <w:shd w:val="clear" w:color="auto" w:fill="DDEBF7"/>
          </w:tcPr>
          <w:p>
            <w:r>
              <w:rPr>
                <w:rFonts w:ascii="Meiryo UI" w:hAnsi="Meiryo UI"/>
                <w:sz w:val="18"/>
              </w:rPr>
              <w:t>¥5,800〜¥6,200</w:t>
            </w:r>
          </w:p>
        </w:tc>
      </w:tr>
      <w:tr>
        <w:tc>
          <w:tcPr>
            <w:tcW w:type="dxa" w:w="1881"/>
          </w:tcPr>
          <w:p>
            <w:r>
              <w:rPr>
                <w:rFonts w:ascii="Meiryo UI" w:hAnsi="Meiryo UI"/>
                <w:sz w:val="18"/>
              </w:rPr>
              <w:t>利益確定（第1段）</w:t>
            </w:r>
          </w:p>
        </w:tc>
        <w:tc>
          <w:tcPr>
            <w:tcW w:type="dxa" w:w="1881"/>
          </w:tcPr>
          <w:p>
            <w:r>
              <w:rPr>
                <w:rFonts w:ascii="Meiryo UI" w:hAnsi="Meiryo UI"/>
                <w:sz w:val="18"/>
              </w:rPr>
              <w:t>理論株価¥7,200到達時</w:t>
            </w:r>
          </w:p>
        </w:tc>
        <w:tc>
          <w:tcPr>
            <w:tcW w:type="dxa" w:w="1881"/>
          </w:tcPr>
          <w:p>
            <w:r>
              <w:rPr>
                <w:rFonts w:ascii="Meiryo UI" w:hAnsi="Meiryo UI"/>
                <w:sz w:val="18"/>
              </w:rPr>
              <w:t>50%売却</w:t>
            </w:r>
          </w:p>
        </w:tc>
        <w:tc>
          <w:tcPr>
            <w:tcW w:type="dxa" w:w="1881"/>
          </w:tcPr>
          <w:p>
            <w:r>
              <w:rPr>
                <w:rFonts w:ascii="Meiryo UI" w:hAnsi="Meiryo UI"/>
                <w:sz w:val="18"/>
              </w:rPr>
              <w:t>保有の50%</w:t>
            </w:r>
          </w:p>
        </w:tc>
        <w:tc>
          <w:tcPr>
            <w:tcW w:type="dxa" w:w="1881"/>
          </w:tcPr>
          <w:p>
            <w:r>
              <w:rPr>
                <w:rFonts w:ascii="Meiryo UI" w:hAnsi="Meiryo UI"/>
                <w:sz w:val="18"/>
              </w:rPr>
              <w:t>¥7,200前後</w:t>
            </w:r>
          </w:p>
        </w:tc>
      </w:tr>
      <w:tr>
        <w:tc>
          <w:tcPr>
            <w:tcW w:type="dxa" w:w="1881"/>
            <w:shd w:val="clear" w:color="auto" w:fill="DDEBF7"/>
          </w:tcPr>
          <w:p>
            <w:r>
              <w:rPr>
                <w:rFonts w:ascii="Meiryo UI" w:hAnsi="Meiryo UI"/>
                <w:sz w:val="18"/>
              </w:rPr>
              <w:t>利益確定（最終）</w:t>
            </w:r>
          </w:p>
        </w:tc>
        <w:tc>
          <w:tcPr>
            <w:tcW w:type="dxa" w:w="1881"/>
            <w:shd w:val="clear" w:color="auto" w:fill="DDEBF7"/>
          </w:tcPr>
          <w:p>
            <w:r>
              <w:rPr>
                <w:rFonts w:ascii="Meiryo UI" w:hAnsi="Meiryo UI"/>
                <w:sz w:val="18"/>
              </w:rPr>
              <w:t>¥8,000〜¥8,400到達or12ヶ月経過</w:t>
            </w:r>
          </w:p>
        </w:tc>
        <w:tc>
          <w:tcPr>
            <w:tcW w:type="dxa" w:w="1881"/>
            <w:shd w:val="clear" w:color="auto" w:fill="DDEBF7"/>
          </w:tcPr>
          <w:p>
            <w:r>
              <w:rPr>
                <w:rFonts w:ascii="Meiryo UI" w:hAnsi="Meiryo UI"/>
                <w:sz w:val="18"/>
              </w:rPr>
              <w:t>残り全売却</w:t>
            </w:r>
          </w:p>
        </w:tc>
        <w:tc>
          <w:tcPr>
            <w:tcW w:type="dxa" w:w="1881"/>
            <w:shd w:val="clear" w:color="auto" w:fill="DDEBF7"/>
          </w:tcPr>
          <w:p>
            <w:r>
              <w:rPr>
                <w:rFonts w:ascii="Meiryo UI" w:hAnsi="Meiryo UI"/>
                <w:sz w:val="18"/>
              </w:rPr>
              <w:t>残り50%</w:t>
            </w:r>
          </w:p>
        </w:tc>
        <w:tc>
          <w:tcPr>
            <w:tcW w:type="dxa" w:w="1881"/>
            <w:shd w:val="clear" w:color="auto" w:fill="DDEBF7"/>
          </w:tcPr>
          <w:p>
            <w:r>
              <w:rPr>
                <w:rFonts w:ascii="Meiryo UI" w:hAnsi="Meiryo UI"/>
                <w:sz w:val="18"/>
              </w:rPr>
              <w:t>¥8,000〜¥8,400</w:t>
            </w:r>
          </w:p>
        </w:tc>
      </w:tr>
    </w:tbl>
    <w:p/>
    <w:p>
      <w:pPr>
        <w:pStyle w:val="Heading3"/>
      </w:pPr>
      <w:r>
        <w:rPr>
          <w:rFonts w:ascii="Meiryo UI" w:hAnsi="Meiryo UI"/>
          <w:color w:val="2E74B5"/>
        </w:rPr>
        <w:t>損切りライン</w:t>
      </w:r>
    </w:p>
    <w:p/>
    <w:p>
      <w:pPr>
        <w:shd w:val="clear" w:color="auto" w:fill="F2F2F2"/>
      </w:pPr>
      <w:r>
        <w:rPr>
          <w:rFonts w:ascii="Courier New" w:hAnsi="Courier New"/>
          <w:sz w:val="16"/>
        </w:rPr>
        <w:t>損切りライン：¥4,900（現在値比▲15.4%）</w:t>
        <w:br/>
        <w:t>根拠：NAVディスカウント30%超（¥7,075 × 0.70 = ¥4,953）かつ弱気シナリオ下限¥5,000を下回るレベル</w:t>
        <w:br/>
        <w:t>トリガー：5月決算でFCFが▲10%超悪化、かつ資本政策変更なしの場合</w:t>
      </w:r>
    </w:p>
    <w:p/>
    <w:p>
      <w:pPr>
        <w:pStyle w:val="Heading3"/>
      </w:pPr>
      <w:r>
        <w:rPr>
          <w:rFonts w:ascii="Meiryo UI" w:hAnsi="Meiryo UI"/>
          <w:color w:val="2E74B5"/>
        </w:rPr>
        <w:t>投資スタンスの整理</w:t>
      </w:r>
    </w:p>
    <w:p/>
    <w:p>
      <w:pPr>
        <w:shd w:val="clear" w:color="auto" w:fill="F2F2F2"/>
      </w:pPr>
      <w:r>
        <w:rPr>
          <w:rFonts w:ascii="Courier New" w:hAnsi="Courier New"/>
          <w:sz w:val="16"/>
        </w:rPr>
        <w:t>【今すぐやること】</w:t>
        <w:br/>
        <w:t>→ ¥5,700〜¥5,900で第1トランシェ（全体の50%）エントリー</w:t>
        <w:br/>
        <w:t>→ 有価証券報告書（2026年3月期）入手→不動産含み益の注記を直接確認</w:t>
        <w:br/>
        <w:br/>
        <w:t>【5月決算発表で確認すること】</w:t>
        <w:br/>
        <w:t>→ 配当金額（増配の有無）</w:t>
        <w:br/>
        <w:t>→ 自社株買い発表の有無</w:t>
        <w:br/>
        <w:t>→ FCF・営業CF（対前年比変化）</w:t>
        <w:br/>
        <w:t>→ 不動産資産の簿価・時価開示</w:t>
        <w:br/>
        <w:br/>
        <w:t>【やってはいけないこと】</w:t>
        <w:br/>
        <w:t>→ 第2トランシェを決算確認前に全投入</w:t>
        <w:br/>
        <w:t>→ ¥4,900を割っても「待つ」こと（損切りは徹底）</w:t>
        <w:br/>
        <w:t>→ 流動性が薄いため、大口での一括エントリー（分割エントリー厳守）</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Rfシナリオ別 理論株価テーブル</w:t>
      </w:r>
    </w:p>
    <w:p/>
    <w:p>
      <w:r>
        <w:rPr>
          <w:rFonts w:ascii="Meiryo UI" w:hAnsi="Meiryo UI"/>
          <w:sz w:val="20"/>
        </w:rPr>
        <w:t>前提：β=0.65、ERP=5.5%、E/V=85%、D/V=15%、Rd=1.2%、Tc=30%、g=0.5%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理論株価（NAV込み中央値：JPY）</w:t>
            </w:r>
          </w:p>
        </w:tc>
        <w:tc>
          <w:tcPr>
            <w:tcW w:type="dxa" w:w="1568"/>
            <w:shd w:val="clear" w:color="auto" w:fill="2E74B5"/>
          </w:tcPr>
          <w:p>
            <w:r>
              <w:rPr>
                <w:rFonts w:ascii="Meiryo UI" w:hAnsi="Meiryo UI"/>
                <w:b/>
                <w:color w:val="FFFFFF"/>
                <w:sz w:val="18"/>
              </w:rPr>
              <w:t>現在値（¥5,790）比乖離率</w:t>
            </w:r>
          </w:p>
        </w:tc>
      </w:tr>
      <w:tr>
        <w:tc>
          <w:tcPr>
            <w:tcW w:type="dxa" w:w="1568"/>
          </w:tcPr>
          <w:p>
            <w:r>
              <w:rPr>
                <w:rFonts w:ascii="Meiryo UI" w:hAnsi="Meiryo UI"/>
                <w:sz w:val="18"/>
              </w:rPr>
              <w:t>大幅低下</w:t>
            </w:r>
          </w:p>
        </w:tc>
        <w:tc>
          <w:tcPr>
            <w:tcW w:type="dxa" w:w="1568"/>
          </w:tcPr>
          <w:p>
            <w:r>
              <w:rPr>
                <w:rFonts w:ascii="Meiryo UI" w:hAnsi="Meiryo UI"/>
                <w:sz w:val="18"/>
              </w:rPr>
              <w:t>1.423%</w:t>
            </w:r>
          </w:p>
        </w:tc>
        <w:tc>
          <w:tcPr>
            <w:tcW w:type="dxa" w:w="1568"/>
          </w:tcPr>
          <w:p>
            <w:r>
              <w:rPr>
                <w:rFonts w:ascii="Meiryo UI" w:hAnsi="Meiryo UI"/>
                <w:sz w:val="18"/>
              </w:rPr>
              <w:t>5.000%</w:t>
            </w:r>
          </w:p>
        </w:tc>
        <w:tc>
          <w:tcPr>
            <w:tcW w:type="dxa" w:w="1568"/>
          </w:tcPr>
          <w:p>
            <w:r>
              <w:rPr>
                <w:rFonts w:ascii="Meiryo UI" w:hAnsi="Meiryo UI"/>
                <w:sz w:val="18"/>
              </w:rPr>
              <w:t>4.399%</w:t>
            </w:r>
          </w:p>
        </w:tc>
        <w:tc>
          <w:tcPr>
            <w:tcW w:type="dxa" w:w="1568"/>
          </w:tcPr>
          <w:p>
            <w:r>
              <w:rPr>
                <w:rFonts w:ascii="Meiryo UI" w:hAnsi="Meiryo UI"/>
                <w:sz w:val="18"/>
              </w:rPr>
              <w:t>¥8,650</w:t>
            </w:r>
          </w:p>
        </w:tc>
        <w:tc>
          <w:tcPr>
            <w:tcW w:type="dxa" w:w="1568"/>
          </w:tcPr>
          <w:p>
            <w:r>
              <w:rPr>
                <w:rFonts w:ascii="Meiryo UI" w:hAnsi="Meiryo UI"/>
                <w:sz w:val="18"/>
              </w:rPr>
              <w:t>+49.4%</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1.923%</w:t>
            </w:r>
          </w:p>
        </w:tc>
        <w:tc>
          <w:tcPr>
            <w:tcW w:type="dxa" w:w="1568"/>
            <w:shd w:val="clear" w:color="auto" w:fill="DDEBF7"/>
          </w:tcPr>
          <w:p>
            <w:r>
              <w:rPr>
                <w:rFonts w:ascii="Meiryo UI" w:hAnsi="Meiryo UI"/>
                <w:sz w:val="18"/>
              </w:rPr>
              <w:t>5.498%</w:t>
            </w:r>
          </w:p>
        </w:tc>
        <w:tc>
          <w:tcPr>
            <w:tcW w:type="dxa" w:w="1568"/>
            <w:shd w:val="clear" w:color="auto" w:fill="DDEBF7"/>
          </w:tcPr>
          <w:p>
            <w:r>
              <w:rPr>
                <w:rFonts w:ascii="Meiryo UI" w:hAnsi="Meiryo UI"/>
                <w:sz w:val="18"/>
              </w:rPr>
              <w:t>4.898%</w:t>
            </w:r>
          </w:p>
        </w:tc>
        <w:tc>
          <w:tcPr>
            <w:tcW w:type="dxa" w:w="1568"/>
            <w:shd w:val="clear" w:color="auto" w:fill="DDEBF7"/>
          </w:tcPr>
          <w:p>
            <w:r>
              <w:rPr>
                <w:rFonts w:ascii="Meiryo UI" w:hAnsi="Meiryo UI"/>
                <w:sz w:val="18"/>
              </w:rPr>
              <w:t>¥7,820</w:t>
            </w:r>
          </w:p>
        </w:tc>
        <w:tc>
          <w:tcPr>
            <w:tcW w:type="dxa" w:w="1568"/>
            <w:shd w:val="clear" w:color="auto" w:fill="DDEBF7"/>
          </w:tcPr>
          <w:p>
            <w:r>
              <w:rPr>
                <w:rFonts w:ascii="Meiryo UI" w:hAnsi="Meiryo UI"/>
                <w:sz w:val="18"/>
              </w:rPr>
              <w:t>+35.1%</w:t>
            </w:r>
          </w:p>
        </w:tc>
      </w:tr>
      <w:tr>
        <w:tc>
          <w:tcPr>
            <w:tcW w:type="dxa" w:w="1568"/>
          </w:tcPr>
          <w:p>
            <w:r>
              <w:rPr>
                <w:rFonts w:ascii="Meiryo UI" w:hAnsi="Meiryo UI"/>
                <w:sz w:val="18"/>
              </w:rPr>
              <w:t>基本（現状）</w:t>
            </w:r>
          </w:p>
        </w:tc>
        <w:tc>
          <w:tcPr>
            <w:tcW w:type="dxa" w:w="1568"/>
          </w:tcPr>
          <w:p>
            <w:r>
              <w:rPr>
                <w:rFonts w:ascii="Meiryo UI" w:hAnsi="Meiryo UI"/>
                <w:sz w:val="18"/>
              </w:rPr>
              <w:t>2.423%</w:t>
            </w:r>
          </w:p>
        </w:tc>
        <w:tc>
          <w:tcPr>
            <w:tcW w:type="dxa" w:w="1568"/>
          </w:tcPr>
          <w:p>
            <w:r>
              <w:rPr>
                <w:rFonts w:ascii="Meiryo UI" w:hAnsi="Meiryo UI"/>
                <w:sz w:val="18"/>
              </w:rPr>
              <w:t>5.998%</w:t>
            </w:r>
          </w:p>
        </w:tc>
        <w:tc>
          <w:tcPr>
            <w:tcW w:type="dxa" w:w="1568"/>
          </w:tcPr>
          <w:p>
            <w:r>
              <w:rPr>
                <w:rFonts w:ascii="Meiryo UI" w:hAnsi="Meiryo UI"/>
                <w:sz w:val="18"/>
              </w:rPr>
              <w:t>5.226%</w:t>
            </w:r>
          </w:p>
        </w:tc>
        <w:tc>
          <w:tcPr>
            <w:tcW w:type="dxa" w:w="1568"/>
          </w:tcPr>
          <w:p>
            <w:r>
              <w:rPr>
                <w:rFonts w:ascii="Meiryo UI" w:hAnsi="Meiryo UI"/>
                <w:sz w:val="18"/>
              </w:rPr>
              <w:t>¥7,075</w:t>
            </w:r>
          </w:p>
        </w:tc>
        <w:tc>
          <w:tcPr>
            <w:tcW w:type="dxa" w:w="1568"/>
          </w:tcPr>
          <w:p>
            <w:r>
              <w:rPr>
                <w:rFonts w:ascii="Meiryo UI" w:hAnsi="Meiryo UI"/>
                <w:sz w:val="18"/>
              </w:rPr>
              <w:t>+22.2%</w:t>
            </w:r>
          </w:p>
        </w:tc>
      </w:tr>
      <w:tr>
        <w:tc>
          <w:tcPr>
            <w:tcW w:type="dxa" w:w="1568"/>
            <w:shd w:val="clear" w:color="auto" w:fill="DDEBF7"/>
          </w:tcPr>
          <w:p>
            <w:r>
              <w:rPr>
                <w:rFonts w:ascii="Meiryo UI" w:hAnsi="Meiryo UI"/>
                <w:sz w:val="18"/>
              </w:rPr>
              <w:t>小幅上昇</w:t>
            </w:r>
          </w:p>
        </w:tc>
        <w:tc>
          <w:tcPr>
            <w:tcW w:type="dxa" w:w="1568"/>
            <w:shd w:val="clear" w:color="auto" w:fill="DDEBF7"/>
          </w:tcPr>
          <w:p>
            <w:r>
              <w:rPr>
                <w:rFonts w:ascii="Meiryo UI" w:hAnsi="Meiryo UI"/>
                <w:sz w:val="18"/>
              </w:rPr>
              <w:t>2.923%</w:t>
            </w:r>
          </w:p>
        </w:tc>
        <w:tc>
          <w:tcPr>
            <w:tcW w:type="dxa" w:w="1568"/>
            <w:shd w:val="clear" w:color="auto" w:fill="DDEBF7"/>
          </w:tcPr>
          <w:p>
            <w:r>
              <w:rPr>
                <w:rFonts w:ascii="Meiryo UI" w:hAnsi="Meiryo UI"/>
                <w:sz w:val="18"/>
              </w:rPr>
              <w:t>6.498%</w:t>
            </w:r>
          </w:p>
        </w:tc>
        <w:tc>
          <w:tcPr>
            <w:tcW w:type="dxa" w:w="1568"/>
            <w:shd w:val="clear" w:color="auto" w:fill="DDEBF7"/>
          </w:tcPr>
          <w:p>
            <w:r>
              <w:rPr>
                <w:rFonts w:ascii="Meiryo UI" w:hAnsi="Meiryo UI"/>
                <w:sz w:val="18"/>
              </w:rPr>
              <w:t>5.598%</w:t>
            </w:r>
          </w:p>
        </w:tc>
        <w:tc>
          <w:tcPr>
            <w:tcW w:type="dxa" w:w="1568"/>
            <w:shd w:val="clear" w:color="auto" w:fill="DDEBF7"/>
          </w:tcPr>
          <w:p>
            <w:r>
              <w:rPr>
                <w:rFonts w:ascii="Meiryo UI" w:hAnsi="Meiryo UI"/>
                <w:sz w:val="18"/>
              </w:rPr>
              <w:t>¥6,450</w:t>
            </w:r>
          </w:p>
        </w:tc>
        <w:tc>
          <w:tcPr>
            <w:tcW w:type="dxa" w:w="1568"/>
            <w:shd w:val="clear" w:color="auto" w:fill="DDEBF7"/>
          </w:tcPr>
          <w:p>
            <w:r>
              <w:rPr>
                <w:rFonts w:ascii="Meiryo UI" w:hAnsi="Meiryo UI"/>
                <w:sz w:val="18"/>
              </w:rPr>
              <w:t>+11.4%</w:t>
            </w:r>
          </w:p>
        </w:tc>
      </w:tr>
      <w:tr>
        <w:tc>
          <w:tcPr>
            <w:tcW w:type="dxa" w:w="1568"/>
          </w:tcPr>
          <w:p>
            <w:r>
              <w:rPr>
                <w:rFonts w:ascii="Meiryo UI" w:hAnsi="Meiryo UI"/>
                <w:sz w:val="18"/>
              </w:rPr>
              <w:t>大幅上昇</w:t>
            </w:r>
          </w:p>
        </w:tc>
        <w:tc>
          <w:tcPr>
            <w:tcW w:type="dxa" w:w="1568"/>
          </w:tcPr>
          <w:p>
            <w:r>
              <w:rPr>
                <w:rFonts w:ascii="Meiryo UI" w:hAnsi="Meiryo UI"/>
                <w:sz w:val="18"/>
              </w:rPr>
              <w:t>3.423%</w:t>
            </w:r>
          </w:p>
        </w:tc>
        <w:tc>
          <w:tcPr>
            <w:tcW w:type="dxa" w:w="1568"/>
          </w:tcPr>
          <w:p>
            <w:r>
              <w:rPr>
                <w:rFonts w:ascii="Meiryo UI" w:hAnsi="Meiryo UI"/>
                <w:sz w:val="18"/>
              </w:rPr>
              <w:t>6.998%</w:t>
            </w:r>
          </w:p>
        </w:tc>
        <w:tc>
          <w:tcPr>
            <w:tcW w:type="dxa" w:w="1568"/>
          </w:tcPr>
          <w:p>
            <w:r>
              <w:rPr>
                <w:rFonts w:ascii="Meiryo UI" w:hAnsi="Meiryo UI"/>
                <w:sz w:val="18"/>
              </w:rPr>
              <w:t>6.073%</w:t>
            </w:r>
          </w:p>
        </w:tc>
        <w:tc>
          <w:tcPr>
            <w:tcW w:type="dxa" w:w="1568"/>
          </w:tcPr>
          <w:p>
            <w:r>
              <w:rPr>
                <w:rFonts w:ascii="Meiryo UI" w:hAnsi="Meiryo UI"/>
                <w:sz w:val="18"/>
              </w:rPr>
              <w:t>¥5,820</w:t>
            </w:r>
          </w:p>
        </w:tc>
        <w:tc>
          <w:tcPr>
            <w:tcW w:type="dxa" w:w="1568"/>
          </w:tcPr>
          <w:p>
            <w:r>
              <w:rPr>
                <w:rFonts w:ascii="Meiryo UI" w:hAnsi="Meiryo UI"/>
                <w:sz w:val="18"/>
              </w:rPr>
              <w:t>+0.5%</w:t>
            </w:r>
          </w:p>
        </w:tc>
      </w:tr>
      <w:tr>
        <w:tc>
          <w:tcPr>
            <w:tcW w:type="dxa" w:w="1568"/>
            <w:shd w:val="clear" w:color="auto" w:fill="DDEBF7"/>
          </w:tcPr>
          <w:p>
            <w:r>
              <w:rPr>
                <w:rFonts w:ascii="Meiryo UI" w:hAnsi="Meiryo UI"/>
                <w:sz w:val="18"/>
              </w:rPr>
              <w:t>最大上昇</w:t>
            </w:r>
          </w:p>
        </w:tc>
        <w:tc>
          <w:tcPr>
            <w:tcW w:type="dxa" w:w="1568"/>
            <w:shd w:val="clear" w:color="auto" w:fill="DDEBF7"/>
          </w:tcPr>
          <w:p>
            <w:r>
              <w:rPr>
                <w:rFonts w:ascii="Meiryo UI" w:hAnsi="Meiryo UI"/>
                <w:sz w:val="18"/>
              </w:rPr>
              <w:t>4.423%</w:t>
            </w:r>
          </w:p>
        </w:tc>
        <w:tc>
          <w:tcPr>
            <w:tcW w:type="dxa" w:w="1568"/>
            <w:shd w:val="clear" w:color="auto" w:fill="DDEBF7"/>
          </w:tcPr>
          <w:p>
            <w:r>
              <w:rPr>
                <w:rFonts w:ascii="Meiryo UI" w:hAnsi="Meiryo UI"/>
                <w:sz w:val="18"/>
              </w:rPr>
              <w:t>7.998%</w:t>
            </w:r>
          </w:p>
        </w:tc>
        <w:tc>
          <w:tcPr>
            <w:tcW w:type="dxa" w:w="1568"/>
            <w:shd w:val="clear" w:color="auto" w:fill="DDEBF7"/>
          </w:tcPr>
          <w:p>
            <w:r>
              <w:rPr>
                <w:rFonts w:ascii="Meiryo UI" w:hAnsi="Meiryo UI"/>
                <w:sz w:val="18"/>
              </w:rPr>
              <w:t>7.048%</w:t>
            </w:r>
          </w:p>
        </w:tc>
        <w:tc>
          <w:tcPr>
            <w:tcW w:type="dxa" w:w="1568"/>
            <w:shd w:val="clear" w:color="auto" w:fill="DDEBF7"/>
          </w:tcPr>
          <w:p>
            <w:r>
              <w:rPr>
                <w:rFonts w:ascii="Meiryo UI" w:hAnsi="Meiryo UI"/>
                <w:sz w:val="18"/>
              </w:rPr>
              <w:t>¥4,700</w:t>
            </w:r>
          </w:p>
        </w:tc>
        <w:tc>
          <w:tcPr>
            <w:tcW w:type="dxa" w:w="1568"/>
            <w:shd w:val="clear" w:color="auto" w:fill="DDEBF7"/>
          </w:tcPr>
          <w:p>
            <w:r>
              <w:rPr>
                <w:rFonts w:ascii="Meiryo UI" w:hAnsi="Meiryo UI"/>
                <w:sz w:val="18"/>
              </w:rPr>
              <w:t>▲18.8%</w:t>
            </w:r>
          </w:p>
        </w:tc>
      </w:tr>
    </w:tbl>
    <w:p/>
    <w:p>
      <w:pPr>
        <w:pStyle w:val="Heading3"/>
      </w:pPr>
      <w:r>
        <w:rPr>
          <w:rFonts w:ascii="Meiryo UI" w:hAnsi="Meiryo UI"/>
          <w:color w:val="2E74B5"/>
        </w:rPr>
        <w:t>9-2. 感応度テーブル（WACC × g のマトリクス）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WACC \ g</w:t>
            </w:r>
          </w:p>
        </w:tc>
        <w:tc>
          <w:tcPr>
            <w:tcW w:type="dxa" w:w="1881"/>
            <w:shd w:val="clear" w:color="auto" w:fill="2E74B5"/>
          </w:tcPr>
          <w:p>
            <w:r>
              <w:rPr>
                <w:rFonts w:ascii="Meiryo UI" w:hAnsi="Meiryo UI"/>
                <w:b/>
                <w:color w:val="FFFFFF"/>
                <w:sz w:val="18"/>
              </w:rPr>
              <w:t>g=0.0%</w:t>
            </w:r>
          </w:p>
        </w:tc>
        <w:tc>
          <w:tcPr>
            <w:tcW w:type="dxa" w:w="1881"/>
            <w:shd w:val="clear" w:color="auto" w:fill="2E74B5"/>
          </w:tcPr>
          <w:p>
            <w:r>
              <w:rPr>
                <w:rFonts w:ascii="Meiryo UI" w:hAnsi="Meiryo UI"/>
                <w:b/>
                <w:color w:val="FFFFFF"/>
                <w:sz w:val="18"/>
              </w:rPr>
              <w:t>g=0.5%</w:t>
            </w:r>
          </w:p>
        </w:tc>
        <w:tc>
          <w:tcPr>
            <w:tcW w:type="dxa" w:w="1881"/>
            <w:shd w:val="clear" w:color="auto" w:fill="2E74B5"/>
          </w:tcPr>
          <w:p>
            <w:r>
              <w:rPr>
                <w:rFonts w:ascii="Meiryo UI" w:hAnsi="Meiryo UI"/>
                <w:b/>
                <w:color w:val="FFFFFF"/>
                <w:sz w:val="18"/>
              </w:rPr>
              <w:t>g=1.0%</w:t>
            </w:r>
          </w:p>
        </w:tc>
        <w:tc>
          <w:tcPr>
            <w:tcW w:type="dxa" w:w="1881"/>
            <w:shd w:val="clear" w:color="auto" w:fill="2E74B5"/>
          </w:tcPr>
          <w:p>
            <w:r>
              <w:rPr>
                <w:rFonts w:ascii="Meiryo UI" w:hAnsi="Meiryo UI"/>
                <w:b/>
                <w:color w:val="FFFFFF"/>
                <w:sz w:val="18"/>
              </w:rPr>
              <w:t>g=1.5%</w:t>
            </w:r>
          </w:p>
        </w:tc>
      </w:tr>
      <w:tr>
        <w:tc>
          <w:tcPr>
            <w:tcW w:type="dxa" w:w="1881"/>
          </w:tcPr>
          <w:p>
            <w:r>
              <w:rPr>
                <w:rFonts w:ascii="Meiryo UI" w:hAnsi="Meiryo UI"/>
                <w:sz w:val="18"/>
              </w:rPr>
              <w:t>WACC=4.5%</w:t>
            </w:r>
          </w:p>
        </w:tc>
        <w:tc>
          <w:tcPr>
            <w:tcW w:type="dxa" w:w="1881"/>
          </w:tcPr>
          <w:p>
            <w:r>
              <w:rPr>
                <w:rFonts w:ascii="Meiryo UI" w:hAnsi="Meiryo UI"/>
                <w:sz w:val="18"/>
              </w:rPr>
              <w:t>¥7,900</w:t>
            </w:r>
          </w:p>
        </w:tc>
        <w:tc>
          <w:tcPr>
            <w:tcW w:type="dxa" w:w="1881"/>
          </w:tcPr>
          <w:p>
            <w:r>
              <w:rPr>
                <w:rFonts w:ascii="Meiryo UI" w:hAnsi="Meiryo UI"/>
                <w:sz w:val="18"/>
              </w:rPr>
              <w:t>¥8,400</w:t>
            </w:r>
          </w:p>
        </w:tc>
        <w:tc>
          <w:tcPr>
            <w:tcW w:type="dxa" w:w="1881"/>
          </w:tcPr>
          <w:p>
            <w:r>
              <w:rPr>
                <w:rFonts w:ascii="Meiryo UI" w:hAnsi="Meiryo UI"/>
                <w:sz w:val="18"/>
              </w:rPr>
              <w:t>¥9,100</w:t>
            </w:r>
          </w:p>
        </w:tc>
        <w:tc>
          <w:tcPr>
            <w:tcW w:type="dxa" w:w="1881"/>
          </w:tcPr>
          <w:p>
            <w:r>
              <w:rPr>
                <w:rFonts w:ascii="Meiryo UI" w:hAnsi="Meiryo UI"/>
                <w:sz w:val="18"/>
              </w:rPr>
              <w:t>¥10,000</w:t>
            </w:r>
          </w:p>
        </w:tc>
      </w:tr>
      <w:tr>
        <w:tc>
          <w:tcPr>
            <w:tcW w:type="dxa" w:w="1881"/>
            <w:shd w:val="clear" w:color="auto" w:fill="DDEBF7"/>
          </w:tcPr>
          <w:p>
            <w:r>
              <w:rPr>
                <w:rFonts w:ascii="Meiryo UI" w:hAnsi="Meiryo UI"/>
                <w:sz w:val="18"/>
              </w:rPr>
              <w:t>WACC=5.0%</w:t>
            </w:r>
          </w:p>
        </w:tc>
        <w:tc>
          <w:tcPr>
            <w:tcW w:type="dxa" w:w="1881"/>
            <w:shd w:val="clear" w:color="auto" w:fill="DDEBF7"/>
          </w:tcPr>
          <w:p>
            <w:r>
              <w:rPr>
                <w:rFonts w:ascii="Meiryo UI" w:hAnsi="Meiryo UI"/>
                <w:sz w:val="18"/>
              </w:rPr>
              <w:t>¥7,100</w:t>
            </w:r>
          </w:p>
        </w:tc>
        <w:tc>
          <w:tcPr>
            <w:tcW w:type="dxa" w:w="1881"/>
            <w:shd w:val="clear" w:color="auto" w:fill="DDEBF7"/>
          </w:tcPr>
          <w:p>
            <w:r>
              <w:rPr>
                <w:rFonts w:ascii="Meiryo UI" w:hAnsi="Meiryo UI"/>
                <w:sz w:val="18"/>
              </w:rPr>
              <w:t>¥7,500</w:t>
            </w:r>
          </w:p>
        </w:tc>
        <w:tc>
          <w:tcPr>
            <w:tcW w:type="dxa" w:w="1881"/>
            <w:shd w:val="clear" w:color="auto" w:fill="DDEBF7"/>
          </w:tcPr>
          <w:p>
            <w:r>
              <w:rPr>
                <w:rFonts w:ascii="Meiryo UI" w:hAnsi="Meiryo UI"/>
                <w:sz w:val="18"/>
              </w:rPr>
              <w:t>¥8,000</w:t>
            </w:r>
          </w:p>
        </w:tc>
        <w:tc>
          <w:tcPr>
            <w:tcW w:type="dxa" w:w="1881"/>
            <w:shd w:val="clear" w:color="auto" w:fill="DDEBF7"/>
          </w:tcPr>
          <w:p>
            <w:r>
              <w:rPr>
                <w:rFonts w:ascii="Meiryo UI" w:hAnsi="Meiryo UI"/>
                <w:sz w:val="18"/>
              </w:rPr>
              <w:t>¥8,700</w:t>
            </w:r>
          </w:p>
        </w:tc>
      </w:tr>
      <w:tr>
        <w:tc>
          <w:tcPr>
            <w:tcW w:type="dxa" w:w="1881"/>
          </w:tcPr>
          <w:p>
            <w:r>
              <w:rPr>
                <w:rFonts w:ascii="Meiryo UI" w:hAnsi="Meiryo UI"/>
                <w:sz w:val="18"/>
              </w:rPr>
              <w:t>WACC=5.23%（基本）</w:t>
            </w:r>
          </w:p>
        </w:tc>
        <w:tc>
          <w:tcPr>
            <w:tcW w:type="dxa" w:w="1881"/>
          </w:tcPr>
          <w:p>
            <w:r>
              <w:rPr>
                <w:rFonts w:ascii="Meiryo UI" w:hAnsi="Meiryo UI"/>
                <w:sz w:val="18"/>
              </w:rPr>
              <w:t>¥6,700</w:t>
            </w:r>
          </w:p>
        </w:tc>
        <w:tc>
          <w:tcPr>
            <w:tcW w:type="dxa" w:w="1881"/>
          </w:tcPr>
          <w:p>
            <w:r>
              <w:rPr>
                <w:rFonts w:ascii="Meiryo UI" w:hAnsi="Meiryo UI"/>
                <w:sz w:val="18"/>
              </w:rPr>
              <w:t>¥7,075</w:t>
            </w:r>
          </w:p>
        </w:tc>
        <w:tc>
          <w:tcPr>
            <w:tcW w:type="dxa" w:w="1881"/>
          </w:tcPr>
          <w:p>
            <w:r>
              <w:rPr>
                <w:rFonts w:ascii="Meiryo UI" w:hAnsi="Meiryo UI"/>
                <w:sz w:val="18"/>
              </w:rPr>
              <w:t>¥7,600</w:t>
            </w:r>
          </w:p>
        </w:tc>
        <w:tc>
          <w:tcPr>
            <w:tcW w:type="dxa" w:w="1881"/>
          </w:tcPr>
          <w:p>
            <w:r>
              <w:rPr>
                <w:rFonts w:ascii="Meiryo UI" w:hAnsi="Meiryo UI"/>
                <w:sz w:val="18"/>
              </w:rPr>
              <w:t>¥8,200</w:t>
            </w:r>
          </w:p>
        </w:tc>
      </w:tr>
      <w:tr>
        <w:tc>
          <w:tcPr>
            <w:tcW w:type="dxa" w:w="1881"/>
            <w:shd w:val="clear" w:color="auto" w:fill="DDEBF7"/>
          </w:tcPr>
          <w:p>
            <w:r>
              <w:rPr>
                <w:rFonts w:ascii="Meiryo UI" w:hAnsi="Meiryo UI"/>
                <w:sz w:val="18"/>
              </w:rPr>
              <w:t>WACC=5.5%</w:t>
            </w:r>
          </w:p>
        </w:tc>
        <w:tc>
          <w:tcPr>
            <w:tcW w:type="dxa" w:w="1881"/>
            <w:shd w:val="clear" w:color="auto" w:fill="DDEBF7"/>
          </w:tcPr>
          <w:p>
            <w:r>
              <w:rPr>
                <w:rFonts w:ascii="Meiryo UI" w:hAnsi="Meiryo UI"/>
                <w:sz w:val="18"/>
              </w:rPr>
              <w:t>¥6,200</w:t>
            </w:r>
          </w:p>
        </w:tc>
        <w:tc>
          <w:tcPr>
            <w:tcW w:type="dxa" w:w="1881"/>
            <w:shd w:val="clear" w:color="auto" w:fill="DDEBF7"/>
          </w:tcPr>
          <w:p>
            <w:r>
              <w:rPr>
                <w:rFonts w:ascii="Meiryo UI" w:hAnsi="Meiryo UI"/>
                <w:sz w:val="18"/>
              </w:rPr>
              <w:t>¥6,500</w:t>
            </w:r>
          </w:p>
        </w:tc>
        <w:tc>
          <w:tcPr>
            <w:tcW w:type="dxa" w:w="1881"/>
            <w:shd w:val="clear" w:color="auto" w:fill="DDEBF7"/>
          </w:tcPr>
          <w:p>
            <w:r>
              <w:rPr>
                <w:rFonts w:ascii="Meiryo UI" w:hAnsi="Meiryo UI"/>
                <w:sz w:val="18"/>
              </w:rPr>
              <w:t>¥7,000</w:t>
            </w:r>
          </w:p>
        </w:tc>
        <w:tc>
          <w:tcPr>
            <w:tcW w:type="dxa" w:w="1881"/>
            <w:shd w:val="clear" w:color="auto" w:fill="DDEBF7"/>
          </w:tcPr>
          <w:p>
            <w:r>
              <w:rPr>
                <w:rFonts w:ascii="Meiryo UI" w:hAnsi="Meiryo UI"/>
                <w:sz w:val="18"/>
              </w:rPr>
              <w:t>¥7,600</w:t>
            </w:r>
          </w:p>
        </w:tc>
      </w:tr>
      <w:tr>
        <w:tc>
          <w:tcPr>
            <w:tcW w:type="dxa" w:w="1881"/>
          </w:tcPr>
          <w:p>
            <w:r>
              <w:rPr>
                <w:rFonts w:ascii="Meiryo UI" w:hAnsi="Meiryo UI"/>
                <w:sz w:val="18"/>
              </w:rPr>
              <w:t>WACC=6.0%</w:t>
            </w:r>
          </w:p>
        </w:tc>
        <w:tc>
          <w:tcPr>
            <w:tcW w:type="dxa" w:w="1881"/>
          </w:tcPr>
          <w:p>
            <w:r>
              <w:rPr>
                <w:rFonts w:ascii="Meiryo UI" w:hAnsi="Meiryo UI"/>
                <w:sz w:val="18"/>
              </w:rPr>
              <w:t>¥5,500</w:t>
            </w:r>
          </w:p>
        </w:tc>
        <w:tc>
          <w:tcPr>
            <w:tcW w:type="dxa" w:w="1881"/>
          </w:tcPr>
          <w:p>
            <w:r>
              <w:rPr>
                <w:rFonts w:ascii="Meiryo UI" w:hAnsi="Meiryo UI"/>
                <w:sz w:val="18"/>
              </w:rPr>
              <w:t>¥5,820</w:t>
            </w:r>
          </w:p>
        </w:tc>
        <w:tc>
          <w:tcPr>
            <w:tcW w:type="dxa" w:w="1881"/>
          </w:tcPr>
          <w:p>
            <w:r>
              <w:rPr>
                <w:rFonts w:ascii="Meiryo UI" w:hAnsi="Meiryo UI"/>
                <w:sz w:val="18"/>
              </w:rPr>
              <w:t>¥6,200</w:t>
            </w:r>
          </w:p>
        </w:tc>
        <w:tc>
          <w:tcPr>
            <w:tcW w:type="dxa" w:w="1881"/>
          </w:tcPr>
          <w:p>
            <w:r>
              <w:rPr>
                <w:rFonts w:ascii="Meiryo UI" w:hAnsi="Meiryo UI"/>
                <w:sz w:val="18"/>
              </w:rPr>
              <w:t>¥6,700</w:t>
            </w:r>
          </w:p>
        </w:tc>
      </w:tr>
      <w:tr>
        <w:tc>
          <w:tcPr>
            <w:tcW w:type="dxa" w:w="1881"/>
            <w:shd w:val="clear" w:color="auto" w:fill="DDEBF7"/>
          </w:tcPr>
          <w:p>
            <w:r>
              <w:rPr>
                <w:rFonts w:ascii="Meiryo UI" w:hAnsi="Meiryo UI"/>
                <w:sz w:val="18"/>
              </w:rPr>
              <w:t>WACC=7.0%</w:t>
            </w:r>
          </w:p>
        </w:tc>
        <w:tc>
          <w:tcPr>
            <w:tcW w:type="dxa" w:w="1881"/>
            <w:shd w:val="clear" w:color="auto" w:fill="DDEBF7"/>
          </w:tcPr>
          <w:p>
            <w:r>
              <w:rPr>
                <w:rFonts w:ascii="Meiryo UI" w:hAnsi="Meiryo UI"/>
                <w:sz w:val="18"/>
              </w:rPr>
              <w:t>¥4,400</w:t>
            </w:r>
          </w:p>
        </w:tc>
        <w:tc>
          <w:tcPr>
            <w:tcW w:type="dxa" w:w="1881"/>
            <w:shd w:val="clear" w:color="auto" w:fill="DDEBF7"/>
          </w:tcPr>
          <w:p>
            <w:r>
              <w:rPr>
                <w:rFonts w:ascii="Meiryo UI" w:hAnsi="Meiryo UI"/>
                <w:sz w:val="18"/>
              </w:rPr>
              <w:t>¥4,700</w:t>
            </w:r>
          </w:p>
        </w:tc>
        <w:tc>
          <w:tcPr>
            <w:tcW w:type="dxa" w:w="1881"/>
            <w:shd w:val="clear" w:color="auto" w:fill="DDEBF7"/>
          </w:tcPr>
          <w:p>
            <w:r>
              <w:rPr>
                <w:rFonts w:ascii="Meiryo UI" w:hAnsi="Meiryo UI"/>
                <w:sz w:val="18"/>
              </w:rPr>
              <w:t>¥4,950</w:t>
            </w:r>
          </w:p>
        </w:tc>
        <w:tc>
          <w:tcPr>
            <w:tcW w:type="dxa" w:w="1881"/>
            <w:shd w:val="clear" w:color="auto" w:fill="DDEBF7"/>
          </w:tcPr>
          <w:p>
            <w:r>
              <w:rPr>
                <w:rFonts w:ascii="Meiryo UI" w:hAnsi="Meiryo UI"/>
                <w:sz w:val="18"/>
              </w:rPr>
              <w:t>¥5,300</w:t>
            </w:r>
          </w:p>
        </w:tc>
      </w:tr>
    </w:tbl>
    <w:p/>
    <w:p>
      <w:r>
        <w:rPr>
          <w:rFonts w:ascii="Meiryo UI" w:hAnsi="Meiryo UI"/>
          <w:sz w:val="20"/>
        </w:rPr>
        <w:t>&gt; ⚠️ 上表は NAV（不動産含み益中央値¥200億）を加算した試算値。NAVを除いたDCF単体では全値から約¥1,000〜¥1,200低下。</w:t>
      </w:r>
    </w:p>
    <w:p/>
    <w:p>
      <w:pPr>
        <w:pStyle w:val="Heading3"/>
      </w:pPr>
      <w:r>
        <w:rPr>
          <w:rFonts w:ascii="Meiryo UI" w:hAnsi="Meiryo UI"/>
          <w:color w:val="2E74B5"/>
        </w:rPr>
        <w:t>9-3. 感応度の解釈</w:t>
      </w:r>
    </w:p>
    <w:p/>
    <w:p>
      <w:pPr>
        <w:pStyle w:val="ListBullet"/>
      </w:pPr>
      <w:r>
        <w:rPr>
          <w:rFonts w:ascii="Meiryo UI" w:hAnsi="Meiryo UI"/>
          <w:sz w:val="20"/>
        </w:rPr>
        <w:t>金利感応度は中程度：WACCが±0.5%変動しても理論株価への影響は±¥600〜¥900程度（±10〜12%）。</w:t>
      </w:r>
    </w:p>
    <w:p>
      <w:pPr>
        <w:pStyle w:val="ListBullet"/>
      </w:pPr>
      <w:r>
        <w:rPr>
          <w:rFonts w:ascii="Meiryo UI" w:hAnsi="Meiryo UI"/>
          <w:sz w:val="20"/>
        </w:rPr>
        <w:t>最大リスクシナリオ（Rf=4.423%）：理論株価¥4,700→現在値¥5,790を下回る。JGB10年が4.4%超に急騰した場合（現実的には想定しにくいが）、バリュエーションが崩壊するレベル。</w:t>
      </w:r>
    </w:p>
    <w:p>
      <w:pPr>
        <w:pStyle w:val="ListBullet"/>
      </w:pPr>
      <w:r>
        <w:rPr>
          <w:rFonts w:ascii="Meiryo UI" w:hAnsi="Meiryo UI"/>
          <w:sz w:val="20"/>
        </w:rPr>
        <w:t>NAVの安定性：DCFと異なり不動産NAVは金利変動への感応度が相対的に小さく（東京地価の硬直性）、ダウンサイドの緩衝材として機能。</w:t>
      </w:r>
    </w:p>
    <w:p/>
    <w:p>
      <w:r>
        <w:t>──────────────────────────────────────────────────</w:t>
      </w:r>
    </w:p>
    <w:p/>
    <w:p>
      <w:pPr>
        <w:pStyle w:val="Heading2"/>
      </w:pPr>
      <w:r>
        <w:rPr>
          <w:rFonts w:ascii="Meiryo UI" w:hAnsi="Meiryo UI"/>
          <w:color w:val="2E74B5"/>
        </w:rPr>
        <w:t>付録：前提条件一覧（変数の透明性確保）</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変数</w:t>
            </w:r>
          </w:p>
        </w:tc>
        <w:tc>
          <w:tcPr>
            <w:tcW w:type="dxa" w:w="3135"/>
            <w:shd w:val="clear" w:color="auto" w:fill="2E74B5"/>
          </w:tcPr>
          <w:p>
            <w:r>
              <w:rPr>
                <w:rFonts w:ascii="Meiryo UI" w:hAnsi="Meiryo UI"/>
                <w:b/>
                <w:color w:val="FFFFFF"/>
                <w:sz w:val="18"/>
              </w:rPr>
              <w:t>使用値</w:t>
            </w:r>
          </w:p>
        </w:tc>
        <w:tc>
          <w:tcPr>
            <w:tcW w:type="dxa" w:w="3135"/>
            <w:shd w:val="clear" w:color="auto" w:fill="2E74B5"/>
          </w:tcPr>
          <w:p>
            <w:r>
              <w:rPr>
                <w:rFonts w:ascii="Meiryo UI" w:hAnsi="Meiryo UI"/>
                <w:b/>
                <w:color w:val="FFFFFF"/>
                <w:sz w:val="18"/>
              </w:rPr>
              <w:t>出所・根拠</w:t>
            </w:r>
          </w:p>
        </w:tc>
      </w:tr>
      <w:tr>
        <w:tc>
          <w:tcPr>
            <w:tcW w:type="dxa" w:w="3135"/>
          </w:tcPr>
          <w:p>
            <w:r>
              <w:rPr>
                <w:rFonts w:ascii="Meiryo UI" w:hAnsi="Meiryo UI"/>
                <w:sz w:val="18"/>
              </w:rPr>
              <w:t>現在株価</w:t>
            </w:r>
          </w:p>
        </w:tc>
        <w:tc>
          <w:tcPr>
            <w:tcW w:type="dxa" w:w="3135"/>
          </w:tcPr>
          <w:p>
            <w:r>
              <w:rPr>
                <w:rFonts w:ascii="Meiryo UI" w:hAnsi="Meiryo UI"/>
                <w:sz w:val="18"/>
              </w:rPr>
              <w:t>¥5,790</w:t>
            </w:r>
          </w:p>
        </w:tc>
        <w:tc>
          <w:tcPr>
            <w:tcW w:type="dxa" w:w="3135"/>
          </w:tcPr>
          <w:p>
            <w:r>
              <w:rPr>
                <w:rFonts w:ascii="Meiryo UI" w:hAnsi="Meiryo UI"/>
                <w:sz w:val="18"/>
              </w:rPr>
              <w:t>Yahoo Finance 9672.T 2026-04-15 09:43 JST（確定値）</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1.59倍</w:t>
            </w:r>
          </w:p>
        </w:tc>
        <w:tc>
          <w:tcPr>
            <w:tcW w:type="dxa" w:w="3135"/>
            <w:shd w:val="clear" w:color="auto" w:fill="DDEBF7"/>
          </w:tcPr>
          <w:p>
            <w:r>
              <w:rPr>
                <w:rFonts w:ascii="Meiryo UI" w:hAnsi="Meiryo UI"/>
                <w:sz w:val="18"/>
              </w:rPr>
              <w:t>Yahoo Finance リアルタイム（確定値・上書き禁止）</w:t>
            </w:r>
          </w:p>
        </w:tc>
      </w:tr>
      <w:tr>
        <w:tc>
          <w:tcPr>
            <w:tcW w:type="dxa" w:w="3135"/>
          </w:tcPr>
          <w:p>
            <w:r>
              <w:rPr>
                <w:rFonts w:ascii="Meiryo UI" w:hAnsi="Meiryo UI"/>
                <w:sz w:val="18"/>
              </w:rPr>
              <w:t>BPS</w:t>
            </w:r>
          </w:p>
        </w:tc>
        <w:tc>
          <w:tcPr>
            <w:tcW w:type="dxa" w:w="3135"/>
          </w:tcPr>
          <w:p>
            <w:r>
              <w:rPr>
                <w:rFonts w:ascii="Meiryo UI" w:hAnsi="Meiryo UI"/>
                <w:sz w:val="18"/>
              </w:rPr>
              <w:t>¥3,639</w:t>
            </w:r>
          </w:p>
        </w:tc>
        <w:tc>
          <w:tcPr>
            <w:tcW w:type="dxa" w:w="3135"/>
          </w:tcPr>
          <w:p>
            <w:r>
              <w:rPr>
                <w:rFonts w:ascii="Meiryo UI" w:hAnsi="Meiryo UI"/>
                <w:sz w:val="18"/>
              </w:rPr>
              <w:t>Yahoo Finance リアルタイム（確定値・上書き禁止）</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11.3%</w:t>
            </w:r>
          </w:p>
        </w:tc>
        <w:tc>
          <w:tcPr>
            <w:tcW w:type="dxa" w:w="3135"/>
            <w:shd w:val="clear" w:color="auto" w:fill="DDEBF7"/>
          </w:tcPr>
          <w:p>
            <w:r>
              <w:rPr>
                <w:rFonts w:ascii="Meiryo UI" w:hAnsi="Meiryo UI"/>
                <w:sz w:val="18"/>
              </w:rPr>
              <w:t>Yahoo Finance リアルタイム（確定値・上書き禁止）</w:t>
            </w:r>
          </w:p>
        </w:tc>
      </w:tr>
      <w:tr>
        <w:tc>
          <w:tcPr>
            <w:tcW w:type="dxa" w:w="3135"/>
          </w:tcPr>
          <w:p>
            <w:r>
              <w:rPr>
                <w:rFonts w:ascii="Meiryo UI" w:hAnsi="Meiryo UI"/>
                <w:sz w:val="18"/>
              </w:rPr>
              <w:t>PER</w:t>
            </w:r>
          </w:p>
        </w:tc>
        <w:tc>
          <w:tcPr>
            <w:tcW w:type="dxa" w:w="3135"/>
          </w:tcPr>
          <w:p>
            <w:r>
              <w:rPr>
                <w:rFonts w:ascii="Meiryo UI" w:hAnsi="Meiryo UI"/>
                <w:sz w:val="18"/>
              </w:rPr>
              <w:t>14.8倍</w:t>
            </w:r>
          </w:p>
        </w:tc>
        <w:tc>
          <w:tcPr>
            <w:tcW w:type="dxa" w:w="3135"/>
          </w:tcPr>
          <w:p>
            <w:r>
              <w:rPr>
                <w:rFonts w:ascii="Meiryo UI" w:hAnsi="Meiryo UI"/>
                <w:sz w:val="18"/>
              </w:rPr>
              <w:t>Yahoo Finance 確定値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¥392</w:t>
            </w:r>
          </w:p>
        </w:tc>
        <w:tc>
          <w:tcPr>
            <w:tcW w:type="dxa" w:w="3135"/>
            <w:shd w:val="clear" w:color="auto" w:fill="DDEBF7"/>
          </w:tcPr>
          <w:p>
            <w:r>
              <w:rPr>
                <w:rFonts w:ascii="Meiryo UI" w:hAnsi="Meiryo UI"/>
                <w:sz w:val="18"/>
              </w:rPr>
              <w:t>Yahoo Finance 確定値</w:t>
            </w:r>
          </w:p>
        </w:tc>
      </w:tr>
      <w:tr>
        <w:tc>
          <w:tcPr>
            <w:tcW w:type="dxa" w:w="3135"/>
          </w:tcPr>
          <w:p>
            <w:r>
              <w:rPr>
                <w:rFonts w:ascii="Meiryo UI" w:hAnsi="Meiryo UI"/>
                <w:sz w:val="18"/>
              </w:rPr>
              <w:t>Rf</w:t>
            </w:r>
          </w:p>
        </w:tc>
        <w:tc>
          <w:tcPr>
            <w:tcW w:type="dxa" w:w="3135"/>
          </w:tcPr>
          <w:p>
            <w:r>
              <w:rPr>
                <w:rFonts w:ascii="Meiryo UI" w:hAnsi="Meiryo UI"/>
                <w:sz w:val="18"/>
              </w:rPr>
              <w:t>2.423%</w:t>
            </w:r>
          </w:p>
        </w:tc>
        <w:tc>
          <w:tcPr>
            <w:tcW w:type="dxa" w:w="3135"/>
          </w:tcPr>
          <w:p>
            <w:r>
              <w:rPr>
                <w:rFonts w:ascii="Meiryo UI" w:hAnsi="Meiryo UI"/>
                <w:sz w:val="18"/>
              </w:rPr>
              <w:t>JGB10年（財務省 R8.4.14）</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 2025年日本推計</w:t>
            </w:r>
          </w:p>
        </w:tc>
      </w:tr>
      <w:tr>
        <w:tc>
          <w:tcPr>
            <w:tcW w:type="dxa" w:w="3135"/>
          </w:tcPr>
          <w:p>
            <w:r>
              <w:rPr>
                <w:rFonts w:ascii="Meiryo UI" w:hAnsi="Meiryo UI"/>
                <w:sz w:val="18"/>
              </w:rPr>
              <w:t>β</w:t>
            </w:r>
          </w:p>
        </w:tc>
        <w:tc>
          <w:tcPr>
            <w:tcW w:type="dxa" w:w="3135"/>
          </w:tcPr>
          <w:p>
            <w:r>
              <w:rPr>
                <w:rFonts w:ascii="Meiryo UI" w:hAnsi="Meiryo UI"/>
                <w:sz w:val="18"/>
              </w:rPr>
              <w:t>0.65</w:t>
            </w:r>
          </w:p>
        </w:tc>
        <w:tc>
          <w:tcPr>
            <w:tcW w:type="dxa" w:w="3135"/>
          </w:tcPr>
          <w:p>
            <w:r>
              <w:rPr>
                <w:rFonts w:ascii="Meiryo UI" w:hAnsi="Meiryo UI"/>
                <w:sz w:val="18"/>
              </w:rPr>
              <w:t>東証スタンダード小型・複合業態（推計）</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5.23%</w:t>
            </w:r>
          </w:p>
        </w:tc>
        <w:tc>
          <w:tcPr>
            <w:tcW w:type="dxa" w:w="3135"/>
            <w:shd w:val="clear" w:color="auto" w:fill="DDEBF7"/>
          </w:tcPr>
          <w:p>
            <w:r>
              <w:rPr>
                <w:rFonts w:ascii="Meiryo UI" w:hAnsi="Meiryo UI"/>
                <w:sz w:val="18"/>
              </w:rPr>
              <w:t>上記パラメータより算出</w:t>
            </w:r>
          </w:p>
        </w:tc>
      </w:tr>
      <w:tr>
        <w:tc>
          <w:tcPr>
            <w:tcW w:type="dxa" w:w="3135"/>
          </w:tcPr>
          <w:p>
            <w:r>
              <w:rPr>
                <w:rFonts w:ascii="Meiryo UI" w:hAnsi="Meiryo UI"/>
                <w:sz w:val="18"/>
              </w:rPr>
              <w:t>g（永続成長率）</w:t>
            </w:r>
          </w:p>
        </w:tc>
        <w:tc>
          <w:tcPr>
            <w:tcW w:type="dxa" w:w="3135"/>
          </w:tcPr>
          <w:p>
            <w:r>
              <w:rPr>
                <w:rFonts w:ascii="Meiryo UI" w:hAnsi="Meiryo UI"/>
                <w:sz w:val="18"/>
              </w:rPr>
              <w:t>0.5%</w:t>
            </w:r>
          </w:p>
        </w:tc>
        <w:tc>
          <w:tcPr>
            <w:tcW w:type="dxa" w:w="3135"/>
          </w:tcPr>
          <w:p>
            <w:r>
              <w:rPr>
                <w:rFonts w:ascii="Meiryo UI" w:hAnsi="Meiryo UI"/>
                <w:sz w:val="18"/>
              </w:rPr>
              <w:t>競馬人口逓減・保守的設定</w:t>
            </w:r>
          </w:p>
        </w:tc>
      </w:tr>
      <w:tr>
        <w:tc>
          <w:tcPr>
            <w:tcW w:type="dxa" w:w="3135"/>
            <w:shd w:val="clear" w:color="auto" w:fill="DDEBF7"/>
          </w:tcPr>
          <w:p>
            <w:r>
              <w:rPr>
                <w:rFonts w:ascii="Meiryo UI" w:hAnsi="Meiryo UI"/>
                <w:sz w:val="18"/>
              </w:rPr>
              <w:t>WTI原油</w:t>
            </w:r>
          </w:p>
        </w:tc>
        <w:tc>
          <w:tcPr>
            <w:tcW w:type="dxa" w:w="3135"/>
            <w:shd w:val="clear" w:color="auto" w:fill="DDEBF7"/>
          </w:tcPr>
          <w:p>
            <w:r>
              <w:rPr>
                <w:rFonts w:ascii="Meiryo UI" w:hAnsi="Meiryo UI"/>
                <w:sz w:val="18"/>
              </w:rPr>
              <w:t>90.33 USD/bbl</w:t>
            </w:r>
          </w:p>
        </w:tc>
        <w:tc>
          <w:tcPr>
            <w:tcW w:type="dxa" w:w="3135"/>
            <w:shd w:val="clear" w:color="auto" w:fill="DDEBF7"/>
          </w:tcPr>
          <w:p>
            <w:r>
              <w:rPr>
                <w:rFonts w:ascii="Meiryo UI" w:hAnsi="Meiryo UI"/>
                <w:sz w:val="18"/>
              </w:rPr>
              <w:t>Yahoo Finance CL=F 2026-04-15（競馬・レジャー事業への直接影響は限定的）</w:t>
            </w:r>
          </w:p>
        </w:tc>
      </w:tr>
      <w:tr>
        <w:tc>
          <w:tcPr>
            <w:tcW w:type="dxa" w:w="3135"/>
          </w:tcPr>
          <w:p>
            <w:r>
              <w:rPr>
                <w:rFonts w:ascii="Meiryo UI" w:hAnsi="Meiryo UI"/>
                <w:sz w:val="18"/>
              </w:rPr>
              <w:t>金（GOLD）</w:t>
            </w:r>
          </w:p>
        </w:tc>
        <w:tc>
          <w:tcPr>
            <w:tcW w:type="dxa" w:w="3135"/>
          </w:tcPr>
          <w:p>
            <w:r>
              <w:rPr>
                <w:rFonts w:ascii="Meiryo UI" w:hAnsi="Meiryo UI"/>
                <w:sz w:val="18"/>
              </w:rPr>
              <w:t>4,853.50 USD/oz</w:t>
            </w:r>
          </w:p>
        </w:tc>
        <w:tc>
          <w:tcPr>
            <w:tcW w:type="dxa" w:w="3135"/>
          </w:tcPr>
          <w:p>
            <w:r>
              <w:rPr>
                <w:rFonts w:ascii="Meiryo UI" w:hAnsi="Meiryo UI"/>
                <w:sz w:val="18"/>
              </w:rPr>
              <w:t>Yahoo Finance GC=F 2026-04-15（直接影響なし）</w:t>
            </w:r>
          </w:p>
        </w:tc>
      </w:tr>
    </w:tbl>
    <w:p/>
    <w:p>
      <w:r>
        <w:t>──────────────────────────────────────────────────</w:t>
      </w:r>
    </w:p>
    <w:p/>
    <w:p>
      <w:pPr>
        <w:pStyle w:val="Heading2"/>
      </w:pPr>
      <w:r>
        <w:rPr>
          <w:rFonts w:ascii="Meiryo UI" w:hAnsi="Meiryo UI"/>
          <w:color w:val="2E74B5"/>
        </w:rPr>
        <w:t>最終結論</w:t>
      </w:r>
    </w:p>
    <w:p/>
    <w:p>
      <w:r>
        <w:rPr>
          <w:rFonts w:ascii="Meiryo UI" w:hAnsi="Meiryo UI"/>
          <w:sz w:val="20"/>
        </w:rPr>
        <w:t>東京都競馬（9672）は「典型的な放置バリュー株」。</w:t>
      </w:r>
    </w:p>
    <w:p/>
    <w:p>
      <w:r>
        <w:rPr>
          <w:rFonts w:ascii="Meiryo UI" w:hAnsi="Meiryo UI"/>
          <w:sz w:val="20"/>
        </w:rPr>
        <w:t>純粋なDCF分析では現在値との乖離は限定的だが、東京近郊不動産の含み益（NAV）を加味すると理論株価は¥6,800〜¥8,400と現在値を大幅に上回る。ROE11.3%・低レバレッジ・独占ライセンスという「負けにくい」事業構造を持ちながら、市場のカバレッジ薄・流動性不足・東京都大株主という「変化が起きにくい」構造が株価上昇を阻んできた。</w:t>
      </w:r>
    </w:p>
    <w:p/>
    <w:p>
      <w:r>
        <w:rPr>
          <w:rFonts w:ascii="Meiryo UI" w:hAnsi="Meiryo UI"/>
          <w:sz w:val="20"/>
        </w:rPr>
        <w:t>しかし、東証のPBR是正圧力は2026年も継続しており、5月決算での資本政策発表（増配・自社株買い）が最初のカタリスト。「動かない経営陣を動かすのが東証」という構図が今後1〜2年で顕在化するとみる。</w:t>
      </w:r>
    </w:p>
    <w:p/>
    <w:p>
      <w:r>
        <w:rPr>
          <w:rFonts w:ascii="Meiryo UI" w:hAnsi="Meiryo UI"/>
          <w:sz w:val="20"/>
        </w:rPr>
        <w:t>レーティング：【買い】/ 目標株価：¥7,200（12ヶ月）/ 損切りライン：¥4,900</w:t>
      </w:r>
    </w:p>
    <w:p/>
    <w:p>
      <w:r>
        <w:t>──────────────────────────────────────────────────</w:t>
      </w:r>
    </w:p>
    <w:p/>
    <w:p>
      <w:r>
        <w:rPr>
          <w:rFonts w:ascii="Meiryo UI" w:hAnsi="Meiryo UI"/>
          <w:sz w:val="20"/>
        </w:rPr>
        <w:t>本レポートは竹村トレードカンパニー内部資料です。投資判断は最終的にご自身の責任でお願いします。財務指標は2026年4月15日時点のYahoo Financeリアルタイムデータを使用。不動産含み益等の推計値は公開情報ベースの推計であり、確定値は有価証券報告書および決算短信でご確認ください。</w:t>
      </w:r>
    </w:p>
    <w:p/>
    <w:p>
      <w:r>
        <w:rPr>
          <w:rFonts w:ascii="Meiryo UI" w:hAnsi="Meiryo UI"/>
          <w:sz w:val="20"/>
        </w:rPr>
        <w:t>— 深井（竹村トレードカンパニー アナリスト）</w:t>
      </w:r>
    </w:p>
    <w:p>
      <w:r>
        <w:rPr>
          <w:rFonts w:ascii="Meiryo UI" w:hAnsi="Meiryo UI"/>
          <w:sz w:val="20"/>
        </w:rPr>
        <w:t>2026年4月15日 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2026-04-15 09:43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9672_東京都競馬_BUY_DeepResearch_20260415.md を出力しました。</w:t>
      </w:r>
    </w:p>
    <w:p>
      <w:r>
        <w:rPr>
          <w:rFonts w:ascii="Meiryo UI" w:hAnsi="Meiryo UI"/>
          <w:sz w:val="20"/>
        </w:rPr>
        <w:t>浅井スコア +0 の銘柄 [9672]東京都競馬 についてDeepResearch完了。</w:t>
      </w:r>
    </w:p>
    <w:p>
      <w:r>
        <w:rPr>
          <w:rFonts w:ascii="Meiryo UI" w:hAnsi="Meiryo UI"/>
          <w:sz w:val="20"/>
        </w:rPr>
        <w:t>使用Rf: 2.423%（取得: 2026-04-15 09:43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