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[9755] 応用地質</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[9755] 応用地質</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応用地質（9755.T） DeepResearch レポート</w:t>
      </w:r>
    </w:p>
    <w:p>
      <w:r>
        <w:rPr>
          <w:rFonts w:ascii="Meiryo UI" w:hAnsi="Meiryo UI"/>
          <w:sz w:val="20"/>
        </w:rPr>
        <w:t>竹村トレードカンパニー / アナリスト: 深井</w:t>
      </w:r>
    </w:p>
    <w:p>
      <w:r>
        <w:rPr>
          <w:rFonts w:ascii="Meiryo UI" w:hAnsi="Meiryo UI"/>
          <w:sz w:val="20"/>
        </w:rPr>
        <w:t>分析日: 2026-04-07 | 現在株価: ¥2,900 | 判断: 買い（BUY）</w:t>
      </w:r>
    </w:p>
    <w:p/>
    <w:p>
      <w:r>
        <w:t>──────────────────────────────────────────────────</w:t>
      </w:r>
    </w:p>
    <w:p/>
    <w:p>
      <w:r>
        <w:rPr>
          <w:rFonts w:ascii="Meiryo UI" w:hAnsi="Meiryo UI"/>
          <w:sz w:val="20"/>
        </w:rPr>
        <w:t>&gt; ⚠️ データソース明記</w:t>
      </w:r>
    </w:p>
    <w:p>
      <w:r>
        <w:rPr>
          <w:rFonts w:ascii="Meiryo UI" w:hAnsi="Meiryo UI"/>
          <w:sz w:val="20"/>
        </w:rPr>
        <w:t>&gt; 現在株価¥2,900・PBR 0.85倍・BPS ¥3,419・ROE 5.4%・PER 15.3倍・EPS ¥189は、2026-04-07 04:36 JST取得のリアルタイム値を使用。学習データによる上書き禁止ルールを厳守。Rf=2.386%（財務省日次 R8.4.3 JGB10Y）を使用。</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【社長指示最優先】水道法改正・老朽インフラ需要の業績波及分析</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応用地質株式会社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9755（東証プライム）</w:t>
            </w:r>
          </w:p>
        </w:tc>
      </w:tr>
      <w:tr>
        <w:tc>
          <w:tcPr>
            <w:tcW w:type="dxa" w:w="4703"/>
          </w:tcPr>
          <w:p>
            <w:r>
              <w:rPr>
                <w:rFonts w:ascii="Meiryo UI" w:hAnsi="Meiryo UI"/>
                <w:sz w:val="18"/>
              </w:rPr>
              <w:t>設立</w:t>
            </w:r>
          </w:p>
        </w:tc>
        <w:tc>
          <w:tcPr>
            <w:tcW w:type="dxa" w:w="4703"/>
          </w:tcPr>
          <w:p>
            <w:r>
              <w:rPr>
                <w:rFonts w:ascii="Meiryo UI" w:hAnsi="Meiryo UI"/>
                <w:sz w:val="18"/>
              </w:rPr>
              <w:t>1958年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東京都千代田区</w:t>
            </w:r>
          </w:p>
        </w:tc>
      </w:tr>
      <w:tr>
        <w:tc>
          <w:tcPr>
            <w:tcW w:type="dxa" w:w="4703"/>
          </w:tcPr>
          <w:p>
            <w:r>
              <w:rPr>
                <w:rFonts w:ascii="Meiryo UI" w:hAnsi="Meiryo UI"/>
                <w:sz w:val="18"/>
              </w:rPr>
              <w:t>従業員数</w:t>
            </w:r>
          </w:p>
        </w:tc>
        <w:tc>
          <w:tcPr>
            <w:tcW w:type="dxa" w:w="4703"/>
          </w:tcPr>
          <w:p>
            <w:r>
              <w:rPr>
                <w:rFonts w:ascii="Meiryo UI" w:hAnsi="Meiryo UI"/>
                <w:sz w:val="18"/>
              </w:rPr>
              <w:t>連結約3,000名（推計）</w:t>
            </w:r>
          </w:p>
        </w:tc>
      </w:tr>
      <w:tr>
        <w:tc>
          <w:tcPr>
            <w:tcW w:type="dxa" w:w="4703"/>
            <w:shd w:val="clear" w:color="auto" w:fill="DDEBF7"/>
          </w:tcPr>
          <w:p>
            <w:r>
              <w:rPr>
                <w:rFonts w:ascii="Meiryo UI" w:hAnsi="Meiryo UI"/>
                <w:sz w:val="18"/>
              </w:rPr>
              <w:t>主要株主</w:t>
            </w:r>
          </w:p>
        </w:tc>
        <w:tc>
          <w:tcPr>
            <w:tcW w:type="dxa" w:w="4703"/>
            <w:shd w:val="clear" w:color="auto" w:fill="DDEBF7"/>
          </w:tcPr>
          <w:p>
            <w:r>
              <w:rPr>
                <w:rFonts w:ascii="Meiryo UI" w:hAnsi="Meiryo UI"/>
                <w:sz w:val="18"/>
              </w:rPr>
              <w:t>太平洋セメント・機関投資家</w:t>
            </w:r>
          </w:p>
        </w:tc>
      </w:tr>
      <w:tr>
        <w:tc>
          <w:tcPr>
            <w:tcW w:type="dxa" w:w="4703"/>
          </w:tcPr>
          <w:p>
            <w:r>
              <w:rPr>
                <w:rFonts w:ascii="Meiryo UI" w:hAnsi="Meiryo UI"/>
                <w:sz w:val="18"/>
              </w:rPr>
              <w:t>事業ドメイン</w:t>
            </w:r>
          </w:p>
        </w:tc>
        <w:tc>
          <w:tcPr>
            <w:tcW w:type="dxa" w:w="4703"/>
          </w:tcPr>
          <w:p>
            <w:r>
              <w:rPr>
                <w:rFonts w:ascii="Meiryo UI" w:hAnsi="Meiryo UI"/>
                <w:sz w:val="18"/>
              </w:rPr>
              <w:t>地質・地盤・環境・防災・インフラコンサルティング</w:t>
            </w:r>
          </w:p>
        </w:tc>
      </w:tr>
    </w:tbl>
    <w:p/>
    <w:p>
      <w:r>
        <w:rPr>
          <w:rFonts w:ascii="Meiryo UI" w:hAnsi="Meiryo UI"/>
          <w:sz w:val="20"/>
        </w:rPr>
        <w:t>応用地質は1958年創業の国内最大級の地質・地盤コンサルタント。地質調査・地盤解析・環境コンサルティングをコアに、近年は老朽インフラ診断・地下水解析・防災DXへ事業軸を拡張。官公庁（国交省・農水省・環境省・自治体）を主要顧客とし、受注の70%超が公共セクター由来という準公共インフラ企業としての性格を持つ。</w:t>
      </w:r>
    </w:p>
    <w:p/>
    <w:p>
      <w:r>
        <w:t>──────────────────────────────────────────────────</w:t>
      </w:r>
    </w:p>
    <w:p/>
    <w:p>
      <w:pPr>
        <w:pStyle w:val="Heading3"/>
      </w:pPr>
      <w:r>
        <w:rPr>
          <w:rFonts w:ascii="Meiryo UI" w:hAnsi="Meiryo UI"/>
          <w:color w:val="2E74B5"/>
        </w:rPr>
        <w:t>1-2. セグメント構成（推計ベース / 公開情報）</w:t>
      </w:r>
    </w:p>
    <w:p/>
    <w:p>
      <w:pPr>
        <w:shd w:val="clear" w:color="auto" w:fill="F2F2F2"/>
      </w:pPr>
      <w:r>
        <w:rPr>
          <w:rFonts w:ascii="Courier New" w:hAnsi="Courier New"/>
          <w:sz w:val="16"/>
        </w:rPr>
        <w:t>売上構成（概算）</w:t>
        <w:br/>
        <w:t>─────────────────────────────────────────</w:t>
        <w:br/>
        <w:t>インフラ・防災部門      ≈ 45%  地盤調査、斜面崩壊・地すべり対策</w:t>
        <w:br/>
        <w:t>環境・水循環部門        ≈ 25%  地下水調査、水道施設診断、土壌汚染調査</w:t>
        <w:br/>
        <w:t>国際・資源部門          ≈ 15%  海外地質調査、資源探査（ODA連動）</w:t>
        <w:br/>
        <w:t>DX・新技術部門          ≈ 10%  リモートセンシング、ICT活用調査</w:t>
        <w:br/>
        <w:t>その他                  ≈  5%</w:t>
        <w:br/>
        <w:t>─────────────────────────────────────────</w:t>
      </w:r>
    </w:p>
    <w:p/>
    <w:p>
      <w:r>
        <w:rPr>
          <w:rFonts w:ascii="Meiryo UI" w:hAnsi="Meiryo UI"/>
          <w:sz w:val="20"/>
        </w:rPr>
        <w:t>水道・環境部門の売上比率は直近25%前後と推計されるが、水道法改正関連需要の本格化により30〜35%への拡大余地がある（詳細は第2章）。</w:t>
      </w:r>
    </w:p>
    <w:p/>
    <w:p>
      <w:r>
        <w:t>──────────────────────────────────────────────────</w:t>
      </w:r>
    </w:p>
    <w:p/>
    <w:p>
      <w:pPr>
        <w:pStyle w:val="Heading3"/>
      </w:pPr>
      <w:r>
        <w:rPr>
          <w:rFonts w:ascii="Meiryo UI" w:hAnsi="Meiryo UI"/>
          <w:color w:val="2E74B5"/>
        </w:rPr>
        <w:t>1-3. 競合優位性（Competitive Moat）</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技術的参入障壁</w:t>
            </w:r>
          </w:p>
        </w:tc>
        <w:tc>
          <w:tcPr>
            <w:tcW w:type="dxa" w:w="4703"/>
          </w:tcPr>
          <w:p>
            <w:r>
              <w:rPr>
                <w:rFonts w:ascii="Meiryo UI" w:hAnsi="Meiryo UI"/>
                <w:sz w:val="18"/>
              </w:rPr>
              <w:t>地質・地盤の専門技術者資格保有者数は業界最多水準。地質調査技士・技術士の多数保有が競合への直接参入障壁</w:t>
            </w:r>
          </w:p>
        </w:tc>
      </w:tr>
      <w:tr>
        <w:tc>
          <w:tcPr>
            <w:tcW w:type="dxa" w:w="4703"/>
            <w:shd w:val="clear" w:color="auto" w:fill="DDEBF7"/>
          </w:tcPr>
          <w:p>
            <w:r>
              <w:rPr>
                <w:rFonts w:ascii="Meiryo UI" w:hAnsi="Meiryo UI"/>
                <w:sz w:val="18"/>
              </w:rPr>
              <w:t>データ資産</w:t>
            </w:r>
          </w:p>
        </w:tc>
        <w:tc>
          <w:tcPr>
            <w:tcW w:type="dxa" w:w="4703"/>
            <w:shd w:val="clear" w:color="auto" w:fill="DDEBF7"/>
          </w:tcPr>
          <w:p>
            <w:r>
              <w:rPr>
                <w:rFonts w:ascii="Meiryo UI" w:hAnsi="Meiryo UI"/>
                <w:sz w:val="18"/>
              </w:rPr>
              <w:t>60年以上の地質ボーリングデータ・地下水観測データを独自DBとして保有。競合がゼロから構築不能な非対称アセット</w:t>
            </w:r>
          </w:p>
        </w:tc>
      </w:tr>
      <w:tr>
        <w:tc>
          <w:tcPr>
            <w:tcW w:type="dxa" w:w="4703"/>
          </w:tcPr>
          <w:p>
            <w:r>
              <w:rPr>
                <w:rFonts w:ascii="Meiryo UI" w:hAnsi="Meiryo UI"/>
                <w:sz w:val="18"/>
              </w:rPr>
              <w:t>官公庁関係</w:t>
            </w:r>
          </w:p>
        </w:tc>
        <w:tc>
          <w:tcPr>
            <w:tcW w:type="dxa" w:w="4703"/>
          </w:tcPr>
          <w:p>
            <w:r>
              <w:rPr>
                <w:rFonts w:ascii="Meiryo UI" w:hAnsi="Meiryo UI"/>
                <w:sz w:val="18"/>
              </w:rPr>
              <w:t>国交省・農水省・環境省との長期取引関係。入札時の実績評価加点が継続案件を生む構造</w:t>
            </w:r>
          </w:p>
        </w:tc>
      </w:tr>
      <w:tr>
        <w:tc>
          <w:tcPr>
            <w:tcW w:type="dxa" w:w="4703"/>
            <w:shd w:val="clear" w:color="auto" w:fill="DDEBF7"/>
          </w:tcPr>
          <w:p>
            <w:r>
              <w:rPr>
                <w:rFonts w:ascii="Meiryo UI" w:hAnsi="Meiryo UI"/>
                <w:sz w:val="18"/>
              </w:rPr>
              <w:t>水道専門技術</w:t>
            </w:r>
          </w:p>
        </w:tc>
        <w:tc>
          <w:tcPr>
            <w:tcW w:type="dxa" w:w="4703"/>
            <w:shd w:val="clear" w:color="auto" w:fill="DDEBF7"/>
          </w:tcPr>
          <w:p>
            <w:r>
              <w:rPr>
                <w:rFonts w:ascii="Meiryo UI" w:hAnsi="Meiryo UI"/>
                <w:sz w:val="18"/>
              </w:rPr>
              <w:t>管路劣化診断・漏水探知・水質分析の統合技術。4657環境管理センターとの差別化軸は「地下構造解析」の深度</w:t>
            </w:r>
          </w:p>
        </w:tc>
      </w:tr>
      <w:tr>
        <w:tc>
          <w:tcPr>
            <w:tcW w:type="dxa" w:w="4703"/>
          </w:tcPr>
          <w:p>
            <w:r>
              <w:rPr>
                <w:rFonts w:ascii="Meiryo UI" w:hAnsi="Meiryo UI"/>
                <w:sz w:val="18"/>
              </w:rPr>
              <w:t>海外ODAパイプライン</w:t>
            </w:r>
          </w:p>
        </w:tc>
        <w:tc>
          <w:tcPr>
            <w:tcW w:type="dxa" w:w="4703"/>
          </w:tcPr>
          <w:p>
            <w:r>
              <w:rPr>
                <w:rFonts w:ascii="Meiryo UI" w:hAnsi="Meiryo UI"/>
                <w:sz w:val="18"/>
              </w:rPr>
              <w:t>JICA・世界銀行案件での実績。円安環境での海外収益は為替恩恵も享受</w:t>
            </w:r>
          </w:p>
        </w:tc>
      </w:tr>
    </w:tbl>
    <w:p/>
    <w:p>
      <w:r>
        <w:t>──────────────────────────────────────────────────</w:t>
      </w:r>
    </w:p>
    <w:p/>
    <w:p>
      <w:pPr>
        <w:pStyle w:val="Heading3"/>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業績インパクト</w:t>
            </w:r>
          </w:p>
        </w:tc>
      </w:tr>
      <w:tr>
        <w:tc>
          <w:tcPr>
            <w:tcW w:type="dxa" w:w="3135"/>
          </w:tcPr>
          <w:p>
            <w:r>
              <w:rPr>
                <w:rFonts w:ascii="Meiryo UI" w:hAnsi="Meiryo UI"/>
                <w:sz w:val="18"/>
              </w:rPr>
              <w:t>改正水道法（広域化義務化）施行後の自治体調査発注急増</w:t>
            </w:r>
          </w:p>
        </w:tc>
        <w:tc>
          <w:tcPr>
            <w:tcW w:type="dxa" w:w="3135"/>
          </w:tcPr>
          <w:p>
            <w:r>
              <w:rPr>
                <w:rFonts w:ascii="Meiryo UI" w:hAnsi="Meiryo UI"/>
                <w:sz w:val="18"/>
              </w:rPr>
              <w:t>2025年〜継続</w:t>
            </w:r>
          </w:p>
        </w:tc>
        <w:tc>
          <w:tcPr>
            <w:tcW w:type="dxa" w:w="3135"/>
          </w:tcPr>
          <w:p>
            <w:r>
              <w:rPr>
                <w:rFonts w:ascii="Meiryo UI" w:hAnsi="Meiryo UI"/>
                <w:sz w:val="18"/>
              </w:rPr>
              <w:t>◎ 中〜大</w:t>
            </w:r>
          </w:p>
        </w:tc>
      </w:tr>
      <w:tr>
        <w:tc>
          <w:tcPr>
            <w:tcW w:type="dxa" w:w="3135"/>
            <w:shd w:val="clear" w:color="auto" w:fill="DDEBF7"/>
          </w:tcPr>
          <w:p>
            <w:r>
              <w:rPr>
                <w:rFonts w:ascii="Meiryo UI" w:hAnsi="Meiryo UI"/>
                <w:sz w:val="18"/>
              </w:rPr>
              <w:t>能登半島地震・南海トラフ対策予算増額</w:t>
            </w:r>
          </w:p>
        </w:tc>
        <w:tc>
          <w:tcPr>
            <w:tcW w:type="dxa" w:w="3135"/>
            <w:shd w:val="clear" w:color="auto" w:fill="DDEBF7"/>
          </w:tcPr>
          <w:p>
            <w:r>
              <w:rPr>
                <w:rFonts w:ascii="Meiryo UI" w:hAnsi="Meiryo UI"/>
                <w:sz w:val="18"/>
              </w:rPr>
              <w:t>2025〜2026</w:t>
            </w:r>
          </w:p>
        </w:tc>
        <w:tc>
          <w:tcPr>
            <w:tcW w:type="dxa" w:w="3135"/>
            <w:shd w:val="clear" w:color="auto" w:fill="DDEBF7"/>
          </w:tcPr>
          <w:p>
            <w:r>
              <w:rPr>
                <w:rFonts w:ascii="Meiryo UI" w:hAnsi="Meiryo UI"/>
                <w:sz w:val="18"/>
              </w:rPr>
              <w:t>○ 中</w:t>
            </w:r>
          </w:p>
        </w:tc>
      </w:tr>
      <w:tr>
        <w:tc>
          <w:tcPr>
            <w:tcW w:type="dxa" w:w="3135"/>
          </w:tcPr>
          <w:p>
            <w:r>
              <w:rPr>
                <w:rFonts w:ascii="Meiryo UI" w:hAnsi="Meiryo UI"/>
                <w:sz w:val="18"/>
              </w:rPr>
              <w:t>老朽橋梁・トンネル5年点検義務の本格化</w:t>
            </w:r>
          </w:p>
        </w:tc>
        <w:tc>
          <w:tcPr>
            <w:tcW w:type="dxa" w:w="3135"/>
          </w:tcPr>
          <w:p>
            <w:r>
              <w:rPr>
                <w:rFonts w:ascii="Meiryo UI" w:hAnsi="Meiryo UI"/>
                <w:sz w:val="18"/>
              </w:rPr>
              <w:t>2025〜2027</w:t>
            </w:r>
          </w:p>
        </w:tc>
        <w:tc>
          <w:tcPr>
            <w:tcW w:type="dxa" w:w="3135"/>
          </w:tcPr>
          <w:p>
            <w:r>
              <w:rPr>
                <w:rFonts w:ascii="Meiryo UI" w:hAnsi="Meiryo UI"/>
                <w:sz w:val="18"/>
              </w:rPr>
              <w:t>○ 中</w:t>
            </w:r>
          </w:p>
        </w:tc>
      </w:tr>
      <w:tr>
        <w:tc>
          <w:tcPr>
            <w:tcW w:type="dxa" w:w="3135"/>
            <w:shd w:val="clear" w:color="auto" w:fill="DDEBF7"/>
          </w:tcPr>
          <w:p>
            <w:r>
              <w:rPr>
                <w:rFonts w:ascii="Meiryo UI" w:hAnsi="Meiryo UI"/>
                <w:sz w:val="18"/>
              </w:rPr>
              <w:t>防衛省・自衛隊施設地盤調査増加（防衛費倍増）</w:t>
            </w:r>
          </w:p>
        </w:tc>
        <w:tc>
          <w:tcPr>
            <w:tcW w:type="dxa" w:w="3135"/>
            <w:shd w:val="clear" w:color="auto" w:fill="DDEBF7"/>
          </w:tcPr>
          <w:p>
            <w:r>
              <w:rPr>
                <w:rFonts w:ascii="Meiryo UI" w:hAnsi="Meiryo UI"/>
                <w:sz w:val="18"/>
              </w:rPr>
              <w:t>2026〜</w:t>
            </w:r>
          </w:p>
        </w:tc>
        <w:tc>
          <w:tcPr>
            <w:tcW w:type="dxa" w:w="3135"/>
            <w:shd w:val="clear" w:color="auto" w:fill="DDEBF7"/>
          </w:tcPr>
          <w:p>
            <w:r>
              <w:rPr>
                <w:rFonts w:ascii="Meiryo UI" w:hAnsi="Meiryo UI"/>
                <w:sz w:val="18"/>
              </w:rPr>
              <w:t>△ 小〜中</w:t>
            </w:r>
          </w:p>
        </w:tc>
      </w:tr>
      <w:tr>
        <w:tc>
          <w:tcPr>
            <w:tcW w:type="dxa" w:w="3135"/>
          </w:tcPr>
          <w:p>
            <w:r>
              <w:rPr>
                <w:rFonts w:ascii="Meiryo UI" w:hAnsi="Meiryo UI"/>
                <w:sz w:val="18"/>
              </w:rPr>
              <w:t>グリーン水素・CCS関連地下探査</w:t>
            </w:r>
          </w:p>
        </w:tc>
        <w:tc>
          <w:tcPr>
            <w:tcW w:type="dxa" w:w="3135"/>
          </w:tcPr>
          <w:p>
            <w:r>
              <w:rPr>
                <w:rFonts w:ascii="Meiryo UI" w:hAnsi="Meiryo UI"/>
                <w:sz w:val="18"/>
              </w:rPr>
              <w:t>2027〜</w:t>
            </w:r>
          </w:p>
        </w:tc>
        <w:tc>
          <w:tcPr>
            <w:tcW w:type="dxa" w:w="3135"/>
          </w:tcPr>
          <w:p>
            <w:r>
              <w:rPr>
                <w:rFonts w:ascii="Meiryo UI" w:hAnsi="Meiryo UI"/>
                <w:sz w:val="18"/>
              </w:rPr>
              <w:t>△ 小（将来）</w:t>
            </w:r>
          </w:p>
        </w:tc>
      </w:tr>
    </w:tbl>
    <w:p/>
    <w:p>
      <w:r>
        <w:t>──────────────────────────────────────────────────</w:t>
      </w:r>
    </w:p>
    <w:p/>
    <w:p>
      <w:pPr>
        <w:pStyle w:val="Heading2"/>
      </w:pPr>
      <w:r>
        <w:rPr>
          <w:rFonts w:ascii="Meiryo UI" w:hAnsi="Meiryo UI"/>
          <w:color w:val="2E74B5"/>
        </w:rPr>
        <w:t>2. 【社長指示最優先】水道法改正・老朽インフラ需要の業績波及分析</w:t>
      </w:r>
    </w:p>
    <w:p/>
    <w:p>
      <w:r>
        <w:rPr>
          <w:rFonts w:ascii="Meiryo UI" w:hAnsi="Meiryo UI"/>
          <w:sz w:val="20"/>
        </w:rPr>
        <w:t>&gt; 社長指示: 「水道法改正関連。4657環境管理センターと同軸で検証せよ。老朽インフラ調査・地下水脈解析・管路診断の需要増がどこまで業績に波及するか。」</w:t>
      </w:r>
    </w:p>
    <w:p/>
    <w:p>
      <w:r>
        <w:t>──────────────────────────────────────────────────</w:t>
      </w:r>
    </w:p>
    <w:p/>
    <w:p>
      <w:pPr>
        <w:pStyle w:val="Heading3"/>
      </w:pPr>
      <w:r>
        <w:rPr>
          <w:rFonts w:ascii="Meiryo UI" w:hAnsi="Meiryo UI"/>
          <w:color w:val="2E74B5"/>
        </w:rPr>
        <w:t>2-1. 水道法改正の概要と応用地質への直撃度</w:t>
      </w:r>
    </w:p>
    <w:p/>
    <w:p>
      <w:r>
        <w:rPr>
          <w:rFonts w:ascii="Meiryo UI" w:hAnsi="Meiryo UI"/>
          <w:sz w:val="20"/>
        </w:rPr>
        <w:t>【改正の骨子】</w:t>
      </w:r>
    </w:p>
    <w:p/>
    <w:p>
      <w:r>
        <w:rPr>
          <w:rFonts w:ascii="Meiryo UI" w:hAnsi="Meiryo UI"/>
          <w:sz w:val="20"/>
        </w:rPr>
        <w:t>2018年改正水道法（施行: 2019年〜段階的）および2024〜2025年の広域化・官民連携推進強化により、全国約1,400の水道事業者（主に市町村）に対して以下が実質義務化された：</w:t>
      </w:r>
    </w:p>
    <w:p/>
    <w:p>
      <w:pPr>
        <w:shd w:val="clear" w:color="auto" w:fill="F2F2F2"/>
      </w:pPr>
      <w:r>
        <w:rPr>
          <w:rFonts w:ascii="Courier New" w:hAnsi="Courier New"/>
          <w:sz w:val="16"/>
        </w:rPr>
        <w:t>① 水道施設の計画的な老朽化更新（管路更新率の数値目標設定）</w:t>
        <w:br/>
        <w:t>② 広域化・統合に向けた施設実態調査（広域連携調査）</w:t>
        <w:br/>
        <w:t>③ コンセッション方式導入前の施設診断（PFI/PPP前提調査）</w:t>
        <w:br/>
        <w:t>④ 危機管理計画の見直し（震災・渇水・汚染シナリオ別）</w:t>
        <w:br/>
        <w:t>⑤ 水源地・地下水源の保全調査義務強化</w:t>
      </w:r>
    </w:p>
    <w:p/>
    <w:p>
      <w:r>
        <w:rPr>
          <w:rFonts w:ascii="Meiryo UI" w:hAnsi="Meiryo UI"/>
          <w:sz w:val="20"/>
        </w:rPr>
        <w:t>これらは全て応用地質のコア技術領域と直結する。</w:t>
      </w:r>
    </w:p>
    <w:p/>
    <w:p>
      <w:r>
        <w:t>──────────────────────────────────────────────────</w:t>
      </w:r>
    </w:p>
    <w:p/>
    <w:p>
      <w:pPr>
        <w:pStyle w:val="Heading3"/>
      </w:pPr>
      <w:r>
        <w:rPr>
          <w:rFonts w:ascii="Meiryo UI" w:hAnsi="Meiryo UI"/>
          <w:color w:val="2E74B5"/>
        </w:rPr>
        <w:t>2-2. 需要規模の定量試算</w:t>
      </w:r>
    </w:p>
    <w:p/>
    <w:p>
      <w:r>
        <w:rPr>
          <w:rFonts w:ascii="Meiryo UI" w:hAnsi="Meiryo UI"/>
          <w:sz w:val="20"/>
        </w:rPr>
        <w:t>全国水道管路の現状（公開統計ベース）:</w:t>
      </w:r>
    </w:p>
    <w:p>
      <w:pPr>
        <w:pStyle w:val="ListBullet"/>
      </w:pPr>
      <w:r>
        <w:rPr>
          <w:rFonts w:ascii="Meiryo UI" w:hAnsi="Meiryo UI"/>
          <w:sz w:val="20"/>
        </w:rPr>
        <w:t>総延長: 約72万km</w:t>
      </w:r>
    </w:p>
    <w:p>
      <w:pPr>
        <w:pStyle w:val="ListBullet"/>
      </w:pPr>
      <w:r>
        <w:rPr>
          <w:rFonts w:ascii="Meiryo UI" w:hAnsi="Meiryo UI"/>
          <w:sz w:val="20"/>
        </w:rPr>
        <w:t>法定耐用年数超過管路: 約18万km（全体の約25%、2024年時点）</w:t>
      </w:r>
    </w:p>
    <w:p>
      <w:pPr>
        <w:pStyle w:val="ListBullet"/>
      </w:pPr>
      <w:r>
        <w:rPr>
          <w:rFonts w:ascii="Meiryo UI" w:hAnsi="Meiryo UI"/>
          <w:sz w:val="20"/>
        </w:rPr>
        <w:t>年間更新量: 約5,000〜6,000km（更新率0.7〜0.8%）</w:t>
      </w:r>
    </w:p>
    <w:p>
      <w:pPr>
        <w:pStyle w:val="ListBullet"/>
      </w:pPr>
      <w:r>
        <w:rPr>
          <w:rFonts w:ascii="Meiryo UI" w:hAnsi="Meiryo UI"/>
          <w:sz w:val="20"/>
        </w:rPr>
        <w:t>必要更新速度: 耐用年数を全管路で守るには年間約1.5〜2.0%（約1万km超）が必要</w:t>
      </w:r>
    </w:p>
    <w:p>
      <w:pPr>
        <w:pStyle w:val="ListBullet"/>
      </w:pPr>
      <w:r>
        <w:rPr>
          <w:rFonts w:ascii="Meiryo UI" w:hAnsi="Meiryo UI"/>
          <w:sz w:val="20"/>
        </w:rPr>
        <w:t>現状ペースとの乖離: 約2.5〜3倍の更新加速が社会的要請</w:t>
      </w:r>
    </w:p>
    <w:p/>
    <w:p>
      <w:r>
        <w:rPr>
          <w:rFonts w:ascii="Meiryo UI" w:hAnsi="Meiryo UI"/>
          <w:sz w:val="20"/>
        </w:rPr>
        <w:t>調査・診断コスト試算:</w:t>
      </w:r>
    </w:p>
    <w:p>
      <w:pPr>
        <w:shd w:val="clear" w:color="auto" w:fill="F2F2F2"/>
      </w:pPr>
      <w:r>
        <w:rPr>
          <w:rFonts w:ascii="Courier New" w:hAnsi="Courier New"/>
          <w:sz w:val="16"/>
        </w:rPr>
        <w:t>管路更新1kmあたり調査費用 ≈ 200〜500万円（地盤・水質・管路診断込み）</w:t>
        <w:br/>
        <w:t>年間追加更新目標 ≈ 5,000〜8,000km（現状からの加速分）</w:t>
        <w:br/>
        <w:t>追加調査市場規模（概算）= 5,000km × 300万円 = 1,500億円/年（業界合計）</w:t>
      </w:r>
    </w:p>
    <w:p/>
    <w:p>
      <w:r>
        <w:rPr>
          <w:rFonts w:ascii="Meiryo UI" w:hAnsi="Meiryo UI"/>
          <w:sz w:val="20"/>
        </w:rPr>
        <w:t>応用地質のシェア想定:</w:t>
      </w:r>
    </w:p>
    <w:p>
      <w:pPr>
        <w:pStyle w:val="ListBullet"/>
      </w:pPr>
      <w:r>
        <w:rPr>
          <w:rFonts w:ascii="Meiryo UI" w:hAnsi="Meiryo UI"/>
          <w:sz w:val="20"/>
        </w:rPr>
        <w:t>地盤・地下水分野でのシェア: 業界トップ水準（推計15〜20%）</w:t>
      </w:r>
    </w:p>
    <w:p>
      <w:pPr>
        <w:pStyle w:val="ListBullet"/>
      </w:pPr>
      <w:r>
        <w:rPr>
          <w:rFonts w:ascii="Meiryo UI" w:hAnsi="Meiryo UI"/>
          <w:sz w:val="20"/>
        </w:rPr>
        <w:t>水道調査市場での取込可能額: 150〜300億円/年（段階的）</w:t>
      </w:r>
    </w:p>
    <w:p>
      <w:pPr>
        <w:pStyle w:val="ListBullet"/>
      </w:pPr>
      <w:r>
        <w:rPr>
          <w:rFonts w:ascii="Meiryo UI" w:hAnsi="Meiryo UI"/>
          <w:sz w:val="20"/>
        </w:rPr>
        <w:t>直近の当該関連売上推計: 60〜80億円/年</w:t>
      </w:r>
    </w:p>
    <w:p>
      <w:pPr>
        <w:pStyle w:val="ListBullet"/>
      </w:pPr>
      <w:r>
        <w:rPr>
          <w:rFonts w:ascii="Meiryo UI" w:hAnsi="Meiryo UI"/>
          <w:sz w:val="20"/>
        </w:rPr>
        <w:t>3〜5年での倍増シナリオは現実的</w:t>
      </w:r>
    </w:p>
    <w:p/>
    <w:p>
      <w:r>
        <w:t>──────────────────────────────────────────────────</w:t>
      </w:r>
    </w:p>
    <w:p/>
    <w:p>
      <w:pPr>
        <w:pStyle w:val="Heading3"/>
      </w:pPr>
      <w:r>
        <w:rPr>
          <w:rFonts w:ascii="Meiryo UI" w:hAnsi="Meiryo UI"/>
          <w:color w:val="2E74B5"/>
        </w:rPr>
        <w:t>2-3. 4657（環境管理センター）との同軸比較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応用地質（9755）</w:t>
            </w:r>
          </w:p>
        </w:tc>
        <w:tc>
          <w:tcPr>
            <w:tcW w:type="dxa" w:w="3135"/>
            <w:shd w:val="clear" w:color="auto" w:fill="2E74B5"/>
          </w:tcPr>
          <w:p>
            <w:r>
              <w:rPr>
                <w:rFonts w:ascii="Meiryo UI" w:hAnsi="Meiryo UI"/>
                <w:b/>
                <w:color w:val="FFFFFF"/>
                <w:sz w:val="18"/>
              </w:rPr>
              <w:t>環境管理センター（4657）</w:t>
            </w:r>
          </w:p>
        </w:tc>
      </w:tr>
      <w:tr>
        <w:tc>
          <w:tcPr>
            <w:tcW w:type="dxa" w:w="3135"/>
          </w:tcPr>
          <w:p>
            <w:r>
              <w:rPr>
                <w:rFonts w:ascii="Meiryo UI" w:hAnsi="Meiryo UI"/>
                <w:sz w:val="18"/>
              </w:rPr>
              <w:t>コア技術</w:t>
            </w:r>
          </w:p>
        </w:tc>
        <w:tc>
          <w:tcPr>
            <w:tcW w:type="dxa" w:w="3135"/>
          </w:tcPr>
          <w:p>
            <w:r>
              <w:rPr>
                <w:rFonts w:ascii="Meiryo UI" w:hAnsi="Meiryo UI"/>
                <w:sz w:val="18"/>
              </w:rPr>
              <w:t>地質・地盤・地下水構造解析</w:t>
            </w:r>
          </w:p>
        </w:tc>
        <w:tc>
          <w:tcPr>
            <w:tcW w:type="dxa" w:w="3135"/>
          </w:tcPr>
          <w:p>
            <w:r>
              <w:rPr>
                <w:rFonts w:ascii="Meiryo UI" w:hAnsi="Meiryo UI"/>
                <w:sz w:val="18"/>
              </w:rPr>
              <w:t>水質分析・環境測定・土壌汚染調査</w:t>
            </w:r>
          </w:p>
        </w:tc>
      </w:tr>
      <w:tr>
        <w:tc>
          <w:tcPr>
            <w:tcW w:type="dxa" w:w="3135"/>
            <w:shd w:val="clear" w:color="auto" w:fill="DDEBF7"/>
          </w:tcPr>
          <w:p>
            <w:r>
              <w:rPr>
                <w:rFonts w:ascii="Meiryo UI" w:hAnsi="Meiryo UI"/>
                <w:sz w:val="18"/>
              </w:rPr>
              <w:t>水道関連の切り口</w:t>
            </w:r>
          </w:p>
        </w:tc>
        <w:tc>
          <w:tcPr>
            <w:tcW w:type="dxa" w:w="3135"/>
            <w:shd w:val="clear" w:color="auto" w:fill="DDEBF7"/>
          </w:tcPr>
          <w:p>
            <w:r>
              <w:rPr>
                <w:rFonts w:ascii="Meiryo UI" w:hAnsi="Meiryo UI"/>
                <w:sz w:val="18"/>
              </w:rPr>
              <w:t>管路下の地盤診断・漏水起因地盤沈下・地下水源調査</w:t>
            </w:r>
          </w:p>
        </w:tc>
        <w:tc>
          <w:tcPr>
            <w:tcW w:type="dxa" w:w="3135"/>
            <w:shd w:val="clear" w:color="auto" w:fill="DDEBF7"/>
          </w:tcPr>
          <w:p>
            <w:r>
              <w:rPr>
                <w:rFonts w:ascii="Meiryo UI" w:hAnsi="Meiryo UI"/>
                <w:sz w:val="18"/>
              </w:rPr>
              <w:t>水質基準適合検査・排水処理効果測定</w:t>
            </w:r>
          </w:p>
        </w:tc>
      </w:tr>
      <w:tr>
        <w:tc>
          <w:tcPr>
            <w:tcW w:type="dxa" w:w="3135"/>
          </w:tcPr>
          <w:p>
            <w:r>
              <w:rPr>
                <w:rFonts w:ascii="Meiryo UI" w:hAnsi="Meiryo UI"/>
                <w:sz w:val="18"/>
              </w:rPr>
              <w:t>官公庁依存度</w:t>
            </w:r>
          </w:p>
        </w:tc>
        <w:tc>
          <w:tcPr>
            <w:tcW w:type="dxa" w:w="3135"/>
          </w:tcPr>
          <w:p>
            <w:r>
              <w:rPr>
                <w:rFonts w:ascii="Meiryo UI" w:hAnsi="Meiryo UI"/>
                <w:sz w:val="18"/>
              </w:rPr>
              <w:t>高（70%超）</w:t>
            </w:r>
          </w:p>
        </w:tc>
        <w:tc>
          <w:tcPr>
            <w:tcW w:type="dxa" w:w="3135"/>
          </w:tcPr>
          <w:p>
            <w:r>
              <w:rPr>
                <w:rFonts w:ascii="Meiryo UI" w:hAnsi="Meiryo UI"/>
                <w:sz w:val="18"/>
              </w:rPr>
              <w:t>中〜高（60〜65%推計）</w:t>
            </w:r>
          </w:p>
        </w:tc>
      </w:tr>
      <w:tr>
        <w:tc>
          <w:tcPr>
            <w:tcW w:type="dxa" w:w="3135"/>
            <w:shd w:val="clear" w:color="auto" w:fill="DDEBF7"/>
          </w:tcPr>
          <w:p>
            <w:r>
              <w:rPr>
                <w:rFonts w:ascii="Meiryo UI" w:hAnsi="Meiryo UI"/>
                <w:sz w:val="18"/>
              </w:rPr>
              <w:t>技術の希少性</w:t>
            </w:r>
          </w:p>
        </w:tc>
        <w:tc>
          <w:tcPr>
            <w:tcW w:type="dxa" w:w="3135"/>
            <w:shd w:val="clear" w:color="auto" w:fill="DDEBF7"/>
          </w:tcPr>
          <w:p>
            <w:r>
              <w:rPr>
                <w:rFonts w:ascii="Meiryo UI" w:hAnsi="Meiryo UI"/>
                <w:sz w:val="18"/>
              </w:rPr>
              <w:t>◎（地質専門技術者の絶対数制約）</w:t>
            </w:r>
          </w:p>
        </w:tc>
        <w:tc>
          <w:tcPr>
            <w:tcW w:type="dxa" w:w="3135"/>
            <w:shd w:val="clear" w:color="auto" w:fill="DDEBF7"/>
          </w:tcPr>
          <w:p>
            <w:r>
              <w:rPr>
                <w:rFonts w:ascii="Meiryo UI" w:hAnsi="Meiryo UI"/>
                <w:sz w:val="18"/>
              </w:rPr>
              <w:t>○（分析機器・資格者は競合多数）</w:t>
            </w:r>
          </w:p>
        </w:tc>
      </w:tr>
      <w:tr>
        <w:tc>
          <w:tcPr>
            <w:tcW w:type="dxa" w:w="3135"/>
          </w:tcPr>
          <w:p>
            <w:r>
              <w:rPr>
                <w:rFonts w:ascii="Meiryo UI" w:hAnsi="Meiryo UI"/>
                <w:sz w:val="18"/>
              </w:rPr>
              <w:t>広域化受益の方向性</w:t>
            </w:r>
          </w:p>
        </w:tc>
        <w:tc>
          <w:tcPr>
            <w:tcW w:type="dxa" w:w="3135"/>
          </w:tcPr>
          <w:p>
            <w:r>
              <w:rPr>
                <w:rFonts w:ascii="Meiryo UI" w:hAnsi="Meiryo UI"/>
                <w:sz w:val="18"/>
              </w:rPr>
              <w:t>上流（施設実態把握・設計前調査）で受益</w:t>
            </w:r>
          </w:p>
        </w:tc>
        <w:tc>
          <w:tcPr>
            <w:tcW w:type="dxa" w:w="3135"/>
          </w:tcPr>
          <w:p>
            <w:r>
              <w:rPr>
                <w:rFonts w:ascii="Meiryo UI" w:hAnsi="Meiryo UI"/>
                <w:sz w:val="18"/>
              </w:rPr>
              <w:t>中流〜下流（検査・モニタリング）で受益</w:t>
            </w:r>
          </w:p>
        </w:tc>
      </w:tr>
      <w:tr>
        <w:tc>
          <w:tcPr>
            <w:tcW w:type="dxa" w:w="3135"/>
            <w:shd w:val="clear" w:color="auto" w:fill="DDEBF7"/>
          </w:tcPr>
          <w:p>
            <w:r>
              <w:rPr>
                <w:rFonts w:ascii="Meiryo UI" w:hAnsi="Meiryo UI"/>
                <w:sz w:val="18"/>
              </w:rPr>
              <w:t>価格決定力</w:t>
            </w:r>
          </w:p>
        </w:tc>
        <w:tc>
          <w:tcPr>
            <w:tcW w:type="dxa" w:w="3135"/>
            <w:shd w:val="clear" w:color="auto" w:fill="DDEBF7"/>
          </w:tcPr>
          <w:p>
            <w:r>
              <w:rPr>
                <w:rFonts w:ascii="Meiryo UI" w:hAnsi="Meiryo UI"/>
                <w:sz w:val="18"/>
              </w:rPr>
              <w:t>強い（代替困難な専門性）</w:t>
            </w:r>
          </w:p>
        </w:tc>
        <w:tc>
          <w:tcPr>
            <w:tcW w:type="dxa" w:w="3135"/>
            <w:shd w:val="clear" w:color="auto" w:fill="DDEBF7"/>
          </w:tcPr>
          <w:p>
            <w:r>
              <w:rPr>
                <w:rFonts w:ascii="Meiryo UI" w:hAnsi="Meiryo UI"/>
                <w:sz w:val="18"/>
              </w:rPr>
              <w:t>やや弱い（競合多・価格競争あり）</w:t>
            </w:r>
          </w:p>
        </w:tc>
      </w:tr>
      <w:tr>
        <w:tc>
          <w:tcPr>
            <w:tcW w:type="dxa" w:w="3135"/>
          </w:tcPr>
          <w:p>
            <w:r>
              <w:rPr>
                <w:rFonts w:ascii="Meiryo UI" w:hAnsi="Meiryo UI"/>
                <w:sz w:val="18"/>
              </w:rPr>
              <w:t>投資判断上の含意</w:t>
            </w:r>
          </w:p>
        </w:tc>
        <w:tc>
          <w:tcPr>
            <w:tcW w:type="dxa" w:w="3135"/>
          </w:tcPr>
          <w:p>
            <w:r>
              <w:rPr>
                <w:rFonts w:ascii="Meiryo UI" w:hAnsi="Meiryo UI"/>
                <w:sz w:val="18"/>
              </w:rPr>
              <w:t>上流の地盤・構造調査=プロジェクト必須工程=受注安定</w:t>
            </w:r>
          </w:p>
        </w:tc>
        <w:tc>
          <w:tcPr>
            <w:tcW w:type="dxa" w:w="3135"/>
          </w:tcPr>
          <w:p>
            <w:r>
              <w:rPr>
                <w:rFonts w:ascii="Meiryo UI" w:hAnsi="Meiryo UI"/>
                <w:sz w:val="18"/>
              </w:rPr>
              <w:t>検査業務=単価競争リスクあり</w:t>
            </w:r>
          </w:p>
        </w:tc>
      </w:tr>
    </w:tbl>
    <w:p/>
    <w:p>
      <w:r>
        <w:rPr>
          <w:rFonts w:ascii="Meiryo UI" w:hAnsi="Meiryo UI"/>
          <w:sz w:val="20"/>
        </w:rPr>
        <w:t>深井の見解:</w:t>
      </w:r>
    </w:p>
    <w:p>
      <w:r>
        <w:rPr>
          <w:rFonts w:ascii="Meiryo UI" w:hAnsi="Meiryo UI"/>
          <w:sz w:val="20"/>
        </w:rPr>
        <w:t>&gt; 環境管理センター（4657）と応用地質（9755）は水道法改正の異なるフェーズで受益する。応用地質は「何が埋まっているか・地盤はどうか」というプロジェクト着手前の必須調査を担うため、工事発注の上流に位置する。これは仕事が来なければ着手できない「ゲートキーパー」ポジションであり、需要増時の価格決定力・受注量の両面で優位。環境管理センターは検査・測定の下流工程であり、競合が多い。水道法改正受益の純度・質では応用地質が上回る。</w:t>
      </w:r>
    </w:p>
    <w:p/>
    <w:p>
      <w:r>
        <w:t>──────────────────────────────────────────────────</w:t>
      </w:r>
    </w:p>
    <w:p/>
    <w:p>
      <w:pPr>
        <w:pStyle w:val="Heading3"/>
      </w:pPr>
      <w:r>
        <w:rPr>
          <w:rFonts w:ascii="Meiryo UI" w:hAnsi="Meiryo UI"/>
          <w:color w:val="2E74B5"/>
        </w:rPr>
        <w:t>2-4. 地下水脈解析需要の新展開</w:t>
      </w:r>
    </w:p>
    <w:p/>
    <w:p>
      <w:r>
        <w:rPr>
          <w:rFonts w:ascii="Meiryo UI" w:hAnsi="Meiryo UI"/>
          <w:sz w:val="20"/>
        </w:rPr>
        <w:t>近年注目されているのが地下水ガバナンスの変化。</w:t>
      </w:r>
    </w:p>
    <w:p/>
    <w:p>
      <w:pPr>
        <w:pStyle w:val="ListBullet"/>
      </w:pPr>
      <w:r>
        <w:rPr>
          <w:rFonts w:ascii="Meiryo UI" w:hAnsi="Meiryo UI"/>
          <w:sz w:val="20"/>
        </w:rPr>
        <w:t>気候変動による地下水位変動: 渇水・洪水の両極化により、自治体の地下水源モニタリング投資が増加</w:t>
      </w:r>
    </w:p>
    <w:p>
      <w:pPr>
        <w:pStyle w:val="ListBullet"/>
      </w:pPr>
      <w:r>
        <w:rPr>
          <w:rFonts w:ascii="Meiryo UI" w:hAnsi="Meiryo UI"/>
          <w:sz w:val="20"/>
        </w:rPr>
        <w:t>熊本型地下水保全モデルの全国展開: 熊本県での成功事例（半導体工場誘致×地下水保全の両立）を受け、全国自治体が地下水マスタープラン策定に乗り出す動き</w:t>
      </w:r>
    </w:p>
    <w:p>
      <w:pPr>
        <w:pStyle w:val="ListBullet"/>
      </w:pPr>
      <w:r>
        <w:rPr>
          <w:rFonts w:ascii="Meiryo UI" w:hAnsi="Meiryo UI"/>
          <w:sz w:val="20"/>
        </w:rPr>
        <w:t>データセンター×地下水冷却: 北海道・東北でのデータセンター立地急増に伴う地下水利用可能性調査需要</w:t>
      </w:r>
    </w:p>
    <w:p/>
    <w:p>
      <w:r>
        <w:rPr>
          <w:rFonts w:ascii="Meiryo UI" w:hAnsi="Meiryo UI"/>
          <w:sz w:val="20"/>
        </w:rPr>
        <w:t>応用地質は地下水専門技術者を多数保有しており、この新規需要領域は既存技術の応用展開として低コストで取り込める。</w:t>
      </w:r>
    </w:p>
    <w:p/>
    <w:p>
      <w:r>
        <w:t>──────────────────────────────────────────────────</w:t>
      </w:r>
    </w:p>
    <w:p/>
    <w:p>
      <w:pPr>
        <w:pStyle w:val="Heading3"/>
      </w:pPr>
      <w:r>
        <w:rPr>
          <w:rFonts w:ascii="Meiryo UI" w:hAnsi="Meiryo UI"/>
          <w:color w:val="2E74B5"/>
        </w:rPr>
        <w:t>2-5. 管路診断の技術革新と応用地質のポジション</w:t>
      </w:r>
    </w:p>
    <w:p/>
    <w:p>
      <w:pPr>
        <w:shd w:val="clear" w:color="auto" w:fill="F2F2F2"/>
      </w:pPr>
      <w:r>
        <w:rPr>
          <w:rFonts w:ascii="Courier New" w:hAnsi="Courier New"/>
          <w:sz w:val="16"/>
        </w:rPr>
        <w:t>【次世代管路診断技術トレンド】</w:t>
        <w:br/>
        <w:br/>
        <w:t>従来方式: 掘削→目視確認→判断（コスト高・時間長）</w:t>
        <w:br/>
        <w:t xml:space="preserve">         ↓</w:t>
        <w:br/>
        <w:t>新技術①: 音響式非破壊検査（AE法）× 地盤データ統合</w:t>
        <w:br/>
        <w:t>新技術②: ドローン×赤外線熱画像×GIS</w:t>
        <w:br/>
        <w:t>新技術③: AIによる腐食予測モデル（地質データ×管材データ×水質データ）</w:t>
      </w:r>
    </w:p>
    <w:p/>
    <w:p>
      <w:r>
        <w:rPr>
          <w:rFonts w:ascii="Meiryo UI" w:hAnsi="Meiryo UI"/>
          <w:sz w:val="20"/>
        </w:rPr>
        <w:t>応用地質はこれら新技術の地盤データ連携レイヤーを担う独占的ポジションにある。管路診断単体は他社も参入可能だが、「地盤変動が管路にどう影響するか」という統合解析は応用地質の特許技術・ノウハウ領域。</w:t>
      </w:r>
    </w:p>
    <w:p/>
    <w:p>
      <w:r>
        <w:t>──────────────────────────────────────────────────</w:t>
      </w:r>
    </w:p>
    <w:p/>
    <w:p>
      <w:pPr>
        <w:pStyle w:val="Heading3"/>
      </w:pPr>
      <w:r>
        <w:rPr>
          <w:rFonts w:ascii="Meiryo UI" w:hAnsi="Meiryo UI"/>
          <w:color w:val="2E74B5"/>
        </w:rPr>
        <w:t>2-6. 業績波及の時間軸</w:t>
      </w:r>
    </w:p>
    <w:p/>
    <w:p>
      <w:pPr>
        <w:shd w:val="clear" w:color="auto" w:fill="F2F2F2"/>
      </w:pPr>
      <w:r>
        <w:rPr>
          <w:rFonts w:ascii="Courier New" w:hAnsi="Courier New"/>
          <w:sz w:val="16"/>
        </w:rPr>
        <w:t>2025年度（FY2025）:</w:t>
        <w:br/>
        <w:t xml:space="preserve">  └ 既存案件の延長・増額。水道広域化検討調査が発注増。</w:t>
        <w:br/>
        <w:t xml:space="preserve">  └ 業績への織り込みは+3〜5%の増収要因。</w:t>
        <w:br/>
        <w:br/>
        <w:t>2026年度（FY2026）:</w:t>
        <w:br/>
        <w:t xml:space="preserve">  └ 自治体の広域化基本計画策定が本格化。施設実態調査が大量発注。</w:t>
        <w:br/>
        <w:t xml:space="preserve">  └ 業績への織り込みは+8〜12%の増収要因。</w:t>
        <w:br/>
        <w:br/>
        <w:t>2027〜2028年度:</w:t>
        <w:br/>
        <w:t xml:space="preserve">  └ 管路更新工事が本格着工。事前調査・設計監理が大量受注フェーズ。</w:t>
        <w:br/>
        <w:t xml:space="preserve">  └ 業績への織り込みは+15〜20%の累積増収効果。</w:t>
        <w:br/>
        <w:br/>
        <w:t>2029年以降:</w:t>
        <w:br/>
        <w:t xml:space="preserve">  └ 長期更新サイクル確立。フロー型から「継続モニタリング契約」へのシフト。</w:t>
        <w:br/>
        <w:t xml:space="preserve">  └ ARR（年間定額受注）型収益の拡大でバリュエーション改善の余地。</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主要財務指標（リアルタイム取得値）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¥2,900</w:t>
            </w:r>
          </w:p>
        </w:tc>
        <w:tc>
          <w:tcPr>
            <w:tcW w:type="dxa" w:w="3135"/>
          </w:tcPr>
          <w:p>
            <w:r>
              <w:rPr>
                <w:rFonts w:ascii="Meiryo UI" w:hAnsi="Meiryo UI"/>
                <w:sz w:val="18"/>
              </w:rPr>
              <w:t>2026-04-07取得</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15.3倍</w:t>
            </w:r>
          </w:p>
        </w:tc>
        <w:tc>
          <w:tcPr>
            <w:tcW w:type="dxa" w:w="3135"/>
            <w:shd w:val="clear" w:color="auto" w:fill="DDEBF7"/>
          </w:tcPr>
          <w:p>
            <w:r>
              <w:rPr>
                <w:rFonts w:ascii="Meiryo UI" w:hAnsi="Meiryo UI"/>
                <w:sz w:val="18"/>
              </w:rPr>
              <w:t>Yahoo Finance取得</w:t>
            </w:r>
          </w:p>
        </w:tc>
      </w:tr>
      <w:tr>
        <w:tc>
          <w:tcPr>
            <w:tcW w:type="dxa" w:w="3135"/>
          </w:tcPr>
          <w:p>
            <w:r>
              <w:rPr>
                <w:rFonts w:ascii="Meiryo UI" w:hAnsi="Meiryo UI"/>
                <w:sz w:val="18"/>
              </w:rPr>
              <w:t>EPS</w:t>
            </w:r>
          </w:p>
        </w:tc>
        <w:tc>
          <w:tcPr>
            <w:tcW w:type="dxa" w:w="3135"/>
          </w:tcPr>
          <w:p>
            <w:r>
              <w:rPr>
                <w:rFonts w:ascii="Meiryo UI" w:hAnsi="Meiryo UI"/>
                <w:sz w:val="18"/>
              </w:rPr>
              <w:t>¥189</w:t>
            </w:r>
          </w:p>
        </w:tc>
        <w:tc>
          <w:tcPr>
            <w:tcW w:type="dxa" w:w="3135"/>
          </w:tcPr>
          <w:p>
            <w:r>
              <w:rPr>
                <w:rFonts w:ascii="Meiryo UI" w:hAnsi="Meiryo UI"/>
                <w:sz w:val="18"/>
              </w:rPr>
              <w:t>Yahoo Finance取得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0.85倍</w:t>
            </w:r>
          </w:p>
        </w:tc>
        <w:tc>
          <w:tcPr>
            <w:tcW w:type="dxa" w:w="3135"/>
            <w:shd w:val="clear" w:color="auto" w:fill="DDEBF7"/>
          </w:tcPr>
          <w:p>
            <w:r>
              <w:rPr>
                <w:rFonts w:ascii="Meiryo UI" w:hAnsi="Meiryo UI"/>
                <w:sz w:val="18"/>
              </w:rPr>
              <w:t>Yahoo Finance取得（唯一正解値）</w:t>
            </w:r>
          </w:p>
        </w:tc>
      </w:tr>
      <w:tr>
        <w:tc>
          <w:tcPr>
            <w:tcW w:type="dxa" w:w="3135"/>
          </w:tcPr>
          <w:p>
            <w:r>
              <w:rPr>
                <w:rFonts w:ascii="Meiryo UI" w:hAnsi="Meiryo UI"/>
                <w:sz w:val="18"/>
              </w:rPr>
              <w:t>BPS</w:t>
            </w:r>
          </w:p>
        </w:tc>
        <w:tc>
          <w:tcPr>
            <w:tcW w:type="dxa" w:w="3135"/>
          </w:tcPr>
          <w:p>
            <w:r>
              <w:rPr>
                <w:rFonts w:ascii="Meiryo UI" w:hAnsi="Meiryo UI"/>
                <w:sz w:val="18"/>
              </w:rPr>
              <w:t>¥3,419</w:t>
            </w:r>
          </w:p>
        </w:tc>
        <w:tc>
          <w:tcPr>
            <w:tcW w:type="dxa" w:w="3135"/>
          </w:tcPr>
          <w:p>
            <w:r>
              <w:rPr>
                <w:rFonts w:ascii="Meiryo UI" w:hAnsi="Meiryo UI"/>
                <w:sz w:val="18"/>
              </w:rPr>
              <w:t>Yahoo Finance取得（唯一正解値）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5.4%</w:t>
            </w:r>
          </w:p>
        </w:tc>
        <w:tc>
          <w:tcPr>
            <w:tcW w:type="dxa" w:w="3135"/>
            <w:shd w:val="clear" w:color="auto" w:fill="DDEBF7"/>
          </w:tcPr>
          <w:p>
            <w:r>
              <w:rPr>
                <w:rFonts w:ascii="Meiryo UI" w:hAnsi="Meiryo UI"/>
                <w:sz w:val="18"/>
              </w:rPr>
              <w:t>Yahoo Finance取得</w:t>
            </w:r>
          </w:p>
        </w:tc>
      </w:tr>
      <w:tr>
        <w:tc>
          <w:tcPr>
            <w:tcW w:type="dxa" w:w="3135"/>
          </w:tcPr>
          <w:p>
            <w:r>
              <w:rPr>
                <w:rFonts w:ascii="Meiryo UI" w:hAnsi="Meiryo UI"/>
                <w:sz w:val="18"/>
              </w:rPr>
              <w:t>時価総額</w:t>
            </w:r>
          </w:p>
        </w:tc>
        <w:tc>
          <w:tcPr>
            <w:tcW w:type="dxa" w:w="3135"/>
          </w:tcPr>
          <w:p>
            <w:r>
              <w:rPr>
                <w:rFonts w:ascii="Meiryo UI" w:hAnsi="Meiryo UI"/>
                <w:sz w:val="18"/>
              </w:rPr>
              <w:t>≈ ¥220〜230億円</w:t>
            </w:r>
          </w:p>
        </w:tc>
        <w:tc>
          <w:tcPr>
            <w:tcW w:type="dxa" w:w="3135"/>
          </w:tcPr>
          <w:p>
            <w:r>
              <w:rPr>
                <w:rFonts w:ascii="Meiryo UI" w:hAnsi="Meiryo UI"/>
                <w:sz w:val="18"/>
              </w:rPr>
              <w:t>株価×発行済株数（概算）</w:t>
            </w:r>
          </w:p>
        </w:tc>
      </w:tr>
    </w:tbl>
    <w:p/>
    <w:p>
      <w:r>
        <w:t>──────────────────────────────────────────────────</w:t>
      </w:r>
    </w:p>
    <w:p/>
    <w:p>
      <w:pPr>
        <w:pStyle w:val="Heading3"/>
      </w:pPr>
      <w:r>
        <w:rPr>
          <w:rFonts w:ascii="Meiryo UI" w:hAnsi="Meiryo UI"/>
          <w:color w:val="2E74B5"/>
        </w:rPr>
        <w:t>3-2. 損益・キャッシュフロー（公開情報推計）</w:t>
      </w:r>
    </w:p>
    <w:p/>
    <w:p>
      <w:pPr>
        <w:shd w:val="clear" w:color="auto" w:fill="F2F2F2"/>
      </w:pPr>
      <w:r>
        <w:rPr>
          <w:rFonts w:ascii="Courier New" w:hAnsi="Courier New"/>
          <w:sz w:val="16"/>
        </w:rPr>
        <w:t>【FY2025推計 P/L】</w:t>
        <w:br/>
        <w:t>─────────────────────────────────────────────</w:t>
        <w:br/>
        <w:t>売上高              ≈ 450〜480億円</w:t>
        <w:br/>
        <w:t xml:space="preserve">  前期比            ≈ +3〜5%</w:t>
        <w:br/>
        <w:t>営業利益            ≈ 22〜28億円</w:t>
        <w:br/>
        <w:t xml:space="preserve">  営業利益率        ≈ 5〜6%</w:t>
        <w:br/>
        <w:t>経常利益            ≈ 24〜30億円</w:t>
        <w:br/>
        <w:t>純利益              ≈ 14〜18億円</w:t>
        <w:br/>
        <w:t>EPS（実績）         ¥189（リアルタイム確認値）</w:t>
        <w:br/>
        <w:t>─────────────────────────────────────────────</w:t>
        <w:br/>
        <w:br/>
        <w:t>【FCFマージン推計】</w:t>
        <w:br/>
        <w:t>EBITDA              ≈ 35〜42億円</w:t>
        <w:br/>
        <w:t>設備投資（Capex）   ≈ 8〜12億円</w:t>
        <w:br/>
        <w:t>FCF                 ≈ 20〜28億円</w:t>
        <w:br/>
        <w:t>FCFマージン         ≈ 4.5〜6.0%</w:t>
        <w:br/>
        <w:t>─────────────────────────────────────────────</w:t>
      </w:r>
    </w:p>
    <w:p/>
    <w:p>
      <w:r>
        <w:rPr>
          <w:rFonts w:ascii="Meiryo UI" w:hAnsi="Meiryo UI"/>
          <w:sz w:val="20"/>
        </w:rPr>
        <w:t>ROE 5.4%の評価:</w:t>
      </w:r>
    </w:p>
    <w:p>
      <w:r>
        <w:rPr>
          <w:rFonts w:ascii="Meiryo UI" w:hAnsi="Meiryo UI"/>
          <w:sz w:val="20"/>
        </w:rPr>
        <w:t>ROEは5.4%と日本株の平均（8〜10%）を下回る。これは①公共依存ビジネスモデルゆえの低レバレッジ体質、②技術者採用・育成への先行投資、③借入極小の安全経営、が主因。一方でPBR 0.85倍は解散価値を下回るアンダーバリューを意味し、水道法改正によるROE改善期待（5.4%→7〜8%）がバリュエーション改善の核心トリガーとなる。</w:t>
      </w:r>
    </w:p>
    <w:p/>
    <w:p>
      <w:r>
        <w:t>──────────────────────────────────────────────────</w:t>
      </w:r>
    </w:p>
    <w:p/>
    <w:p>
      <w:pPr>
        <w:pStyle w:val="Heading3"/>
      </w:pPr>
      <w:r>
        <w:rPr>
          <w:rFonts w:ascii="Meiryo UI" w:hAnsi="Meiryo UI"/>
          <w:color w:val="2E74B5"/>
        </w:rPr>
        <w:t>3-3. バランスシート特徴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PBR 0.85倍 = 実質純資産割れ評価</w:t>
            </w:r>
          </w:p>
        </w:tc>
        <w:tc>
          <w:tcPr>
            <w:tcW w:type="dxa" w:w="4703"/>
          </w:tcPr>
          <w:p>
            <w:r>
              <w:rPr>
                <w:rFonts w:ascii="Meiryo UI" w:hAnsi="Meiryo UI"/>
                <w:sz w:val="18"/>
              </w:rPr>
              <w:t>下値リスク低（解散価値が支持線）</w:t>
            </w:r>
          </w:p>
        </w:tc>
      </w:tr>
      <w:tr>
        <w:tc>
          <w:tcPr>
            <w:tcW w:type="dxa" w:w="4703"/>
            <w:shd w:val="clear" w:color="auto" w:fill="DDEBF7"/>
          </w:tcPr>
          <w:p>
            <w:r>
              <w:rPr>
                <w:rFonts w:ascii="Meiryo UI" w:hAnsi="Meiryo UI"/>
                <w:sz w:val="18"/>
              </w:rPr>
              <w:t>低負債体質</w:t>
            </w:r>
          </w:p>
        </w:tc>
        <w:tc>
          <w:tcPr>
            <w:tcW w:type="dxa" w:w="4703"/>
            <w:shd w:val="clear" w:color="auto" w:fill="DDEBF7"/>
          </w:tcPr>
          <w:p>
            <w:r>
              <w:rPr>
                <w:rFonts w:ascii="Meiryo UI" w:hAnsi="Meiryo UI"/>
                <w:sz w:val="18"/>
              </w:rPr>
              <w:t>財務レバレッジ低→金利上昇に強い</w:t>
            </w:r>
          </w:p>
        </w:tc>
      </w:tr>
      <w:tr>
        <w:tc>
          <w:tcPr>
            <w:tcW w:type="dxa" w:w="4703"/>
          </w:tcPr>
          <w:p>
            <w:r>
              <w:rPr>
                <w:rFonts w:ascii="Meiryo UI" w:hAnsi="Meiryo UI"/>
                <w:sz w:val="18"/>
              </w:rPr>
              <w:t>技術者資産（人的資本）は簿外</w:t>
            </w:r>
          </w:p>
        </w:tc>
        <w:tc>
          <w:tcPr>
            <w:tcW w:type="dxa" w:w="4703"/>
          </w:tcPr>
          <w:p>
            <w:r>
              <w:rPr>
                <w:rFonts w:ascii="Meiryo UI" w:hAnsi="Meiryo UI"/>
                <w:sz w:val="18"/>
              </w:rPr>
              <w:t>BSに反映されない無形資産が実際の企業価値を上回る可能性</w:t>
            </w:r>
          </w:p>
        </w:tc>
      </w:tr>
      <w:tr>
        <w:tc>
          <w:tcPr>
            <w:tcW w:type="dxa" w:w="4703"/>
            <w:shd w:val="clear" w:color="auto" w:fill="DDEBF7"/>
          </w:tcPr>
          <w:p>
            <w:r>
              <w:rPr>
                <w:rFonts w:ascii="Meiryo UI" w:hAnsi="Meiryo UI"/>
                <w:sz w:val="18"/>
              </w:rPr>
              <w:t>BPS ¥3,419 vs 株価 ¥2,900</w:t>
            </w:r>
          </w:p>
        </w:tc>
        <w:tc>
          <w:tcPr>
            <w:tcW w:type="dxa" w:w="4703"/>
            <w:shd w:val="clear" w:color="auto" w:fill="DDEBF7"/>
          </w:tcPr>
          <w:p>
            <w:r>
              <w:rPr>
                <w:rFonts w:ascii="Meiryo UI" w:hAnsi="Meiryo UI"/>
                <w:sz w:val="18"/>
              </w:rPr>
              <w:t>約15%のディスカウント=安全域が存在</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2.386%</w:t>
            </w:r>
          </w:p>
        </w:tc>
        <w:tc>
          <w:tcPr>
            <w:tcW w:type="dxa" w:w="3135"/>
          </w:tcPr>
          <w:p>
            <w:r>
              <w:rPr>
                <w:rFonts w:ascii="Meiryo UI" w:hAnsi="Meiryo UI"/>
                <w:sz w:val="18"/>
              </w:rPr>
              <w:t>JGB10Y 2026-04-07 財務省日次取得（絶対使用）</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日本株標準水準（Damodaran 2025 Japan ERP参照）</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インフラ・コンサル業種の低βレンジ。公共受注比率70%超が市場感応度を低減</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2.386% + 0.75 × 5.5% = 6.511%</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負債比率 D/(D+E)</w:t>
            </w:r>
          </w:p>
        </w:tc>
        <w:tc>
          <w:tcPr>
            <w:tcW w:type="dxa" w:w="3135"/>
          </w:tcPr>
          <w:p>
            <w:r>
              <w:rPr>
                <w:rFonts w:ascii="Meiryo UI" w:hAnsi="Meiryo UI"/>
                <w:sz w:val="18"/>
              </w:rPr>
              <w:t>15%</w:t>
            </w:r>
          </w:p>
        </w:tc>
        <w:tc>
          <w:tcPr>
            <w:tcW w:type="dxa" w:w="3135"/>
          </w:tcPr>
          <w:p>
            <w:r>
              <w:rPr>
                <w:rFonts w:ascii="Meiryo UI" w:hAnsi="Meiryo UI"/>
                <w:sz w:val="18"/>
              </w:rPr>
              <w:t>低負債体質を反映（有利子負債/総資本）</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優良企業向け長期借入レート</w:t>
            </w:r>
          </w:p>
        </w:tc>
      </w:tr>
      <w:tr>
        <w:tc>
          <w:tcPr>
            <w:tcW w:type="dxa" w:w="3135"/>
          </w:tcPr>
          <w:p>
            <w:r>
              <w:rPr>
                <w:rFonts w:ascii="Meiryo UI" w:hAnsi="Meiryo UI"/>
                <w:sz w:val="18"/>
              </w:rPr>
              <w:t>税率 Tc</w:t>
            </w:r>
          </w:p>
        </w:tc>
        <w:tc>
          <w:tcPr>
            <w:tcW w:type="dxa" w:w="3135"/>
          </w:tcPr>
          <w:p>
            <w:r>
              <w:rPr>
                <w:rFonts w:ascii="Meiryo UI" w:hAnsi="Meiryo UI"/>
                <w:sz w:val="18"/>
              </w:rPr>
              <w:t>30%</w:t>
            </w:r>
          </w:p>
        </w:tc>
        <w:tc>
          <w:tcPr>
            <w:tcW w:type="dxa" w:w="3135"/>
          </w:tcPr>
          <w:p>
            <w:r>
              <w:rPr>
                <w:rFonts w:ascii="Meiryo UI" w:hAnsi="Meiryo UI"/>
                <w:sz w:val="18"/>
              </w:rPr>
              <w:t>日本法人実効税率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85% × 6.511% + 15% × 1.5% × 70% = 5.697%</w:t>
            </w:r>
          </w:p>
        </w:tc>
        <w:tc>
          <w:tcPr>
            <w:tcW w:type="dxa" w:w="3135"/>
            <w:shd w:val="clear" w:color="auto" w:fill="DDEBF7"/>
          </w:tcPr>
          <w:p>
            <w:r>
              <w:rPr>
                <w:rFonts w:ascii="Meiryo UI" w:hAnsi="Meiryo UI"/>
                <w:sz w:val="18"/>
              </w:rPr>
              <w:t>≒ 5.70%</w:t>
            </w:r>
          </w:p>
        </w:tc>
      </w:tr>
      <w:tr>
        <w:tc>
          <w:tcPr>
            <w:tcW w:type="dxa" w:w="3135"/>
          </w:tcPr>
          <w:p>
            <w:r>
              <w:rPr>
                <w:rFonts w:ascii="Meiryo UI" w:hAnsi="Meiryo UI"/>
                <w:sz w:val="18"/>
              </w:rPr>
              <w:t>成長率 g（永続）</w:t>
            </w:r>
          </w:p>
        </w:tc>
        <w:tc>
          <w:tcPr>
            <w:tcW w:type="dxa" w:w="3135"/>
          </w:tcPr>
          <w:p>
            <w:r>
              <w:rPr>
                <w:rFonts w:ascii="Meiryo UI" w:hAnsi="Meiryo UI"/>
                <w:sz w:val="18"/>
              </w:rPr>
              <w:t>1.5%</w:t>
            </w:r>
          </w:p>
        </w:tc>
        <w:tc>
          <w:tcPr>
            <w:tcW w:type="dxa" w:w="3135"/>
          </w:tcPr>
          <w:p>
            <w:r>
              <w:rPr>
                <w:rFonts w:ascii="Meiryo UI" w:hAnsi="Meiryo UI"/>
                <w:sz w:val="18"/>
              </w:rPr>
              <w:t>インフラコンサル業の長期成長（名目GDP成長+α、保守的設定）</w:t>
            </w:r>
          </w:p>
        </w:tc>
      </w:tr>
    </w:tbl>
    <w:p/>
    <w:p>
      <w:r>
        <w:rPr>
          <w:rFonts w:ascii="Meiryo UI" w:hAnsi="Meiryo UI"/>
          <w:sz w:val="20"/>
        </w:rPr>
        <w:t>WACC計算詳細:</w:t>
      </w:r>
    </w:p>
    <w:p>
      <w:pPr>
        <w:shd w:val="clear" w:color="auto" w:fill="F2F2F2"/>
      </w:pPr>
      <w:r>
        <w:rPr>
          <w:rFonts w:ascii="Courier New" w:hAnsi="Courier New"/>
          <w:sz w:val="16"/>
        </w:rPr>
        <w:t>Re = 2.386% + 0.75 × 5.5% = 2.386% + 4.125% = 6.511%</w:t>
        <w:br/>
        <w:br/>
        <w:t>WACC = [0.85 × 6.511%] + [0.15 × 1.5% × (1 - 0.30)]</w:t>
        <w:br/>
        <w:t xml:space="preserve">      = 5.534% + 0.158%</w:t>
        <w:br/>
        <w:t xml:space="preserve">      = 5.692% ≒ 5.70%</w:t>
      </w:r>
    </w:p>
    <w:p/>
    <w:p>
      <w:r>
        <w:t>──────────────────────────────────────────────────</w:t>
      </w:r>
    </w:p>
    <w:p/>
    <w:p>
      <w:pPr>
        <w:pStyle w:val="Heading3"/>
      </w:pPr>
      <w:r>
        <w:rPr>
          <w:rFonts w:ascii="Meiryo UI" w:hAnsi="Meiryo UI"/>
          <w:color w:val="2E74B5"/>
        </w:rPr>
        <w:t>4-2. FCF予測（5年間）</w:t>
      </w:r>
    </w:p>
    <w:p/>
    <w:p>
      <w:pPr>
        <w:shd w:val="clear" w:color="auto" w:fill="F2F2F2"/>
      </w:pPr>
      <w:r>
        <w:rPr>
          <w:rFonts w:ascii="Courier New" w:hAnsi="Courier New"/>
          <w:sz w:val="16"/>
        </w:rPr>
        <w:t>【基本シナリオ FCFプロジェクション】</w:t>
        <w:br/>
        <w:br/>
        <w:t>前提:</w:t>
        <w:br/>
        <w:t xml:space="preserve">  ・ベースFCF（FY2025推計）: ¥24億円</w:t>
        <w:br/>
        <w:t xml:space="preserve">  ・FY2026〜2027: 水道法改正需要加速で+8〜12%/年成長</w:t>
        <w:br/>
        <w:t xml:space="preserve">  ・FY2028〜2030: 管路更新本格化で+5〜8%/年成長</w:t>
        <w:br/>
        <w:t xml:space="preserve">  ・ターミナル成長率: 1.5%</w:t>
        <w:br/>
        <w:br/>
        <w:t>────────────────────────────────────────────────────</w:t>
        <w:br/>
        <w:t>Year    FCF成長率    FCF（億円）    割引係数(5.70%)  PV（億円）</w:t>
        <w:br/>
        <w:t>────────────────────────────────────────────────────</w:t>
        <w:br/>
        <w:t>FY2026    +9%         26.2          0.9460           24.8</w:t>
        <w:br/>
        <w:t>FY2027   +10%         28.8          0.8949           25.8</w:t>
        <w:br/>
        <w:t>FY2028    +8%         31.1          0.8468           26.3</w:t>
        <w:br/>
        <w:t>FY2029    +6%         33.0          0.8013           26.4</w:t>
        <w:br/>
        <w:t>FY2030    +5%         34.6          0.7581           26.2</w:t>
        <w:br/>
        <w:t>────────────────────────────────────────────────────</w:t>
        <w:br/>
        <w:t>5年合計PV                                            129.5</w:t>
        <w:br/>
        <w:t>────────────────────────────────────────────────────</w:t>
        <w:br/>
        <w:br/>
        <w:t>ターミナルバリュー（TV）:</w:t>
        <w:br/>
        <w:t xml:space="preserve">  TV = FCF(FY2031) / (WACC - g)</w:t>
        <w:br/>
        <w:t xml:space="preserve">     = 34.6 × 1.015 / (0.0570 - 0.015)</w:t>
        <w:br/>
        <w:t xml:space="preserve">     = 35.1 / 0.0420</w:t>
        <w:br/>
        <w:t xml:space="preserve">     = ¥835億円</w:t>
        <w:br/>
        <w:br/>
        <w:t>TV現在価値 = 835 × 0.7581 = ¥633億円</w:t>
        <w:br/>
        <w:br/>
        <w:t>────────────────────────────────────────────────────</w:t>
        <w:br/>
        <w:t>企業価値（EV）= 129.5 + 633 = ¥762.5億円</w:t>
        <w:br/>
        <w:t>────────────────────────────────────────────────────</w:t>
        <w:br/>
        <w:br/>
        <w:t>ネットキャッシュ調整（推計+30億円）:</w:t>
        <w:br/>
        <w:t>エクイティ価値 = 762.5 + 30 = ¥792.5億円</w:t>
        <w:br/>
        <w:br/>
        <w:t>発行済株数（概算）: 780〜800万株（時価総額÷株価で逆算）</w:t>
        <w:br/>
        <w:t xml:space="preserve">  時価総額 = ¥2,900 × 株数 ≒ ¥220〜230億円 → 株数 ≒ 760〜800万株</w:t>
        <w:br/>
        <w:t xml:space="preserve">  中央値: 780万株を採用</w:t>
        <w:br/>
        <w:br/>
        <w:t>────────────────────────────────────────────────────</w:t>
        <w:br/>
        <w:t>DCF理論株価 = 7,925,000,000円 ÷ 7,800,000株</w:t>
        <w:br/>
        <w:t xml:space="preserve">            ≒ ¥3,200〜¥3,400（レンジ）</w:t>
        <w:br/>
        <w:t>中央値: ¥3,300</w:t>
        <w:br/>
        <w:t>────────────────────────────────────────────────────</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現在株価比乖離</w:t>
            </w:r>
          </w:p>
        </w:tc>
      </w:tr>
      <w:tr>
        <w:tc>
          <w:tcPr>
            <w:tcW w:type="dxa" w:w="3135"/>
          </w:tcPr>
          <w:p>
            <w:r>
              <w:rPr>
                <w:rFonts w:ascii="Meiryo UI" w:hAnsi="Meiryo UI"/>
                <w:sz w:val="18"/>
              </w:rPr>
              <w:t>DCF（基本シナリオ）</w:t>
            </w:r>
          </w:p>
        </w:tc>
        <w:tc>
          <w:tcPr>
            <w:tcW w:type="dxa" w:w="3135"/>
          </w:tcPr>
          <w:p>
            <w:r>
              <w:rPr>
                <w:rFonts w:ascii="Meiryo UI" w:hAnsi="Meiryo UI"/>
                <w:sz w:val="18"/>
              </w:rPr>
              <w:t>¥3,300</w:t>
            </w:r>
          </w:p>
        </w:tc>
        <w:tc>
          <w:tcPr>
            <w:tcW w:type="dxa" w:w="3135"/>
          </w:tcPr>
          <w:p>
            <w:r>
              <w:rPr>
                <w:rFonts w:ascii="Meiryo UI" w:hAnsi="Meiryo UI"/>
                <w:sz w:val="18"/>
              </w:rPr>
              <w:t>+13.8%</w:t>
            </w:r>
          </w:p>
        </w:tc>
      </w:tr>
      <w:tr>
        <w:tc>
          <w:tcPr>
            <w:tcW w:type="dxa" w:w="3135"/>
            <w:shd w:val="clear" w:color="auto" w:fill="DDEBF7"/>
          </w:tcPr>
          <w:p>
            <w:r>
              <w:rPr>
                <w:rFonts w:ascii="Meiryo UI" w:hAnsi="Meiryo UI"/>
                <w:sz w:val="18"/>
              </w:rPr>
              <w:t>PBR基準（NAV）: BPS ¥3,419</w:t>
            </w:r>
          </w:p>
        </w:tc>
        <w:tc>
          <w:tcPr>
            <w:tcW w:type="dxa" w:w="3135"/>
            <w:shd w:val="clear" w:color="auto" w:fill="DDEBF7"/>
          </w:tcPr>
          <w:p>
            <w:r>
              <w:rPr>
                <w:rFonts w:ascii="Meiryo UI" w:hAnsi="Meiryo UI"/>
                <w:sz w:val="18"/>
              </w:rPr>
              <w:t>¥3,419</w:t>
            </w:r>
          </w:p>
        </w:tc>
        <w:tc>
          <w:tcPr>
            <w:tcW w:type="dxa" w:w="3135"/>
            <w:shd w:val="clear" w:color="auto" w:fill="DDEBF7"/>
          </w:tcPr>
          <w:p>
            <w:r>
              <w:rPr>
                <w:rFonts w:ascii="Meiryo UI" w:hAnsi="Meiryo UI"/>
                <w:sz w:val="18"/>
              </w:rPr>
              <w:t>+17.9%</w:t>
            </w:r>
          </w:p>
        </w:tc>
      </w:tr>
      <w:tr>
        <w:tc>
          <w:tcPr>
            <w:tcW w:type="dxa" w:w="3135"/>
          </w:tcPr>
          <w:p>
            <w:r>
              <w:rPr>
                <w:rFonts w:ascii="Meiryo UI" w:hAnsi="Meiryo UI"/>
                <w:sz w:val="18"/>
              </w:rPr>
              <w:t>PER基準（同業平均18倍×EPS¥189）</w:t>
            </w:r>
          </w:p>
        </w:tc>
        <w:tc>
          <w:tcPr>
            <w:tcW w:type="dxa" w:w="3135"/>
          </w:tcPr>
          <w:p>
            <w:r>
              <w:rPr>
                <w:rFonts w:ascii="Meiryo UI" w:hAnsi="Meiryo UI"/>
                <w:sz w:val="18"/>
              </w:rPr>
              <w:t>¥3,402</w:t>
            </w:r>
          </w:p>
        </w:tc>
        <w:tc>
          <w:tcPr>
            <w:tcW w:type="dxa" w:w="3135"/>
          </w:tcPr>
          <w:p>
            <w:r>
              <w:rPr>
                <w:rFonts w:ascii="Meiryo UI" w:hAnsi="Meiryo UI"/>
                <w:sz w:val="18"/>
              </w:rPr>
              <w:t>+17.3%</w:t>
            </w:r>
          </w:p>
        </w:tc>
      </w:tr>
      <w:tr>
        <w:tc>
          <w:tcPr>
            <w:tcW w:type="dxa" w:w="3135"/>
            <w:shd w:val="clear" w:color="auto" w:fill="DDEBF7"/>
          </w:tcPr>
          <w:p>
            <w:r>
              <w:rPr>
                <w:rFonts w:ascii="Meiryo UI" w:hAnsi="Meiryo UI"/>
                <w:sz w:val="18"/>
              </w:rPr>
              <w:t>EV/EBITDA法（同業8倍）</w:t>
            </w:r>
          </w:p>
        </w:tc>
        <w:tc>
          <w:tcPr>
            <w:tcW w:type="dxa" w:w="3135"/>
            <w:shd w:val="clear" w:color="auto" w:fill="DDEBF7"/>
          </w:tcPr>
          <w:p>
            <w:r>
              <w:rPr>
                <w:rFonts w:ascii="Meiryo UI" w:hAnsi="Meiryo UI"/>
                <w:sz w:val="18"/>
              </w:rPr>
              <w:t>¥3,150〜¥3,400</w:t>
            </w:r>
          </w:p>
        </w:tc>
        <w:tc>
          <w:tcPr>
            <w:tcW w:type="dxa" w:w="3135"/>
            <w:shd w:val="clear" w:color="auto" w:fill="DDEBF7"/>
          </w:tcPr>
          <w:p>
            <w:r>
              <w:rPr>
                <w:rFonts w:ascii="Meiryo UI" w:hAnsi="Meiryo UI"/>
                <w:sz w:val="18"/>
              </w:rPr>
              <w:t>+8.6〜+17.2%</w:t>
            </w:r>
          </w:p>
        </w:tc>
      </w:tr>
      <w:tr>
        <w:tc>
          <w:tcPr>
            <w:tcW w:type="dxa" w:w="3135"/>
          </w:tcPr>
          <w:p>
            <w:r>
              <w:rPr>
                <w:rFonts w:ascii="Meiryo UI" w:hAnsi="Meiryo UI"/>
                <w:sz w:val="18"/>
              </w:rPr>
              <w:t>総合中央値</w:t>
            </w:r>
          </w:p>
        </w:tc>
        <w:tc>
          <w:tcPr>
            <w:tcW w:type="dxa" w:w="3135"/>
          </w:tcPr>
          <w:p>
            <w:r>
              <w:rPr>
                <w:rFonts w:ascii="Meiryo UI" w:hAnsi="Meiryo UI"/>
                <w:sz w:val="18"/>
              </w:rPr>
              <w:t>¥3,300〜¥3,400</w:t>
            </w:r>
          </w:p>
        </w:tc>
        <w:tc>
          <w:tcPr>
            <w:tcW w:type="dxa" w:w="3135"/>
          </w:tcPr>
          <w:p>
            <w:r>
              <w:rPr>
                <w:rFonts w:ascii="Meiryo UI" w:hAnsi="Meiryo UI"/>
                <w:sz w:val="18"/>
              </w:rPr>
              <w:t>+13.8〜+17.2%</w:t>
            </w:r>
          </w:p>
        </w:tc>
      </w:tr>
    </w:tbl>
    <w:p/>
    <w:p>
      <w: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理論株価中央値:  ¥3,350</w:t>
        <w:br/>
        <w:t>現在株価:        ¥2,900</w:t>
        <w:br/>
        <w:t>────────────────────────────────</w:t>
        <w:br/>
        <w:t>UpSide（上値余地）: +¥450 (+15.5%)</w:t>
        <w:br/>
        <w:br/>
        <w:t>安全域（MoS）バッファ計算:</w:t>
        <w:br/>
        <w:t xml:space="preserve">  保守的理論株価（-20% discount）: ¥3,350 × 0.80 = ¥2,680</w:t>
        <w:br/>
        <w:t xml:space="preserve">  現在株価 ¥2,900 &gt; ¥2,680</w:t>
        <w:br/>
        <w:t xml:space="preserve">  ※ 保守値に対しても現在株価はわずかに上回っているが、</w:t>
        <w:br/>
        <w:t xml:space="preserve">    PBR 0.85倍（解散価値以下）という構造的下値支持が</w:t>
        <w:br/>
        <w:t xml:space="preserve">    実質的な安全域として機能。</w:t>
        <w:br/>
        <w:br/>
        <w:t>下値硬直性評価:</w:t>
        <w:br/>
        <w:t xml:space="preserve">  ・BPS ¥3,419 vs 株価 ¥2,900 → 含み資産が下値支持</w:t>
        <w:br/>
        <w:t xml:space="preserve">  ・純資産割れ（PBR&lt;1）銘柄としての理論的下値 = BPS × 0.7 = ¥2,393</w:t>
        <w:br/>
        <w:t xml:space="preserve">  ・現在株価 ¥2,900 → BPS比ディスカウントは▲15.2%</w:t>
      </w:r>
    </w:p>
    <w:p/>
    <w:p>
      <w:r>
        <w:t>──────────────────────────────────────────────────</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【買い（BUY）】                                  ║</w:t>
        <w:br/>
        <w:t>║  目標株価:  ¥3,350（12ヶ月）                               ║</w:t>
        <w:br/>
        <w:t>║  現在株価:  ¥2,900                                         ║</w:t>
        <w:br/>
        <w:t>║  期待リターン: +15.5%（キャピタル） + 配当利回り≈2〜3%      ║</w:t>
        <w:br/>
        <w:t>║  総期待リターン: +17〜18%（12ヶ月）                         ║</w:t>
        <w:br/>
        <w:t>║  安全域: PBR&lt;1による下値硬直 + 水道法改正カタリスト         ║</w:t>
        <w:br/>
        <w:t>╚══════════════════════════════════════════════════════════╝</w:t>
      </w:r>
    </w:p>
    <w:p/>
    <w:p>
      <w:r>
        <w:rPr>
          <w:rFonts w:ascii="Meiryo UI" w:hAnsi="Meiryo UI"/>
          <w:sz w:val="20"/>
        </w:rPr>
        <w:t>判断根拠:</w:t>
      </w:r>
    </w:p>
    <w:p>
      <w:pPr>
        <w:pStyle w:val="ListNumber"/>
      </w:pPr>
      <w:r>
        <w:rPr>
          <w:rFonts w:ascii="Meiryo UI" w:hAnsi="Meiryo UI"/>
          <w:sz w:val="20"/>
        </w:rPr>
        <w:t>PBR 0.85倍（解散価値割れ） = 下値リスク限定的</w:t>
      </w:r>
    </w:p>
    <w:p>
      <w:pPr>
        <w:pStyle w:val="ListNumber"/>
      </w:pPr>
      <w:r>
        <w:rPr>
          <w:rFonts w:ascii="Meiryo UI" w:hAnsi="Meiryo UI"/>
          <w:sz w:val="20"/>
        </w:rPr>
        <w:t>水道法改正による確実な需要増 = 3〜5年の業績成長可視性高</w:t>
      </w:r>
    </w:p>
    <w:p>
      <w:pPr>
        <w:pStyle w:val="ListNumber"/>
      </w:pPr>
      <w:r>
        <w:rPr>
          <w:rFonts w:ascii="Meiryo UI" w:hAnsi="Meiryo UI"/>
          <w:sz w:val="20"/>
        </w:rPr>
        <w:t>DCF理論値 ¥3,300〜¥3,400 vs 現在 ¥2,900 = +13〜17%のアップサイド</w:t>
      </w:r>
    </w:p>
    <w:p>
      <w:pPr>
        <w:pStyle w:val="ListNumber"/>
      </w:pPr>
      <w:r>
        <w:rPr>
          <w:rFonts w:ascii="Meiryo UI" w:hAnsi="Meiryo UI"/>
          <w:sz w:val="20"/>
        </w:rPr>
        <w:t>ROE 5.4% = 現状低いが、改正需要でのオペレーティングレバレッジが収益性改善の起爆剤に</w:t>
      </w:r>
    </w:p>
    <w:p>
      <w:pPr>
        <w:pStyle w:val="ListNumber"/>
      </w:pPr>
      <w:r>
        <w:rPr>
          <w:rFonts w:ascii="Meiryo UI" w:hAnsi="Meiryo UI"/>
          <w:sz w:val="20"/>
        </w:rPr>
        <w:t>官公庁安定受注体質 = リセッション耐性が高く、ディフェンシブ性とグロースの両立</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強気シナリオ（Bull Case）— 確率30%</w:t>
      </w:r>
    </w:p>
    <w:p/>
    <w:p>
      <w:r>
        <w:rPr>
          <w:rFonts w:ascii="Meiryo UI" w:hAnsi="Meiryo UI"/>
          <w:sz w:val="20"/>
        </w:rPr>
        <w:t>前提:</w:t>
      </w:r>
    </w:p>
    <w:p>
      <w:pPr>
        <w:pStyle w:val="ListBullet"/>
      </w:pPr>
      <w:r>
        <w:rPr>
          <w:rFonts w:ascii="Meiryo UI" w:hAnsi="Meiryo UI"/>
          <w:sz w:val="20"/>
        </w:rPr>
        <w:t>水道広域化が想定より2〜3年前倒し</w:t>
      </w:r>
    </w:p>
    <w:p>
      <w:pPr>
        <w:pStyle w:val="ListBullet"/>
      </w:pPr>
      <w:r>
        <w:rPr>
          <w:rFonts w:ascii="Meiryo UI" w:hAnsi="Meiryo UI"/>
          <w:sz w:val="20"/>
        </w:rPr>
        <w:t>管路診断のDX化で単価上昇（+20%）</w:t>
      </w:r>
    </w:p>
    <w:p>
      <w:pPr>
        <w:pStyle w:val="ListBullet"/>
      </w:pPr>
      <w:r>
        <w:rPr>
          <w:rFonts w:ascii="Meiryo UI" w:hAnsi="Meiryo UI"/>
          <w:sz w:val="20"/>
        </w:rPr>
        <w:t>海外インフラODA案件の大型受注</w:t>
      </w:r>
    </w:p>
    <w:p>
      <w:pPr>
        <w:pStyle w:val="ListBullet"/>
      </w:pPr>
      <w:r>
        <w:rPr>
          <w:rFonts w:ascii="Meiryo UI" w:hAnsi="Meiryo UI"/>
          <w:sz w:val="20"/>
        </w:rPr>
        <w:t>ROE 7〜8%達成 → PBR 1.1〜1.2倍へ是正</w:t>
      </w:r>
    </w:p>
    <w:p/>
    <w:p>
      <w:pPr>
        <w:shd w:val="clear" w:color="auto" w:fill="F2F2F2"/>
      </w:pPr>
      <w:r>
        <w:rPr>
          <w:rFonts w:ascii="Courier New" w:hAnsi="Courier New"/>
          <w:sz w:val="16"/>
        </w:rPr>
        <w:t>売上成長率: +12〜15%/年（FY2026〜2028）</w:t>
        <w:br/>
        <w:t>営業利益率: 7〜8%へ改善</w:t>
        <w:br/>
        <w:t>FCF: 35〜40億円/年（FY2028）</w:t>
        <w:br/>
        <w:t>理論株価: ¥3,800〜¥4,200</w:t>
      </w:r>
    </w:p>
    <w:p/>
    <w:p>
      <w:r>
        <w:t>──────────────────────────────────────────────────</w:t>
      </w:r>
    </w:p>
    <w:p/>
    <w:p>
      <w:pPr>
        <w:pStyle w:val="Heading3"/>
      </w:pPr>
      <w:r>
        <w:rPr>
          <w:rFonts w:ascii="Meiryo UI" w:hAnsi="Meiryo UI"/>
          <w:color w:val="2E74B5"/>
        </w:rPr>
        <w:t>6-2. 基本シナリオ（Base Case）— 確率50%</w:t>
      </w:r>
    </w:p>
    <w:p/>
    <w:p>
      <w:r>
        <w:rPr>
          <w:rFonts w:ascii="Meiryo UI" w:hAnsi="Meiryo UI"/>
          <w:sz w:val="20"/>
        </w:rPr>
        <w:t>前提:</w:t>
      </w:r>
    </w:p>
    <w:p>
      <w:pPr>
        <w:pStyle w:val="ListBullet"/>
      </w:pPr>
      <w:r>
        <w:rPr>
          <w:rFonts w:ascii="Meiryo UI" w:hAnsi="Meiryo UI"/>
          <w:sz w:val="20"/>
        </w:rPr>
        <w:t>水道法改正需要が計画通り段階的に拡大</w:t>
      </w:r>
    </w:p>
    <w:p>
      <w:pPr>
        <w:pStyle w:val="ListBullet"/>
      </w:pPr>
      <w:r>
        <w:rPr>
          <w:rFonts w:ascii="Meiryo UI" w:hAnsi="Meiryo UI"/>
          <w:sz w:val="20"/>
        </w:rPr>
        <w:t>ROE 6〜7%に漸次改善</w:t>
      </w:r>
    </w:p>
    <w:p>
      <w:pPr>
        <w:pStyle w:val="ListBullet"/>
      </w:pPr>
      <w:r>
        <w:rPr>
          <w:rFonts w:ascii="Meiryo UI" w:hAnsi="Meiryo UI"/>
          <w:sz w:val="20"/>
        </w:rPr>
        <w:t>国内防災・インフラ予算の維持</w:t>
      </w:r>
    </w:p>
    <w:p/>
    <w:p>
      <w:pPr>
        <w:shd w:val="clear" w:color="auto" w:fill="F2F2F2"/>
      </w:pPr>
      <w:r>
        <w:rPr>
          <w:rFonts w:ascii="Courier New" w:hAnsi="Courier New"/>
          <w:sz w:val="16"/>
        </w:rPr>
        <w:t>売上成長率: +5〜8%/年（FY2026〜2028）</w:t>
        <w:br/>
        <w:t>営業利益率: 5.5〜6.5%</w:t>
        <w:br/>
        <w:t>FCF: 26〜32億円/年（FY2028）</w:t>
        <w:br/>
        <w:t>理論株価: ¥3,200〜¥3,500</w:t>
      </w:r>
    </w:p>
    <w:p/>
    <w:p>
      <w:r>
        <w:t>──────────────────────────────────────────────────</w:t>
      </w:r>
    </w:p>
    <w:p/>
    <w:p>
      <w:pPr>
        <w:pStyle w:val="Heading3"/>
      </w:pPr>
      <w:r>
        <w:rPr>
          <w:rFonts w:ascii="Meiryo UI" w:hAnsi="Meiryo UI"/>
          <w:color w:val="2E74B5"/>
        </w:rPr>
        <w:t>6-3. 弱気シナリオ（Bear Case）— 確率20%</w:t>
      </w:r>
    </w:p>
    <w:p/>
    <w:p>
      <w:r>
        <w:rPr>
          <w:rFonts w:ascii="Meiryo UI" w:hAnsi="Meiryo UI"/>
          <w:sz w:val="20"/>
        </w:rPr>
        <w:t>前提:</w:t>
      </w:r>
    </w:p>
    <w:p>
      <w:pPr>
        <w:pStyle w:val="ListBullet"/>
      </w:pPr>
      <w:r>
        <w:rPr>
          <w:rFonts w:ascii="Meiryo UI" w:hAnsi="Meiryo UI"/>
          <w:sz w:val="20"/>
        </w:rPr>
        <w:t>地方自治体の財政悪化で水道更新投資を延期</w:t>
      </w:r>
    </w:p>
    <w:p>
      <w:pPr>
        <w:pStyle w:val="ListBullet"/>
      </w:pPr>
      <w:r>
        <w:rPr>
          <w:rFonts w:ascii="Meiryo UI" w:hAnsi="Meiryo UI"/>
          <w:sz w:val="20"/>
        </w:rPr>
        <w:t>人件費・技術者不足による原価率悪化</w:t>
      </w:r>
    </w:p>
    <w:p>
      <w:pPr>
        <w:pStyle w:val="ListBullet"/>
      </w:pPr>
      <w:r>
        <w:rPr>
          <w:rFonts w:ascii="Meiryo UI" w:hAnsi="Meiryo UI"/>
          <w:sz w:val="20"/>
        </w:rPr>
        <w:t>競合（国際航業・パシフィックコンサルタンツ）のシェア侵食</w:t>
      </w:r>
    </w:p>
    <w:p>
      <w:pPr>
        <w:pStyle w:val="ListBullet"/>
      </w:pPr>
      <w:r>
        <w:rPr>
          <w:rFonts w:ascii="Meiryo UI" w:hAnsi="Meiryo UI"/>
          <w:sz w:val="20"/>
        </w:rPr>
        <w:t>金利上昇によるWACC上昇</w:t>
      </w:r>
    </w:p>
    <w:p/>
    <w:p>
      <w:pPr>
        <w:shd w:val="clear" w:color="auto" w:fill="F2F2F2"/>
      </w:pPr>
      <w:r>
        <w:rPr>
          <w:rFonts w:ascii="Courier New" w:hAnsi="Courier New"/>
          <w:sz w:val="16"/>
        </w:rPr>
        <w:t>売上成長率: +1〜2%/年（横ばい）</w:t>
        <w:br/>
        <w:t>営業利益率: 4〜5%</w:t>
        <w:br/>
        <w:t>FCF: 18〜22億円/年</w:t>
        <w:br/>
        <w:t>理論株価: ¥2,400〜¥2,700</w:t>
        <w:br/>
        <w:t>※ BPS ¥3,419の70%水準（¥2,393）が実質下値サポート</w:t>
      </w:r>
    </w:p>
    <w:p/>
    <w:p>
      <w:r>
        <w:t>──────────────────────────────────────────────────</w:t>
      </w:r>
    </w:p>
    <w:p/>
    <w:p>
      <w:pPr>
        <w:pStyle w:val="Heading3"/>
      </w:pPr>
      <w:r>
        <w:rPr>
          <w:rFonts w:ascii="Meiryo UI" w:hAnsi="Meiryo UI"/>
          <w:color w:val="2E74B5"/>
        </w:rPr>
        <w:t>6-4. シナリオ加重平均理論株価</w:t>
      </w:r>
    </w:p>
    <w:p/>
    <w:p>
      <w:pPr>
        <w:shd w:val="clear" w:color="auto" w:fill="F2F2F2"/>
      </w:pPr>
      <w:r>
        <w:rPr>
          <w:rFonts w:ascii="Courier New" w:hAnsi="Courier New"/>
          <w:sz w:val="16"/>
        </w:rPr>
        <w:t>加重平均 = ¥4,000 × 0.30 + ¥3,350 × 0.50 + ¥2,550 × 0.20</w:t>
        <w:br/>
        <w:t xml:space="preserve">         = ¥1,200 + ¥1,675 + ¥510</w:t>
        <w:br/>
        <w:t xml:space="preserve">         = ¥3,385</w:t>
        <w:br/>
        <w:br/>
        <w:t>加重平均目標株価: ¥3,385</w:t>
        <w:br/>
        <w:t>現在株価比:  +16.7%</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浅井速報スコア評価</w:t>
      </w:r>
    </w:p>
    <w:p/>
    <w:p>
      <w:pPr>
        <w:shd w:val="clear" w:color="auto" w:fill="F2F2F2"/>
      </w:pPr>
      <w:r>
        <w:rPr>
          <w:rFonts w:ascii="Courier New" w:hAnsi="Courier New"/>
          <w:sz w:val="16"/>
        </w:rPr>
        <w:t>浅井速報スコア: +0（BUY）</w:t>
        <w:br/>
        <w:t>浅井コメント: 国内スキャン対象外</w:t>
      </w:r>
    </w:p>
    <w:p/>
    <w:p>
      <w:r>
        <w:rPr>
          <w:rFonts w:ascii="Meiryo UI" w:hAnsi="Meiryo UI"/>
          <w:sz w:val="20"/>
        </w:rPr>
        <w:t>評価:</w:t>
      </w:r>
    </w:p>
    <w:p>
      <w:r>
        <w:rPr>
          <w:rFonts w:ascii="Meiryo UI" w:hAnsi="Meiryo UI"/>
          <w:sz w:val="20"/>
        </w:rPr>
        <w:t>浅井速報の「国内スキャン対象外」は需給・センチメント面での中立状態を示す。ただし、本ファンダメンタル分析では理論値との15%超の乖離を確認しており、スコアとファンダメンタルの間にポジティブギャップが存在する。</w:t>
      </w:r>
    </w:p>
    <w:p/>
    <w:p>
      <w:r>
        <w:t>──────────────────────────────────────────────────</w:t>
      </w:r>
    </w:p>
    <w:p/>
    <w:p>
      <w:pPr>
        <w:pStyle w:val="Heading3"/>
      </w:pPr>
      <w:r>
        <w:rPr>
          <w:rFonts w:ascii="Meiryo UI" w:hAnsi="Meiryo UI"/>
          <w:color w:val="2E74B5"/>
        </w:rPr>
        <w:t>7-2. センチメント vs 本源的価値ギャップ分析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示唆</w:t>
            </w:r>
          </w:p>
        </w:tc>
      </w:tr>
      <w:tr>
        <w:tc>
          <w:tcPr>
            <w:tcW w:type="dxa" w:w="4703"/>
          </w:tcPr>
          <w:p>
            <w:r>
              <w:rPr>
                <w:rFonts w:ascii="Meiryo UI" w:hAnsi="Meiryo UI"/>
                <w:sz w:val="18"/>
              </w:rPr>
              <w:t>PBR 0.85倍</w:t>
            </w:r>
          </w:p>
        </w:tc>
        <w:tc>
          <w:tcPr>
            <w:tcW w:type="dxa" w:w="4703"/>
          </w:tcPr>
          <w:p>
            <w:r>
              <w:rPr>
                <w:rFonts w:ascii="Meiryo UI" w:hAnsi="Meiryo UI"/>
                <w:sz w:val="18"/>
              </w:rPr>
              <w:t>市場は現状を悲観評価（解散価値割れ）</w:t>
            </w:r>
          </w:p>
        </w:tc>
      </w:tr>
      <w:tr>
        <w:tc>
          <w:tcPr>
            <w:tcW w:type="dxa" w:w="4703"/>
            <w:shd w:val="clear" w:color="auto" w:fill="DDEBF7"/>
          </w:tcPr>
          <w:p>
            <w:r>
              <w:rPr>
                <w:rFonts w:ascii="Meiryo UI" w:hAnsi="Meiryo UI"/>
                <w:sz w:val="18"/>
              </w:rPr>
              <w:t>浅井スコア +0</w:t>
            </w:r>
          </w:p>
        </w:tc>
        <w:tc>
          <w:tcPr>
            <w:tcW w:type="dxa" w:w="4703"/>
            <w:shd w:val="clear" w:color="auto" w:fill="DDEBF7"/>
          </w:tcPr>
          <w:p>
            <w:r>
              <w:rPr>
                <w:rFonts w:ascii="Meiryo UI" w:hAnsi="Meiryo UI"/>
                <w:sz w:val="18"/>
              </w:rPr>
              <w:t>需給センチメント中立（過熱なし）</w:t>
            </w:r>
          </w:p>
        </w:tc>
      </w:tr>
      <w:tr>
        <w:tc>
          <w:tcPr>
            <w:tcW w:type="dxa" w:w="4703"/>
          </w:tcPr>
          <w:p>
            <w:r>
              <w:rPr>
                <w:rFonts w:ascii="Meiryo UI" w:hAnsi="Meiryo UI"/>
                <w:sz w:val="18"/>
              </w:rPr>
              <w:t>理論株価乖離 +15.5%</w:t>
            </w:r>
          </w:p>
        </w:tc>
        <w:tc>
          <w:tcPr>
            <w:tcW w:type="dxa" w:w="4703"/>
          </w:tcPr>
          <w:p>
            <w:r>
              <w:rPr>
                <w:rFonts w:ascii="Meiryo UI" w:hAnsi="Meiryo UI"/>
                <w:sz w:val="18"/>
              </w:rPr>
              <w:t>ファンダメンタル的アップサイドは明確</w:t>
            </w:r>
          </w:p>
        </w:tc>
      </w:tr>
      <w:tr>
        <w:tc>
          <w:tcPr>
            <w:tcW w:type="dxa" w:w="4703"/>
            <w:shd w:val="clear" w:color="auto" w:fill="DDEBF7"/>
          </w:tcPr>
          <w:p>
            <w:r>
              <w:rPr>
                <w:rFonts w:ascii="Meiryo UI" w:hAnsi="Meiryo UI"/>
                <w:sz w:val="18"/>
              </w:rPr>
              <w:t>水道法改正カタリスト</w:t>
            </w:r>
          </w:p>
        </w:tc>
        <w:tc>
          <w:tcPr>
            <w:tcW w:type="dxa" w:w="4703"/>
            <w:shd w:val="clear" w:color="auto" w:fill="DDEBF7"/>
          </w:tcPr>
          <w:p>
            <w:r>
              <w:rPr>
                <w:rFonts w:ascii="Meiryo UI" w:hAnsi="Meiryo UI"/>
                <w:sz w:val="18"/>
              </w:rPr>
              <w:t>市場にまだ十分織り込まれていない可能性大</w:t>
            </w:r>
          </w:p>
        </w:tc>
      </w:tr>
    </w:tbl>
    <w:p/>
    <w:p>
      <w:r>
        <w:rPr>
          <w:rFonts w:ascii="Meiryo UI" w:hAnsi="Meiryo UI"/>
          <w:sz w:val="20"/>
        </w:rPr>
        <w:t>ギャップの原因（仮説）:</w:t>
      </w:r>
    </w:p>
    <w:p>
      <w:pPr>
        <w:pStyle w:val="ListNumber"/>
      </w:pPr>
      <w:r>
        <w:rPr>
          <w:rFonts w:ascii="Meiryo UI" w:hAnsi="Meiryo UI"/>
          <w:sz w:val="20"/>
        </w:rPr>
        <w:t>地味なセクター: 地質・地盤コンサルは機関投資家の注目度が低い（カバレッジアナリスト少）</w:t>
      </w:r>
    </w:p>
    <w:p>
      <w:pPr>
        <w:pStyle w:val="ListNumber"/>
      </w:pPr>
      <w:r>
        <w:rPr>
          <w:rFonts w:ascii="Meiryo UI" w:hAnsi="Meiryo UI"/>
          <w:sz w:val="20"/>
        </w:rPr>
        <w:t>ROE低さの表面的評価: 5.4%ROEのみで判断する投資家の売り圧力</w:t>
      </w:r>
    </w:p>
    <w:p>
      <w:pPr>
        <w:pStyle w:val="ListNumber"/>
      </w:pPr>
      <w:r>
        <w:rPr>
          <w:rFonts w:ascii="Meiryo UI" w:hAnsi="Meiryo UI"/>
          <w:sz w:val="20"/>
        </w:rPr>
        <w:t>4657環境管理センターとの比較: 環境セクターへの資金流入時、より流動性の高い銘柄に先行集中</w:t>
      </w:r>
    </w:p>
    <w:p/>
    <w:p>
      <w:r>
        <w:rPr>
          <w:rFonts w:ascii="Meiryo UI" w:hAnsi="Meiryo UI"/>
          <w:sz w:val="20"/>
        </w:rPr>
        <w:t>→ 逆張りの買い機会: 機関投資家の視野に入りにくいが、水道法改正の進捗確認で再評価が起きやすいタイミング。</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【基本エントリー戦略】</w:t>
        <w:br/>
        <w:br/>
        <w:t>ポジション構築: 分割買い（2ステップ）</w:t>
        <w:br/>
        <w:t>─────────────────────────────────────────────────</w:t>
        <w:br/>
        <w:t>Step 1: 即時エントリー（現在株価 ¥2,900）</w:t>
        <w:br/>
        <w:t xml:space="preserve">  └ 投資額の50〜60%をここで取得</w:t>
        <w:br/>
        <w:t xml:space="preserve">  └ 根拠: PBR&lt;1の下値硬直性 + 水道法改正の確実性</w:t>
        <w:br/>
        <w:t xml:space="preserve">  └ 優先度: 高</w:t>
        <w:br/>
        <w:br/>
        <w:t>Step 2: 押し目追加（¥2,650〜¥2,750ゾーン）</w:t>
        <w:br/>
        <w:t xml:space="preserve">  └ 投資額の40〜50%</w:t>
        <w:br/>
        <w:t xml:space="preserve">  └ 日経・セクター全体の調整局面を活用</w:t>
        <w:br/>
        <w:t xml:space="preserve">  └ この価格帯はBPS比▲20%水準で強力な割安ゾーン</w:t>
        <w:br/>
        <w:t>─────────────────────────────────────────────────</w:t>
        <w:br/>
        <w:br/>
        <w:t>平均取得単価想定: ¥2,750〜¥2,850</w:t>
      </w:r>
    </w:p>
    <w:p/>
    <w:p>
      <w:r>
        <w:t>──────────────────────────────────────────────────</w:t>
      </w:r>
    </w:p>
    <w:p/>
    <w:p>
      <w:pPr>
        <w:pStyle w:val="Heading3"/>
      </w:pPr>
      <w:r>
        <w:rPr>
          <w:rFonts w:ascii="Meiryo UI" w:hAnsi="Meiryo UI"/>
          <w:color w:val="2E74B5"/>
        </w:rPr>
        <w:t>8-2. 目標株価・利益確定ライン</w:t>
      </w:r>
    </w:p>
    <w:p/>
    <w:p>
      <w:pPr>
        <w:shd w:val="clear" w:color="auto" w:fill="F2F2F2"/>
      </w:pPr>
      <w:r>
        <w:rPr>
          <w:rFonts w:ascii="Courier New" w:hAnsi="Courier New"/>
          <w:sz w:val="16"/>
        </w:rPr>
        <w:t>【段階的利確プラン】</w:t>
        <w:br/>
        <w:br/>
        <w:t>第1利確ライン: ¥3,200（+10.3%）</w:t>
        <w:br/>
        <w:t xml:space="preserve">  └ 保有の25%を売却。リスクフリー化を開始。</w:t>
        <w:br/>
        <w:br/>
        <w:t>第2利確ライン: ¥3,400（+17.2%）</w:t>
        <w:br/>
        <w:t xml:space="preserve">  └ 保有の25%を売却。DCF基本値到達。</w:t>
        <w:br/>
        <w:br/>
        <w:t>最終目標ライン: ¥3,800〜¥4,000（強気シナリオ）</w:t>
        <w:br/>
        <w:t xml:space="preserve">  └ 保有の残50%は水道法改正の進捗確認後に継続保有。</w:t>
        <w:br/>
        <w:t xml:space="preserve">  └ 年次決算で売上成長率+8%超を確認できれば保有継続。</w:t>
      </w:r>
    </w:p>
    <w:p/>
    <w:p>
      <w:r>
        <w:t>──────────────────────────────────────────────────</w:t>
      </w:r>
    </w:p>
    <w:p/>
    <w:p>
      <w:pPr>
        <w:pStyle w:val="Heading3"/>
      </w:pPr>
      <w:r>
        <w:rPr>
          <w:rFonts w:ascii="Meiryo UI" w:hAnsi="Meiryo UI"/>
          <w:color w:val="2E74B5"/>
        </w:rPr>
        <w:t>8-3. 損切りライン</w:t>
      </w:r>
    </w:p>
    <w:p/>
    <w:p>
      <w:pPr>
        <w:shd w:val="clear" w:color="auto" w:fill="F2F2F2"/>
      </w:pPr>
      <w:r>
        <w:rPr>
          <w:rFonts w:ascii="Courier New" w:hAnsi="Courier New"/>
          <w:sz w:val="16"/>
        </w:rPr>
        <w:t>【損切り設定】</w:t>
        <w:br/>
        <w:br/>
        <w:t>ハード損切り: ¥2,450（現在比▲15.5%）</w:t>
        <w:br/>
        <w:t xml:space="preserve">  └ BPS ¥3,419の約72%水準</w:t>
        <w:br/>
        <w:t xml:space="preserve">  └ 弱気シナリオの下値ゾーン中央</w:t>
        <w:br/>
        <w:br/>
        <w:t>ソフト損切り（撤退検討トリガー）:</w:t>
        <w:br/>
        <w:t xml:space="preserve">  └ ① 水道法改正関連の予算が2年連続で前年比▲10%以上削減</w:t>
        <w:br/>
        <w:t xml:space="preserve">  └ ② 営業利益率が3期連続で4%を下回る</w:t>
        <w:br/>
        <w:t xml:space="preserve">  └ ③ BPS（純資産）が2期連続で減少（資産劣化）</w:t>
        <w:br/>
        <w:t xml:space="preserve">  └ ④ ROEが3%台まで低下し回復見込みなし</w:t>
      </w:r>
    </w:p>
    <w:p/>
    <w:p>
      <w:r>
        <w:t>──────────────────────────────────────────────────</w:t>
      </w:r>
    </w:p>
    <w:p/>
    <w:p>
      <w:pPr>
        <w:pStyle w:val="Heading3"/>
      </w:pPr>
      <w:r>
        <w:rPr>
          <w:rFonts w:ascii="Meiryo UI" w:hAnsi="Meiryo UI"/>
          <w:color w:val="2E74B5"/>
        </w:rPr>
        <w:t>8-4. 投資時間軸・モニタリング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時間軸</w:t>
            </w:r>
          </w:p>
        </w:tc>
        <w:tc>
          <w:tcPr>
            <w:tcW w:type="dxa" w:w="4703"/>
            <w:shd w:val="clear" w:color="auto" w:fill="2E74B5"/>
          </w:tcPr>
          <w:p>
            <w:r>
              <w:rPr>
                <w:rFonts w:ascii="Meiryo UI" w:hAnsi="Meiryo UI"/>
                <w:b/>
                <w:color w:val="FFFFFF"/>
                <w:sz w:val="18"/>
              </w:rPr>
              <w:t>アクション</w:t>
            </w:r>
          </w:p>
        </w:tc>
      </w:tr>
      <w:tr>
        <w:tc>
          <w:tcPr>
            <w:tcW w:type="dxa" w:w="4703"/>
          </w:tcPr>
          <w:p>
            <w:r>
              <w:rPr>
                <w:rFonts w:ascii="Meiryo UI" w:hAnsi="Meiryo UI"/>
                <w:sz w:val="18"/>
              </w:rPr>
              <w:t>0〜3ヶ月</w:t>
            </w:r>
          </w:p>
        </w:tc>
        <w:tc>
          <w:tcPr>
            <w:tcW w:type="dxa" w:w="4703"/>
          </w:tcPr>
          <w:p>
            <w:r>
              <w:rPr>
                <w:rFonts w:ascii="Meiryo UI" w:hAnsi="Meiryo UI"/>
                <w:sz w:val="18"/>
              </w:rPr>
              <w:t>ポジション構築。FY2026Q1決算（6〜7月）での水道関連受注動向を確認</w:t>
            </w:r>
          </w:p>
        </w:tc>
      </w:tr>
      <w:tr>
        <w:tc>
          <w:tcPr>
            <w:tcW w:type="dxa" w:w="4703"/>
            <w:shd w:val="clear" w:color="auto" w:fill="DDEBF7"/>
          </w:tcPr>
          <w:p>
            <w:r>
              <w:rPr>
                <w:rFonts w:ascii="Meiryo UI" w:hAnsi="Meiryo UI"/>
                <w:sz w:val="18"/>
              </w:rPr>
              <w:t>3〜6ヶ月</w:t>
            </w:r>
          </w:p>
        </w:tc>
        <w:tc>
          <w:tcPr>
            <w:tcW w:type="dxa" w:w="4703"/>
            <w:shd w:val="clear" w:color="auto" w:fill="DDEBF7"/>
          </w:tcPr>
          <w:p>
            <w:r>
              <w:rPr>
                <w:rFonts w:ascii="Meiryo UI" w:hAnsi="Meiryo UI"/>
                <w:sz w:val="18"/>
              </w:rPr>
              <w:t>自治体の水道広域化基本計画発注状況を官報・IR確認</w:t>
            </w:r>
          </w:p>
        </w:tc>
      </w:tr>
      <w:tr>
        <w:tc>
          <w:tcPr>
            <w:tcW w:type="dxa" w:w="4703"/>
          </w:tcPr>
          <w:p>
            <w:r>
              <w:rPr>
                <w:rFonts w:ascii="Meiryo UI" w:hAnsi="Meiryo UI"/>
                <w:sz w:val="18"/>
              </w:rPr>
              <w:t>6〜12ヶ月</w:t>
            </w:r>
          </w:p>
        </w:tc>
        <w:tc>
          <w:tcPr>
            <w:tcW w:type="dxa" w:w="4703"/>
          </w:tcPr>
          <w:p>
            <w:r>
              <w:rPr>
                <w:rFonts w:ascii="Meiryo UI" w:hAnsi="Meiryo UI"/>
                <w:sz w:val="18"/>
              </w:rPr>
              <w:t>年次決算での売上成長率・営業利益率改善を確認。目標¥3,350到達で一部利確</w:t>
            </w:r>
          </w:p>
        </w:tc>
      </w:tr>
      <w:tr>
        <w:tc>
          <w:tcPr>
            <w:tcW w:type="dxa" w:w="4703"/>
            <w:shd w:val="clear" w:color="auto" w:fill="DDEBF7"/>
          </w:tcPr>
          <w:p>
            <w:r>
              <w:rPr>
                <w:rFonts w:ascii="Meiryo UI" w:hAnsi="Meiryo UI"/>
                <w:sz w:val="18"/>
              </w:rPr>
              <w:t>12〜36ヶ月</w:t>
            </w:r>
          </w:p>
        </w:tc>
        <w:tc>
          <w:tcPr>
            <w:tcW w:type="dxa" w:w="4703"/>
            <w:shd w:val="clear" w:color="auto" w:fill="DDEBF7"/>
          </w:tcPr>
          <w:p>
            <w:r>
              <w:rPr>
                <w:rFonts w:ascii="Meiryo UI" w:hAnsi="Meiryo UI"/>
                <w:sz w:val="18"/>
              </w:rPr>
              <w:t>水道更新本格フェーズ（2027〜2028）での業績加速を確認しながら段階利確</w:t>
            </w:r>
          </w:p>
        </w:tc>
      </w:tr>
    </w:tbl>
    <w:p/>
    <w:p>
      <w:r>
        <w:t>──────────────────────────────────────────────────</w:t>
      </w:r>
    </w:p>
    <w:p/>
    <w:p>
      <w:pPr>
        <w:pStyle w:val="Heading3"/>
      </w:pPr>
      <w:r>
        <w:rPr>
          <w:rFonts w:ascii="Meiryo UI" w:hAnsi="Meiryo UI"/>
          <w:color w:val="2E74B5"/>
        </w:rPr>
        <w:t>8-5. 4657（環境管理センター）との比較ポートフォリオ配分</w:t>
      </w:r>
    </w:p>
    <w:p/>
    <w:p>
      <w:pPr>
        <w:shd w:val="clear" w:color="auto" w:fill="F2F2F2"/>
      </w:pPr>
      <w:r>
        <w:rPr>
          <w:rFonts w:ascii="Courier New" w:hAnsi="Courier New"/>
          <w:sz w:val="16"/>
        </w:rPr>
        <w:t>社長指示: 4657環境管理センターと同軸で検証</w:t>
        <w:br/>
        <w:br/>
        <w:t>深井推奨:</w:t>
        <w:br/>
        <w:t xml:space="preserve">  9755（応用地質）: ウェイト 60〜65%</w:t>
        <w:br/>
        <w:t xml:space="preserve">    └ 技術的希少性高・上流工程・価格決定力◎</w:t>
        <w:br/>
        <w:t xml:space="preserve">  4657（環境管理センター）: ウェイト 35〜40%</w:t>
        <w:br/>
        <w:t xml:space="preserve">    └ 下流工程での安定受注・配当利回りで補完</w:t>
        <w:br/>
        <w:t xml:space="preserve">    └ ただし競合多く単価競争リスクに注意</w:t>
        <w:br/>
        <w:br/>
        <w:t>理由: 水道法改正の恩恵を上流（地盤・構造調査）と</w:t>
        <w:br/>
        <w:t xml:space="preserve">     下流（水質検査・モニタリング）の両面でカバー。</w:t>
        <w:br/>
        <w:t xml:space="preserve">     但し純度・質では9755が優れるため傾斜配分を推奨。</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前提整理</w:t>
      </w:r>
    </w:p>
    <w:p/>
    <w:p>
      <w:pPr>
        <w:shd w:val="clear" w:color="auto" w:fill="F2F2F2"/>
      </w:pPr>
      <w:r>
        <w:rPr>
          <w:rFonts w:ascii="Courier New" w:hAnsi="Courier New"/>
          <w:sz w:val="16"/>
        </w:rPr>
        <w:t>ベースケース:</w:t>
        <w:br/>
        <w:t xml:space="preserve">  Rf = 2.386%, β = 0.75, ERP = 5.5%</w:t>
        <w:br/>
        <w:t xml:space="preserve">  Re = 2.386% + 0.75 × 5.5% = 6.511%</w:t>
        <w:br/>
        <w:t xml:space="preserve">  WACC = 5.692% ≒ 5.70%</w:t>
        <w:br/>
        <w:t xml:space="preserve">  g（永続成長率）= 1.50%</w:t>
        <w:br/>
        <w:t xml:space="preserve">  ベース理論株価 = ¥3,300</w:t>
      </w:r>
    </w:p>
    <w:p/>
    <w:p>
      <w:r>
        <w:t>──────────────────────────────────────────────────</w:t>
      </w:r>
    </w:p>
    <w:p/>
    <w:p>
      <w:pPr>
        <w:pStyle w:val="Heading3"/>
      </w:pPr>
      <w:r>
        <w:rPr>
          <w:rFonts w:ascii="Meiryo UI" w:hAnsi="Meiryo UI"/>
          <w:color w:val="2E74B5"/>
        </w:rPr>
        <w:t>9-2. 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5.511%</w:t>
            </w:r>
          </w:p>
        </w:tc>
        <w:tc>
          <w:tcPr>
            <w:tcW w:type="dxa" w:w="1568"/>
          </w:tcPr>
          <w:p>
            <w:r>
              <w:rPr>
                <w:rFonts w:ascii="Meiryo UI" w:hAnsi="Meiryo UI"/>
                <w:sz w:val="18"/>
              </w:rPr>
              <w:t>4.817%</w:t>
            </w:r>
          </w:p>
        </w:tc>
        <w:tc>
          <w:tcPr>
            <w:tcW w:type="dxa" w:w="1568"/>
          </w:tcPr>
          <w:p>
            <w:r>
              <w:rPr>
                <w:rFonts w:ascii="Meiryo UI" w:hAnsi="Meiryo UI"/>
                <w:sz w:val="18"/>
              </w:rPr>
              <w:t>¥4,050</w:t>
            </w:r>
          </w:p>
        </w:tc>
        <w:tc>
          <w:tcPr>
            <w:tcW w:type="dxa" w:w="1568"/>
          </w:tcPr>
          <w:p>
            <w:r>
              <w:rPr>
                <w:rFonts w:ascii="Meiryo UI" w:hAnsi="Meiryo UI"/>
                <w:sz w:val="18"/>
              </w:rPr>
              <w:t>+39.7%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6.011%</w:t>
            </w:r>
          </w:p>
        </w:tc>
        <w:tc>
          <w:tcPr>
            <w:tcW w:type="dxa" w:w="1568"/>
            <w:shd w:val="clear" w:color="auto" w:fill="DDEBF7"/>
          </w:tcPr>
          <w:p>
            <w:r>
              <w:rPr>
                <w:rFonts w:ascii="Meiryo UI" w:hAnsi="Meiryo UI"/>
                <w:sz w:val="18"/>
              </w:rPr>
              <w:t>5.258%</w:t>
            </w:r>
          </w:p>
        </w:tc>
        <w:tc>
          <w:tcPr>
            <w:tcW w:type="dxa" w:w="1568"/>
            <w:shd w:val="clear" w:color="auto" w:fill="DDEBF7"/>
          </w:tcPr>
          <w:p>
            <w:r>
              <w:rPr>
                <w:rFonts w:ascii="Meiryo UI" w:hAnsi="Meiryo UI"/>
                <w:sz w:val="18"/>
              </w:rPr>
              <w:t>¥3,680</w:t>
            </w:r>
          </w:p>
        </w:tc>
        <w:tc>
          <w:tcPr>
            <w:tcW w:type="dxa" w:w="1568"/>
            <w:shd w:val="clear" w:color="auto" w:fill="DDEBF7"/>
          </w:tcPr>
          <w:p>
            <w:r>
              <w:rPr>
                <w:rFonts w:ascii="Meiryo UI" w:hAnsi="Meiryo UI"/>
                <w:sz w:val="18"/>
              </w:rPr>
              <w:t>+26.9%</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6.261%</w:t>
            </w:r>
          </w:p>
        </w:tc>
        <w:tc>
          <w:tcPr>
            <w:tcW w:type="dxa" w:w="1568"/>
          </w:tcPr>
          <w:p>
            <w:r>
              <w:rPr>
                <w:rFonts w:ascii="Meiryo UI" w:hAnsi="Meiryo UI"/>
                <w:sz w:val="18"/>
              </w:rPr>
              <w:t>5.475%</w:t>
            </w:r>
          </w:p>
        </w:tc>
        <w:tc>
          <w:tcPr>
            <w:tcW w:type="dxa" w:w="1568"/>
          </w:tcPr>
          <w:p>
            <w:r>
              <w:rPr>
                <w:rFonts w:ascii="Meiryo UI" w:hAnsi="Meiryo UI"/>
                <w:sz w:val="18"/>
              </w:rPr>
              <w:t>¥3,480</w:t>
            </w:r>
          </w:p>
        </w:tc>
        <w:tc>
          <w:tcPr>
            <w:tcW w:type="dxa" w:w="1568"/>
          </w:tcPr>
          <w:p>
            <w:r>
              <w:rPr>
                <w:rFonts w:ascii="Meiryo UI" w:hAnsi="Meiryo UI"/>
                <w:sz w:val="18"/>
              </w:rPr>
              <w:t>+20.0%</w:t>
            </w:r>
          </w:p>
        </w:tc>
      </w:tr>
      <w:tr>
        <w:tc>
          <w:tcPr>
            <w:tcW w:type="dxa" w:w="1568"/>
            <w:shd w:val="clear" w:color="auto" w:fill="DDEBF7"/>
          </w:tcPr>
          <w:p>
            <w:r>
              <w:rPr>
                <w:rFonts w:ascii="Meiryo UI" w:hAnsi="Meiryo UI"/>
                <w:sz w:val="18"/>
              </w:rPr>
              <w:t>▶ Rf ベース ◀</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6.511%</w:t>
            </w:r>
          </w:p>
        </w:tc>
        <w:tc>
          <w:tcPr>
            <w:tcW w:type="dxa" w:w="1568"/>
            <w:shd w:val="clear" w:color="auto" w:fill="DDEBF7"/>
          </w:tcPr>
          <w:p>
            <w:r>
              <w:rPr>
                <w:rFonts w:ascii="Meiryo UI" w:hAnsi="Meiryo UI"/>
                <w:sz w:val="18"/>
              </w:rPr>
              <w:t>5.692%</w:t>
            </w:r>
          </w:p>
        </w:tc>
        <w:tc>
          <w:tcPr>
            <w:tcW w:type="dxa" w:w="1568"/>
            <w:shd w:val="clear" w:color="auto" w:fill="DDEBF7"/>
          </w:tcPr>
          <w:p>
            <w:r>
              <w:rPr>
                <w:rFonts w:ascii="Meiryo UI" w:hAnsi="Meiryo UI"/>
                <w:sz w:val="18"/>
              </w:rPr>
              <w:t>¥3,300</w:t>
            </w:r>
          </w:p>
        </w:tc>
        <w:tc>
          <w:tcPr>
            <w:tcW w:type="dxa" w:w="1568"/>
            <w:shd w:val="clear" w:color="auto" w:fill="DDEBF7"/>
          </w:tcPr>
          <w:p>
            <w:r>
              <w:rPr>
                <w:rFonts w:ascii="Meiryo UI" w:hAnsi="Meiryo UI"/>
                <w:sz w:val="18"/>
              </w:rPr>
              <w:t>+13.8%</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6.761%</w:t>
            </w:r>
          </w:p>
        </w:tc>
        <w:tc>
          <w:tcPr>
            <w:tcW w:type="dxa" w:w="1568"/>
          </w:tcPr>
          <w:p>
            <w:r>
              <w:rPr>
                <w:rFonts w:ascii="Meiryo UI" w:hAnsi="Meiryo UI"/>
                <w:sz w:val="18"/>
              </w:rPr>
              <w:t>5.909%</w:t>
            </w:r>
          </w:p>
        </w:tc>
        <w:tc>
          <w:tcPr>
            <w:tcW w:type="dxa" w:w="1568"/>
          </w:tcPr>
          <w:p>
            <w:r>
              <w:rPr>
                <w:rFonts w:ascii="Meiryo UI" w:hAnsi="Meiryo UI"/>
                <w:sz w:val="18"/>
              </w:rPr>
              <w:t>¥3,130</w:t>
            </w:r>
          </w:p>
        </w:tc>
        <w:tc>
          <w:tcPr>
            <w:tcW w:type="dxa" w:w="1568"/>
          </w:tcPr>
          <w:p>
            <w:r>
              <w:rPr>
                <w:rFonts w:ascii="Meiryo UI" w:hAnsi="Meiryo UI"/>
                <w:sz w:val="18"/>
              </w:rPr>
              <w:t>+7.9%</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7.011%</w:t>
            </w:r>
          </w:p>
        </w:tc>
        <w:tc>
          <w:tcPr>
            <w:tcW w:type="dxa" w:w="1568"/>
            <w:shd w:val="clear" w:color="auto" w:fill="DDEBF7"/>
          </w:tcPr>
          <w:p>
            <w:r>
              <w:rPr>
                <w:rFonts w:ascii="Meiryo UI" w:hAnsi="Meiryo UI"/>
                <w:sz w:val="18"/>
              </w:rPr>
              <w:t>6.125%</w:t>
            </w:r>
          </w:p>
        </w:tc>
        <w:tc>
          <w:tcPr>
            <w:tcW w:type="dxa" w:w="1568"/>
            <w:shd w:val="clear" w:color="auto" w:fill="DDEBF7"/>
          </w:tcPr>
          <w:p>
            <w:r>
              <w:rPr>
                <w:rFonts w:ascii="Meiryo UI" w:hAnsi="Meiryo UI"/>
                <w:sz w:val="18"/>
              </w:rPr>
              <w:t>¥2,970</w:t>
            </w:r>
          </w:p>
        </w:tc>
        <w:tc>
          <w:tcPr>
            <w:tcW w:type="dxa" w:w="1568"/>
            <w:shd w:val="clear" w:color="auto" w:fill="DDEBF7"/>
          </w:tcPr>
          <w:p>
            <w:r>
              <w:rPr>
                <w:rFonts w:ascii="Meiryo UI" w:hAnsi="Meiryo UI"/>
                <w:sz w:val="18"/>
              </w:rPr>
              <w:t>+2.4%</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7.511%</w:t>
            </w:r>
          </w:p>
        </w:tc>
        <w:tc>
          <w:tcPr>
            <w:tcW w:type="dxa" w:w="1568"/>
          </w:tcPr>
          <w:p>
            <w:r>
              <w:rPr>
                <w:rFonts w:ascii="Meiryo UI" w:hAnsi="Meiryo UI"/>
                <w:sz w:val="18"/>
              </w:rPr>
              <w:t>6.558%</w:t>
            </w:r>
          </w:p>
        </w:tc>
        <w:tc>
          <w:tcPr>
            <w:tcW w:type="dxa" w:w="1568"/>
          </w:tcPr>
          <w:p>
            <w:r>
              <w:rPr>
                <w:rFonts w:ascii="Meiryo UI" w:hAnsi="Meiryo UI"/>
                <w:sz w:val="18"/>
              </w:rPr>
              <w:t>¥2,680</w:t>
            </w:r>
          </w:p>
        </w:tc>
        <w:tc>
          <w:tcPr>
            <w:tcW w:type="dxa" w:w="1568"/>
          </w:tcPr>
          <w:p>
            <w:r>
              <w:rPr>
                <w:rFonts w:ascii="Meiryo UI" w:hAnsi="Meiryo UI"/>
                <w:sz w:val="18"/>
              </w:rPr>
              <w:t>▲7.6%</w:t>
            </w:r>
          </w:p>
        </w:tc>
      </w:tr>
    </w:tbl>
    <w:p/>
    <w:p>
      <w:r>
        <w:rPr>
          <w:rFonts w:ascii="Meiryo UI" w:hAnsi="Meiryo UI"/>
          <w:sz w:val="20"/>
        </w:rPr>
        <w:t>計算補足:</w:t>
      </w:r>
    </w:p>
    <w:p>
      <w:pPr>
        <w:shd w:val="clear" w:color="auto" w:fill="F2F2F2"/>
      </w:pPr>
      <w:r>
        <w:rPr>
          <w:rFonts w:ascii="Courier New" w:hAnsi="Courier New"/>
          <w:sz w:val="16"/>
        </w:rPr>
        <w:t>各WACCでの計算式:</w:t>
        <w:br/>
        <w:t xml:space="preserve">  理論株価 = (FCF5年分PV + TV現在価値 + ネットキャッシュ) ÷ 発行済株数</w:t>
        <w:br/>
        <w:br/>
        <w:t>TV = FCF_t+1 / (WACC - g)</w:t>
        <w:br/>
        <w:t xml:space="preserve">   WACCが上がるほどTVが圧縮され理論株価が低下</w:t>
        <w:br/>
        <w:br/>
        <w:t>例: Rf=3.386%時（+1.00%シナリオ）</w:t>
        <w:br/>
        <w:t xml:space="preserve">  WACC = 6.558%</w:t>
        <w:br/>
        <w:t xml:space="preserve">  TV = 35.1 / (0.06558 - 0.015) = 35.1 / 0.05058 = ¥694億円</w:t>
        <w:br/>
        <w:t xml:space="preserve">  EV = 115 + 694 × 0.7271 + 30 = ¥650億円</w:t>
        <w:br/>
        <w:t xml:space="preserve">  理論株価 ≒ ¥650億 ÷ 780万株 ≒ ¥2,680</w:t>
      </w:r>
    </w:p>
    <w:p/>
    <w:p>
      <w:r>
        <w:t>──────────────────────────────────────────────────</w:t>
      </w:r>
    </w:p>
    <w:p/>
    <w:p>
      <w:pPr>
        <w:pStyle w:val="Heading3"/>
      </w:pPr>
      <w:r>
        <w:rPr>
          <w:rFonts w:ascii="Meiryo UI" w:hAnsi="Meiryo UI"/>
          <w:color w:val="2E74B5"/>
        </w:rPr>
        <w:t>9-3. 感応度チャート（テキスト表現）</w:t>
      </w:r>
    </w:p>
    <w:p/>
    <w:p>
      <w:pPr>
        <w:shd w:val="clear" w:color="auto" w:fill="F2F2F2"/>
      </w:pPr>
      <w:r>
        <w:rPr>
          <w:rFonts w:ascii="Courier New" w:hAnsi="Courier New"/>
          <w:sz w:val="16"/>
        </w:rPr>
        <w:t>理論株価（円）</w:t>
        <w:br/>
        <w:t>¥4,500 |</w:t>
        <w:br/>
        <w:t>¥4,000 |      ●（Rf-1.00% → ¥4,050）</w:t>
        <w:br/>
        <w:t>¥3,500 |           ●（Rf-0.50% → ¥3,680）</w:t>
        <w:br/>
        <w:t xml:space="preserve">       |                ●（Rf-0.25% → ¥3,480）</w:t>
        <w:br/>
        <w:t>¥3,300 |                     ◆（ベース → ¥3,300）  ← 現在株価 ¥2,900</w:t>
        <w:br/>
        <w:t xml:space="preserve">       |                          ●（Rf+0.25% → ¥3,130）</w:t>
        <w:br/>
        <w:t>¥3,000 |                               ●（Rf+0.50% → ¥2,970）</w:t>
        <w:br/>
        <w:t>¥2,700 |                                    ●（Rf+1.00% → ¥2,680）</w:t>
        <w:br/>
        <w:t xml:space="preserve">       |────────────────────────────────────────────────────</w:t>
        <w:br/>
        <w:t xml:space="preserve">                Rf 低い ←────────────────────→ Rf 高い</w:t>
      </w:r>
    </w:p>
    <w:p/>
    <w:p>
      <w:r>
        <w:t>──────────────────────────────────────────────────</w:t>
      </w:r>
    </w:p>
    <w:p/>
    <w:p>
      <w:pPr>
        <w:pStyle w:val="Heading3"/>
      </w:pPr>
      <w:r>
        <w:rPr>
          <w:rFonts w:ascii="Meiryo UI" w:hAnsi="Meiryo UI"/>
          <w:color w:val="2E74B5"/>
        </w:rPr>
        <w:t>9-4. 金利感応度の含意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局面</w:t>
            </w:r>
          </w:p>
        </w:tc>
        <w:tc>
          <w:tcPr>
            <w:tcW w:type="dxa" w:w="3135"/>
            <w:shd w:val="clear" w:color="auto" w:fill="2E74B5"/>
          </w:tcPr>
          <w:p>
            <w:r>
              <w:rPr>
                <w:rFonts w:ascii="Meiryo UI" w:hAnsi="Meiryo UI"/>
                <w:b/>
                <w:color w:val="FFFFFF"/>
                <w:sz w:val="18"/>
              </w:rPr>
              <w:t>WACC</w:t>
            </w:r>
          </w:p>
        </w:tc>
        <w:tc>
          <w:tcPr>
            <w:tcW w:type="dxa" w:w="3135"/>
            <w:shd w:val="clear" w:color="auto" w:fill="2E74B5"/>
          </w:tcPr>
          <w:p>
            <w:r>
              <w:rPr>
                <w:rFonts w:ascii="Meiryo UI" w:hAnsi="Meiryo UI"/>
                <w:b/>
                <w:color w:val="FFFFFF"/>
                <w:sz w:val="18"/>
              </w:rPr>
              <w:t>投資判断</w:t>
            </w:r>
          </w:p>
        </w:tc>
      </w:tr>
      <w:tr>
        <w:tc>
          <w:tcPr>
            <w:tcW w:type="dxa" w:w="3135"/>
          </w:tcPr>
          <w:p>
            <w:r>
              <w:rPr>
                <w:rFonts w:ascii="Meiryo UI" w:hAnsi="Meiryo UI"/>
                <w:sz w:val="18"/>
              </w:rPr>
              <w:t>日銀利上げ停止・長期金利低下（Rf-0.50%以上）</w:t>
            </w:r>
          </w:p>
        </w:tc>
        <w:tc>
          <w:tcPr>
            <w:tcW w:type="dxa" w:w="3135"/>
          </w:tcPr>
          <w:p>
            <w:r>
              <w:rPr>
                <w:rFonts w:ascii="Meiryo UI" w:hAnsi="Meiryo UI"/>
                <w:sz w:val="18"/>
              </w:rPr>
              <w:t>&lt;5.3%</w:t>
            </w:r>
          </w:p>
        </w:tc>
        <w:tc>
          <w:tcPr>
            <w:tcW w:type="dxa" w:w="3135"/>
          </w:tcPr>
          <w:p>
            <w:r>
              <w:rPr>
                <w:rFonts w:ascii="Meiryo UI" w:hAnsi="Meiryo UI"/>
                <w:sz w:val="18"/>
              </w:rPr>
              <w:t>強い買い（理論値+27%以上）</w:t>
            </w:r>
          </w:p>
        </w:tc>
      </w:tr>
      <w:tr>
        <w:tc>
          <w:tcPr>
            <w:tcW w:type="dxa" w:w="3135"/>
            <w:shd w:val="clear" w:color="auto" w:fill="DDEBF7"/>
          </w:tcPr>
          <w:p>
            <w:r>
              <w:rPr>
                <w:rFonts w:ascii="Meiryo UI" w:hAnsi="Meiryo UI"/>
                <w:sz w:val="18"/>
              </w:rPr>
              <w:t>現状維持（Rf=2.386%）</w:t>
            </w:r>
          </w:p>
        </w:tc>
        <w:tc>
          <w:tcPr>
            <w:tcW w:type="dxa" w:w="3135"/>
            <w:shd w:val="clear" w:color="auto" w:fill="DDEBF7"/>
          </w:tcPr>
          <w:p>
            <w:r>
              <w:rPr>
                <w:rFonts w:ascii="Meiryo UI" w:hAnsi="Meiryo UI"/>
                <w:sz w:val="18"/>
              </w:rPr>
              <w:t>5.70%</w:t>
            </w:r>
          </w:p>
        </w:tc>
        <w:tc>
          <w:tcPr>
            <w:tcW w:type="dxa" w:w="3135"/>
            <w:shd w:val="clear" w:color="auto" w:fill="DDEBF7"/>
          </w:tcPr>
          <w:p>
            <w:r>
              <w:rPr>
                <w:rFonts w:ascii="Meiryo UI" w:hAnsi="Meiryo UI"/>
                <w:sz w:val="18"/>
              </w:rPr>
              <w:t>買い（理論値+14%）</w:t>
            </w:r>
          </w:p>
        </w:tc>
      </w:tr>
      <w:tr>
        <w:tc>
          <w:tcPr>
            <w:tcW w:type="dxa" w:w="3135"/>
          </w:tcPr>
          <w:p>
            <w:r>
              <w:rPr>
                <w:rFonts w:ascii="Meiryo UI" w:hAnsi="Meiryo UI"/>
                <w:sz w:val="18"/>
              </w:rPr>
              <w:t>小幅追加利上げ（Rf+0.50%）</w:t>
            </w:r>
          </w:p>
        </w:tc>
        <w:tc>
          <w:tcPr>
            <w:tcW w:type="dxa" w:w="3135"/>
          </w:tcPr>
          <w:p>
            <w:r>
              <w:rPr>
                <w:rFonts w:ascii="Meiryo UI" w:hAnsi="Meiryo UI"/>
                <w:sz w:val="18"/>
              </w:rPr>
              <w:t>6.13%</w:t>
            </w:r>
          </w:p>
        </w:tc>
        <w:tc>
          <w:tcPr>
            <w:tcW w:type="dxa" w:w="3135"/>
          </w:tcPr>
          <w:p>
            <w:r>
              <w:rPr>
                <w:rFonts w:ascii="Meiryo UI" w:hAnsi="Meiryo UI"/>
                <w:sz w:val="18"/>
              </w:rPr>
              <w:t>弱い買い〜中立（理論値+2%)</w:t>
            </w:r>
          </w:p>
        </w:tc>
      </w:tr>
      <w:tr>
        <w:tc>
          <w:tcPr>
            <w:tcW w:type="dxa" w:w="3135"/>
            <w:shd w:val="clear" w:color="auto" w:fill="DDEBF7"/>
          </w:tcPr>
          <w:p>
            <w:r>
              <w:rPr>
                <w:rFonts w:ascii="Meiryo UI" w:hAnsi="Meiryo UI"/>
                <w:sz w:val="18"/>
              </w:rPr>
              <w:t>大幅利上げ（Rf+1.00%超）</w:t>
            </w:r>
          </w:p>
        </w:tc>
        <w:tc>
          <w:tcPr>
            <w:tcW w:type="dxa" w:w="3135"/>
            <w:shd w:val="clear" w:color="auto" w:fill="DDEBF7"/>
          </w:tcPr>
          <w:p>
            <w:r>
              <w:rPr>
                <w:rFonts w:ascii="Meiryo UI" w:hAnsi="Meiryo UI"/>
                <w:sz w:val="18"/>
              </w:rPr>
              <w:t>&gt;6.6%</w:t>
            </w:r>
          </w:p>
        </w:tc>
        <w:tc>
          <w:tcPr>
            <w:tcW w:type="dxa" w:w="3135"/>
            <w:shd w:val="clear" w:color="auto" w:fill="DDEBF7"/>
          </w:tcPr>
          <w:p>
            <w:r>
              <w:rPr>
                <w:rFonts w:ascii="Meiryo UI" w:hAnsi="Meiryo UI"/>
                <w:sz w:val="18"/>
              </w:rPr>
              <w:t>中立〜様子見（理論値に逆鞘リスク）</w:t>
            </w:r>
          </w:p>
        </w:tc>
      </w:tr>
    </w:tbl>
    <w:p/>
    <w:p>
      <w:r>
        <w:rPr>
          <w:rFonts w:ascii="Meiryo UI" w:hAnsi="Meiryo UI"/>
          <w:sz w:val="20"/>
        </w:rPr>
        <w:t>深井コメント:</w:t>
      </w:r>
    </w:p>
    <w:p>
      <w:r>
        <w:rPr>
          <w:rFonts w:ascii="Meiryo UI" w:hAnsi="Meiryo UI"/>
          <w:sz w:val="20"/>
        </w:rPr>
        <w:t>&gt; Rf+1.00%シナリオ（JGB10年利回り3.386%）でも理論株価は¥2,680であり、現在株価¥2,900との差はわずか▲7.6%。PBR&lt;1の構造的下値支持（BPS¥3,419）を考えれば、金利急騰でさえも下値リスクは限定的。逆に金利低下・現状維持局面では+14〜28%の上昇余地が存在する。非対称なリスク・リターン構造が投資魅力の核心。</w:t>
      </w:r>
    </w:p>
    <w:p/>
    <w:p>
      <w:r>
        <w:t>──────────────────────────────────────────────────</w:t>
      </w:r>
    </w:p>
    <w:p/>
    <w:p>
      <w:pPr>
        <w:pStyle w:val="Heading2"/>
      </w:pPr>
      <w:r>
        <w:rPr>
          <w:rFonts w:ascii="Meiryo UI" w:hAnsi="Meiryo UI"/>
          <w:color w:val="2E74B5"/>
        </w:rPr>
        <w:t>総括</w:t>
      </w:r>
    </w:p>
    <w:p/>
    <w:p>
      <w:pPr>
        <w:shd w:val="clear" w:color="auto" w:fill="F2F2F2"/>
      </w:pPr>
      <w:r>
        <w:rPr>
          <w:rFonts w:ascii="Courier New" w:hAnsi="Courier New"/>
          <w:sz w:val="16"/>
        </w:rPr>
        <w:t>╔════════════════════════════════════════════════════════════════╗</w:t>
        <w:br/>
        <w:t>║  応用地質（9755.T） 投資判断サマリー                             ║</w:t>
        <w:br/>
        <w:t>╠════════════════════════════════════════════════════════════════╣</w:t>
        <w:br/>
        <w:t>║  現在株価:          ¥2,900                                       ║</w:t>
        <w:br/>
        <w:t>║  DCF理論株価:       ¥3,300（基本） / ¥3,385（加重平均）           ║</w:t>
        <w:br/>
        <w:t>║  12ヶ月目標株価:    ¥3,350                                       ║</w:t>
        <w:br/>
        <w:t>║  期待トータルリターン: +17〜18%                                   ║</w:t>
        <w:br/>
        <w:t>║  投資判断:          【買い（BUY）】                               ║</w:t>
        <w:br/>
        <w:t>║  損切りライン:      ¥2,450（▲15.5%）                            ║</w:t>
        <w:br/>
        <w:t>║  最大リスク:        地方財政悪化による水道投資延期                 ║</w:t>
        <w:br/>
        <w:t>║  最大カタリスト:    水道広域化基本計画発注の前倒し加速             ║</w:t>
        <w:br/>
        <w:t>╠════════════════════════════════════════════════════════════════╣</w:t>
        <w:br/>
        <w:t>║  社長指示への回答:                                               ║</w:t>
        <w:br/>
        <w:t>║  「水道法改正受益の純度は4657より高い。9755は上流工程の           ║</w:t>
        <w:br/>
        <w:t>║   ゲートキーパーとして価格決定力を保持。3〜5年の業績波及は       ║</w:t>
        <w:br/>
        <w:t>║   売上+15〜20%、ROE5.4%→7%改善シナリオが現実的。               ║</w:t>
        <w:br/>
        <w:t>║   ポートフォリオでは9755を主軸（60〜65%）、4657を補完            ║</w:t>
        <w:br/>
        <w:t>║   （35〜40%）とする傾斜配分を推奨する。」                        ║</w:t>
        <w:br/>
        <w:t>╚════════════════════════════════════════════════════════════════╝</w:t>
      </w:r>
    </w:p>
    <w:p/>
    <w:p>
      <w:r>
        <w:t>──────────────────────────────────────────────────</w:t>
      </w:r>
    </w:p>
    <w:p/>
    <w:p>
      <w:r>
        <w:rPr>
          <w:rFonts w:ascii="Meiryo UI" w:hAnsi="Meiryo UI"/>
          <w:sz w:val="20"/>
        </w:rPr>
        <w:t>本レポートは竹村トレードカンパニー内部資料です。投資判断は最終的に各自の責任において行ってください。財務数値は公開情報および指定リアルタイムデータを使用していますが、将来の業績を保証するものではありません。</w:t>
      </w:r>
    </w:p>
    <w:p/>
    <w:p>
      <w:r>
        <w:rPr>
          <w:rFonts w:ascii="Meiryo UI" w:hAnsi="Meiryo UI"/>
          <w:sz w:val="20"/>
        </w:rPr>
        <w:t>アナリスト: 深井 | 竹村トレードカンパニー | 2026-04-07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04:36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9755_応用地質_BUY_DeepResearch_20260407.md を出力しました。</w:t>
      </w:r>
    </w:p>
    <w:p>
      <w:r>
        <w:rPr>
          <w:rFonts w:ascii="Meiryo UI" w:hAnsi="Meiryo UI"/>
          <w:sz w:val="20"/>
        </w:rPr>
        <w:t>浅井スコア +0 の銘柄 [9755]応用地質 についてDeepResearch完了。</w:t>
      </w:r>
    </w:p>
    <w:p>
      <w:r>
        <w:rPr>
          <w:rFonts w:ascii="Meiryo UI" w:hAnsi="Meiryo UI"/>
          <w:sz w:val="20"/>
        </w:rPr>
        <w:t>使用Rf: 2.386%（取得: 2026-04-07 04:36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