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[9843] ニトリHD</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[9843] ニトリHD</w:t>
      </w:r>
    </w:p>
    <w:p>
      <w:r>
        <w:rPr>
          <w:rFonts w:ascii="Meiryo UI" w:hAnsi="Meiryo UI"/>
          <w:sz w:val="20"/>
        </w:rPr>
        <w:t>作成日: 2026-04-05  |  アナリスト: 深井  |  分類: BUY</w:t>
      </w:r>
    </w:p>
    <w:p>
      <w:r>
        <w:rPr>
          <w:rFonts w:ascii="Meiryo UI" w:hAnsi="Meiryo UI"/>
          <w:sz w:val="20"/>
        </w:rPr>
        <w:t>浅井スコア: +75  |  ソース: TDnet + 公開情報 + 浅井マスターDB</w:t>
      </w:r>
    </w:p>
    <w:p/>
    <w:p>
      <w:r>
        <w:t>──────────────────────────────────────────────────</w:t>
      </w:r>
    </w:p>
    <w:p/>
    <w:p>
      <w:pPr>
        <w:pStyle w:val="Heading1"/>
      </w:pPr>
      <w:r>
        <w:rPr>
          <w:rFonts w:ascii="Meiryo UI" w:hAnsi="Meiryo UI"/>
          <w:color w:val="1F3864"/>
        </w:rPr>
        <w:t>ニトリHD（9843）DeepResearch レポート</w:t>
      </w:r>
    </w:p>
    <w:p/>
    <w:p>
      <w:r>
        <w:rPr>
          <w:rFonts w:ascii="Meiryo UI" w:hAnsi="Meiryo UI"/>
          <w:sz w:val="20"/>
        </w:rPr>
        <w:t>作成者: 深井 アナリスト｜竹村トレードカンパニー</w:t>
      </w:r>
    </w:p>
    <w:p>
      <w:r>
        <w:rPr>
          <w:rFonts w:ascii="Meiryo UI" w:hAnsi="Meiryo UI"/>
          <w:sz w:val="20"/>
        </w:rPr>
        <w:t>分析日: 2026年4月5日</w:t>
      </w:r>
    </w:p>
    <w:p>
      <w:r>
        <w:rPr>
          <w:rFonts w:ascii="Meiryo UI" w:hAnsi="Meiryo UI"/>
          <w:sz w:val="20"/>
        </w:rPr>
        <w:t>トリガー: 浅井スキャン — RSI 21.3極値・逆張りスコア +75（BUY）</w:t>
      </w:r>
    </w:p>
    <w:p>
      <w:r>
        <w:rPr>
          <w:rFonts w:ascii="Meiryo UI" w:hAnsi="Meiryo UI"/>
          <w:sz w:val="20"/>
        </w:rPr>
        <w:t>Rf（絶対固定値）: 2.380%（JGB10Y、社長確認値、2026-04-05 17:45 JST）</w:t>
      </w:r>
    </w:p>
    <w:p/>
    <w:p>
      <w:r>
        <w:t>──────────────────────────────────────────────────</w:t>
      </w:r>
    </w:p>
    <w:p/>
    <w:p>
      <w:r>
        <w:rPr>
          <w:rFonts w:ascii="Meiryo UI" w:hAnsi="Meiryo UI"/>
          <w:sz w:val="20"/>
        </w:rPr>
        <w:t>&gt; ⚠️ 免責事項: 本レポートは公開情報・業界知識に基づく推計分析です。投資判断は自己責任でお願いします。</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【社長指示最優先】円安リスクと構造的下落トレンドの継続性評価</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株式会社ニトリホールディングス</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9843（東証プライム）</w:t>
            </w:r>
          </w:p>
        </w:tc>
      </w:tr>
      <w:tr>
        <w:tc>
          <w:tcPr>
            <w:tcW w:type="dxa" w:w="4703"/>
          </w:tcPr>
          <w:p>
            <w:r>
              <w:rPr>
                <w:rFonts w:ascii="Meiryo UI" w:hAnsi="Meiryo UI"/>
                <w:sz w:val="18"/>
              </w:rPr>
              <w:t>業種</w:t>
            </w:r>
          </w:p>
        </w:tc>
        <w:tc>
          <w:tcPr>
            <w:tcW w:type="dxa" w:w="4703"/>
          </w:tcPr>
          <w:p>
            <w:r>
              <w:rPr>
                <w:rFonts w:ascii="Meiryo UI" w:hAnsi="Meiryo UI"/>
                <w:sz w:val="18"/>
              </w:rPr>
              <w:t>小売業（家具・インテリア）</w:t>
            </w:r>
          </w:p>
        </w:tc>
      </w:tr>
      <w:tr>
        <w:tc>
          <w:tcPr>
            <w:tcW w:type="dxa" w:w="4703"/>
            <w:shd w:val="clear" w:color="auto" w:fill="DDEBF7"/>
          </w:tcPr>
          <w:p>
            <w:r>
              <w:rPr>
                <w:rFonts w:ascii="Meiryo UI" w:hAnsi="Meiryo UI"/>
                <w:sz w:val="18"/>
              </w:rPr>
              <w:t>時価総額（概算）</w:t>
            </w:r>
          </w:p>
        </w:tc>
        <w:tc>
          <w:tcPr>
            <w:tcW w:type="dxa" w:w="4703"/>
            <w:shd w:val="clear" w:color="auto" w:fill="DDEBF7"/>
          </w:tcPr>
          <w:p>
            <w:r>
              <w:rPr>
                <w:rFonts w:ascii="Meiryo UI" w:hAnsi="Meiryo UI"/>
                <w:sz w:val="18"/>
              </w:rPr>
              <w:t>約1.5〜1.7兆円（分析時点推計）</w:t>
            </w:r>
          </w:p>
        </w:tc>
      </w:tr>
      <w:tr>
        <w:tc>
          <w:tcPr>
            <w:tcW w:type="dxa" w:w="4703"/>
          </w:tcPr>
          <w:p>
            <w:r>
              <w:rPr>
                <w:rFonts w:ascii="Meiryo UI" w:hAnsi="Meiryo UI"/>
                <w:sz w:val="18"/>
              </w:rPr>
              <w:t>株価（参照ベース）</w:t>
            </w:r>
          </w:p>
        </w:tc>
        <w:tc>
          <w:tcPr>
            <w:tcW w:type="dxa" w:w="4703"/>
          </w:tcPr>
          <w:p>
            <w:r>
              <w:rPr>
                <w:rFonts w:ascii="Meiryo UI" w:hAnsi="Meiryo UI"/>
                <w:sz w:val="18"/>
              </w:rPr>
              <w:t>約13,000〜14,500円レンジ（推計）</w:t>
            </w:r>
          </w:p>
        </w:tc>
      </w:tr>
      <w:tr>
        <w:tc>
          <w:tcPr>
            <w:tcW w:type="dxa" w:w="4703"/>
            <w:shd w:val="clear" w:color="auto" w:fill="DDEBF7"/>
          </w:tcPr>
          <w:p>
            <w:r>
              <w:rPr>
                <w:rFonts w:ascii="Meiryo UI" w:hAnsi="Meiryo UI"/>
                <w:sz w:val="18"/>
              </w:rPr>
              <w:t>配当方針</w:t>
            </w:r>
          </w:p>
        </w:tc>
        <w:tc>
          <w:tcPr>
            <w:tcW w:type="dxa" w:w="4703"/>
            <w:shd w:val="clear" w:color="auto" w:fill="DDEBF7"/>
          </w:tcPr>
          <w:p>
            <w:r>
              <w:rPr>
                <w:rFonts w:ascii="Meiryo UI" w:hAnsi="Meiryo UI"/>
                <w:sz w:val="18"/>
              </w:rPr>
              <w:t>増配継続・配当性向30%前後</w:t>
            </w:r>
          </w:p>
        </w:tc>
      </w:tr>
      <w:tr>
        <w:tc>
          <w:tcPr>
            <w:tcW w:type="dxa" w:w="4703"/>
          </w:tcPr>
          <w:p>
            <w:r>
              <w:rPr>
                <w:rFonts w:ascii="Meiryo UI" w:hAnsi="Meiryo UI"/>
                <w:sz w:val="18"/>
              </w:rPr>
              <w:t>設立</w:t>
            </w:r>
          </w:p>
        </w:tc>
        <w:tc>
          <w:tcPr>
            <w:tcW w:type="dxa" w:w="4703"/>
          </w:tcPr>
          <w:p>
            <w:r>
              <w:rPr>
                <w:rFonts w:ascii="Meiryo UI" w:hAnsi="Meiryo UI"/>
                <w:sz w:val="18"/>
              </w:rPr>
              <w:t>1967年（創業）、2008年HD化</w:t>
            </w:r>
          </w:p>
        </w:tc>
      </w:tr>
    </w:tbl>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ニトリHD 事業構造</w:t>
        <w:br/>
        <w:t>├── [主力] ニトリ事業（家具・寝具・インテリア・家電）</w:t>
        <w:br/>
        <w:t>│   ├── 国内店舗：約950店舗（2025年度末推計）</w:t>
        <w:br/>
        <w:t>│   ├── EC（オンラインストア）</w:t>
        <w:br/>
        <w:t>│   └── 海外：台湾・中国・米国（Crate &amp; Barrel子会社）</w:t>
        <w:br/>
        <w:t>├── [成長] 島忠（ホームセンター）</w:t>
        <w:br/>
        <w:t>│   └── 2021年完全子会社化、ニトリ業態転換進行中</w:t>
        <w:br/>
        <w:t>└── [新規] Crate and Barrel（米国高価格帯）</w:t>
        <w:br/>
        <w:t xml:space="preserve">    └── 2022年買収、上位所得層向けブランド</w:t>
      </w:r>
    </w:p>
    <w:p/>
    <w:p>
      <w:r>
        <w:rPr>
          <w:rFonts w:ascii="Meiryo UI" w:hAnsi="Meiryo UI"/>
          <w:sz w:val="20"/>
        </w:rPr>
        <w:t>収益構造の核心： ニトリのビジネスモデルは「製造小売（SPA）」の極致。商品企画→製造（主に海外委託）→物流→販売を垂直統合。これが競合優位の本質であると同時に為替リスクの震源地でもある。</w:t>
      </w:r>
    </w:p>
    <w:p/>
    <w:p>
      <w:pPr>
        <w:pStyle w:val="Heading3"/>
      </w:pPr>
      <w:r>
        <w:rPr>
          <w:rFonts w:ascii="Meiryo UI" w:hAnsi="Meiryo UI"/>
          <w:color w:val="2E74B5"/>
        </w:rPr>
        <w:t>1-3. 競合優位性（ポジティブ面）</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価格競争力</w:t>
            </w:r>
          </w:p>
        </w:tc>
        <w:tc>
          <w:tcPr>
            <w:tcW w:type="dxa" w:w="4703"/>
          </w:tcPr>
          <w:p>
            <w:r>
              <w:rPr>
                <w:rFonts w:ascii="Meiryo UI" w:hAnsi="Meiryo UI"/>
                <w:sz w:val="18"/>
              </w:rPr>
              <w:t>SPA構造により同品質比30〜40%のコスト優位（推計）</w:t>
            </w:r>
          </w:p>
        </w:tc>
      </w:tr>
      <w:tr>
        <w:tc>
          <w:tcPr>
            <w:tcW w:type="dxa" w:w="4703"/>
            <w:shd w:val="clear" w:color="auto" w:fill="DDEBF7"/>
          </w:tcPr>
          <w:p>
            <w:r>
              <w:rPr>
                <w:rFonts w:ascii="Meiryo UI" w:hAnsi="Meiryo UI"/>
                <w:sz w:val="18"/>
              </w:rPr>
              <w:t>スケール</w:t>
            </w:r>
          </w:p>
        </w:tc>
        <w:tc>
          <w:tcPr>
            <w:tcW w:type="dxa" w:w="4703"/>
            <w:shd w:val="clear" w:color="auto" w:fill="DDEBF7"/>
          </w:tcPr>
          <w:p>
            <w:r>
              <w:rPr>
                <w:rFonts w:ascii="Meiryo UI" w:hAnsi="Meiryo UI"/>
                <w:sz w:val="18"/>
              </w:rPr>
              <w:t>国内家具・インテリア市場シェア推計15〜20%、圧倒的1位</w:t>
            </w:r>
          </w:p>
        </w:tc>
      </w:tr>
      <w:tr>
        <w:tc>
          <w:tcPr>
            <w:tcW w:type="dxa" w:w="4703"/>
          </w:tcPr>
          <w:p>
            <w:r>
              <w:rPr>
                <w:rFonts w:ascii="Meiryo UI" w:hAnsi="Meiryo UI"/>
                <w:sz w:val="18"/>
              </w:rPr>
              <w:t>サプライチェーン</w:t>
            </w:r>
          </w:p>
        </w:tc>
        <w:tc>
          <w:tcPr>
            <w:tcW w:type="dxa" w:w="4703"/>
          </w:tcPr>
          <w:p>
            <w:r>
              <w:rPr>
                <w:rFonts w:ascii="Meiryo UI" w:hAnsi="Meiryo UI"/>
                <w:sz w:val="18"/>
              </w:rPr>
              <w:t>東南アジア・中国工場との長期契約・自社物流網</w:t>
            </w:r>
          </w:p>
        </w:tc>
      </w:tr>
      <w:tr>
        <w:tc>
          <w:tcPr>
            <w:tcW w:type="dxa" w:w="4703"/>
            <w:shd w:val="clear" w:color="auto" w:fill="DDEBF7"/>
          </w:tcPr>
          <w:p>
            <w:r>
              <w:rPr>
                <w:rFonts w:ascii="Meiryo UI" w:hAnsi="Meiryo UI"/>
                <w:sz w:val="18"/>
              </w:rPr>
              <w:t>ブランド認知</w:t>
            </w:r>
          </w:p>
        </w:tc>
        <w:tc>
          <w:tcPr>
            <w:tcW w:type="dxa" w:w="4703"/>
            <w:shd w:val="clear" w:color="auto" w:fill="DDEBF7"/>
          </w:tcPr>
          <w:p>
            <w:r>
              <w:rPr>
                <w:rFonts w:ascii="Meiryo UI" w:hAnsi="Meiryo UI"/>
                <w:sz w:val="18"/>
              </w:rPr>
              <w:t>「お、ねだん以上。」ポジション確立、NPS高水準</w:t>
            </w:r>
          </w:p>
        </w:tc>
      </w:tr>
      <w:tr>
        <w:tc>
          <w:tcPr>
            <w:tcW w:type="dxa" w:w="4703"/>
          </w:tcPr>
          <w:p>
            <w:r>
              <w:rPr>
                <w:rFonts w:ascii="Meiryo UI" w:hAnsi="Meiryo UI"/>
                <w:sz w:val="18"/>
              </w:rPr>
              <w:t>財務健全性</w:t>
            </w:r>
          </w:p>
        </w:tc>
        <w:tc>
          <w:tcPr>
            <w:tcW w:type="dxa" w:w="4703"/>
          </w:tcPr>
          <w:p>
            <w:r>
              <w:rPr>
                <w:rFonts w:ascii="Meiryo UI" w:hAnsi="Meiryo UI"/>
                <w:sz w:val="18"/>
              </w:rPr>
              <w:t>有利子負債少なく自己資本比率高水準（後述）</w:t>
            </w:r>
          </w:p>
        </w:tc>
      </w:tr>
    </w:tbl>
    <w:p/>
    <w:p>
      <w:pPr>
        <w:pStyle w:val="Heading3"/>
      </w:pPr>
      <w:r>
        <w:rPr>
          <w:rFonts w:ascii="Meiryo UI" w:hAnsi="Meiryo UI"/>
          <w:color w:val="2E74B5"/>
        </w:rPr>
        <w:t>1-4. 直近カタリスト（2025〜2026年）</w:t>
      </w:r>
    </w:p>
    <w:p/>
    <w:p>
      <w:r>
        <w:rPr>
          <w:rFonts w:ascii="Meiryo UI" w:hAnsi="Meiryo UI"/>
          <w:sz w:val="20"/>
        </w:rPr>
        <w:t>ポジティブ:</w:t>
      </w:r>
    </w:p>
    <w:p>
      <w:pPr>
        <w:pStyle w:val="ListBullet"/>
      </w:pPr>
      <w:r>
        <w:rPr>
          <w:rFonts w:ascii="Meiryo UI" w:hAnsi="Meiryo UI"/>
          <w:sz w:val="20"/>
        </w:rPr>
        <w:t>島忠店舗のニトリ業態転換（収益性改善余地）</w:t>
      </w:r>
    </w:p>
    <w:p>
      <w:pPr>
        <w:pStyle w:val="ListBullet"/>
      </w:pPr>
      <w:r>
        <w:rPr>
          <w:rFonts w:ascii="Meiryo UI" w:hAnsi="Meiryo UI"/>
          <w:sz w:val="20"/>
        </w:rPr>
        <w:t>EC比率拡大（物流コスト効率化）</w:t>
      </w:r>
    </w:p>
    <w:p>
      <w:pPr>
        <w:pStyle w:val="ListBullet"/>
      </w:pPr>
      <w:r>
        <w:rPr>
          <w:rFonts w:ascii="Meiryo UI" w:hAnsi="Meiryo UI"/>
          <w:sz w:val="20"/>
        </w:rPr>
        <w:t>インバウンド需要（一部恩恵）</w:t>
      </w:r>
    </w:p>
    <w:p>
      <w:pPr>
        <w:pStyle w:val="ListBullet"/>
      </w:pPr>
      <w:r>
        <w:rPr>
          <w:rFonts w:ascii="Meiryo UI" w:hAnsi="Meiryo UI"/>
          <w:sz w:val="20"/>
        </w:rPr>
        <w:t>住宅着工件数の底打ち期待</w:t>
      </w:r>
    </w:p>
    <w:p/>
    <w:p>
      <w:r>
        <w:rPr>
          <w:rFonts w:ascii="Meiryo UI" w:hAnsi="Meiryo UI"/>
          <w:sz w:val="20"/>
        </w:rPr>
        <w:t>ネガティブ（重要）:</w:t>
      </w:r>
    </w:p>
    <w:p>
      <w:pPr>
        <w:pStyle w:val="ListBullet"/>
      </w:pPr>
      <w:r>
        <w:rPr>
          <w:rFonts w:ascii="Meiryo UI" w:hAnsi="Meiryo UI"/>
          <w:sz w:val="20"/>
        </w:rPr>
        <w:t>円安長期化：調達コスト急増（後述・最重要リスク）</w:t>
      </w:r>
    </w:p>
    <w:p>
      <w:pPr>
        <w:pStyle w:val="ListBullet"/>
      </w:pPr>
      <w:r>
        <w:rPr>
          <w:rFonts w:ascii="Meiryo UI" w:hAnsi="Meiryo UI"/>
          <w:sz w:val="20"/>
        </w:rPr>
        <w:t>国内消費の節約志向強化（矛盾するがニトリには追い風の側面も）</w:t>
      </w:r>
    </w:p>
    <w:p>
      <w:pPr>
        <w:pStyle w:val="ListBullet"/>
      </w:pPr>
      <w:r>
        <w:rPr>
          <w:rFonts w:ascii="Meiryo UI" w:hAnsi="Meiryo UI"/>
          <w:sz w:val="20"/>
        </w:rPr>
        <w:t>米国Crate &amp; Barrel統合コスト</w:t>
      </w:r>
    </w:p>
    <w:p>
      <w:pPr>
        <w:pStyle w:val="ListBullet"/>
      </w:pPr>
      <w:r>
        <w:rPr>
          <w:rFonts w:ascii="Meiryo UI" w:hAnsi="Meiryo UI"/>
          <w:sz w:val="20"/>
        </w:rPr>
        <w:t>競合激化（IKEA・EC専業・ホームセンター各社）</w:t>
      </w:r>
    </w:p>
    <w:p/>
    <w:p>
      <w:r>
        <w:t>──────────────────────────────────────────────────</w:t>
      </w:r>
    </w:p>
    <w:p/>
    <w:p>
      <w:pPr>
        <w:pStyle w:val="Heading2"/>
      </w:pPr>
      <w:r>
        <w:rPr>
          <w:rFonts w:ascii="Meiryo UI" w:hAnsi="Meiryo UI"/>
          <w:color w:val="2E74B5"/>
        </w:rPr>
        <w:t>2. 【社長指示最優先】円安リスクと構造的下落トレンドの継続性評価</w:t>
      </w:r>
    </w:p>
    <w:p/>
    <w:p>
      <w:r>
        <w:rPr>
          <w:rFonts w:ascii="Meiryo UI" w:hAnsi="Meiryo UI"/>
          <w:sz w:val="20"/>
        </w:rPr>
        <w:t>&gt; 社長指示: 「浅井suggestion +75逆張り。円安リスクと構造的下落トレンドの継続性を冷静に判断」</w:t>
      </w:r>
    </w:p>
    <w:p/>
    <w:p>
      <w:pPr>
        <w:pStyle w:val="Heading3"/>
      </w:pPr>
      <w:r>
        <w:rPr>
          <w:rFonts w:ascii="Meiryo UI" w:hAnsi="Meiryo UI"/>
          <w:color w:val="2E74B5"/>
        </w:rPr>
        <w:t>2-1. 円安リスクの定量的インパクト分析</w:t>
      </w:r>
    </w:p>
    <w:p/>
    <w:p>
      <w:r>
        <w:rPr>
          <w:rFonts w:ascii="Meiryo UI" w:hAnsi="Meiryo UI"/>
          <w:sz w:val="20"/>
        </w:rPr>
        <w:t>ニトリの為替エクスポージャーは業界最高水準である。これはSPAモデルの宿命だ。</w:t>
      </w:r>
    </w:p>
    <w:p/>
    <w:p>
      <w:pPr>
        <w:pStyle w:val="Heading4"/>
      </w:pPr>
      <w:r>
        <w:rPr>
          <w:rFonts w:ascii="Meiryo UI" w:hAnsi="Meiryo UI"/>
          <w:color w:val="2E74B5"/>
        </w:rPr>
        <w:t>調達通貨構造（推計）</w:t>
      </w:r>
    </w:p>
    <w:p/>
    <w:p>
      <w:pPr>
        <w:shd w:val="clear" w:color="auto" w:fill="F2F2F2"/>
      </w:pPr>
      <w:r>
        <w:rPr>
          <w:rFonts w:ascii="Courier New" w:hAnsi="Courier New"/>
          <w:sz w:val="16"/>
        </w:rPr>
        <w:t>海外調達比率：約85〜90%（推計）</w:t>
        <w:br/>
        <w:t xml:space="preserve">  ├── USD建て決済：約40〜45%</w:t>
        <w:br/>
        <w:t xml:space="preserve">  ├── 人民元（CNY）建て：約35〜40%</w:t>
        <w:br/>
        <w:t xml:space="preserve">  └── その他（VND・THB等）：約10〜15%</w:t>
        <w:br/>
        <w:br/>
        <w:t>ヘッジ方針：一部為替予約（通常6〜12ヶ月先物）</w:t>
        <w:br/>
        <w:t xml:space="preserve">          ただし全量ヘッジは行わない方針</w:t>
      </w:r>
    </w:p>
    <w:p/>
    <w:p>
      <w:pPr>
        <w:pStyle w:val="Heading4"/>
      </w:pPr>
      <w:r>
        <w:rPr>
          <w:rFonts w:ascii="Meiryo UI" w:hAnsi="Meiryo UI"/>
          <w:color w:val="2E74B5"/>
        </w:rPr>
        <w:t>為替感応度（1円の円安が営業利益に与える影響）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USD/JPY変動</w:t>
            </w:r>
          </w:p>
        </w:tc>
        <w:tc>
          <w:tcPr>
            <w:tcW w:type="dxa" w:w="3135"/>
            <w:shd w:val="clear" w:color="auto" w:fill="2E74B5"/>
          </w:tcPr>
          <w:p>
            <w:r>
              <w:rPr>
                <w:rFonts w:ascii="Meiryo UI" w:hAnsi="Meiryo UI"/>
                <w:b/>
                <w:color w:val="FFFFFF"/>
                <w:sz w:val="18"/>
              </w:rPr>
              <w:t>売上原価への影響（推計）</w:t>
            </w:r>
          </w:p>
        </w:tc>
        <w:tc>
          <w:tcPr>
            <w:tcW w:type="dxa" w:w="3135"/>
            <w:shd w:val="clear" w:color="auto" w:fill="2E74B5"/>
          </w:tcPr>
          <w:p>
            <w:r>
              <w:rPr>
                <w:rFonts w:ascii="Meiryo UI" w:hAnsi="Meiryo UI"/>
                <w:b/>
                <w:color w:val="FFFFFF"/>
                <w:sz w:val="18"/>
              </w:rPr>
              <w:t>営業利益への影響（推計）</w:t>
            </w:r>
          </w:p>
        </w:tc>
      </w:tr>
      <w:tr>
        <w:tc>
          <w:tcPr>
            <w:tcW w:type="dxa" w:w="3135"/>
          </w:tcPr>
          <w:p>
            <w:r>
              <w:rPr>
                <w:rFonts w:ascii="Meiryo UI" w:hAnsi="Meiryo UI"/>
                <w:sz w:val="18"/>
              </w:rPr>
              <w:t>1円の円安</w:t>
            </w:r>
          </w:p>
        </w:tc>
        <w:tc>
          <w:tcPr>
            <w:tcW w:type="dxa" w:w="3135"/>
          </w:tcPr>
          <w:p>
            <w:r>
              <w:rPr>
                <w:rFonts w:ascii="Meiryo UI" w:hAnsi="Meiryo UI"/>
                <w:sz w:val="18"/>
              </w:rPr>
              <w:t>+約30〜40億円のコスト増</w:t>
            </w:r>
          </w:p>
        </w:tc>
        <w:tc>
          <w:tcPr>
            <w:tcW w:type="dxa" w:w="3135"/>
          </w:tcPr>
          <w:p>
            <w:r>
              <w:rPr>
                <w:rFonts w:ascii="Meiryo UI" w:hAnsi="Meiryo UI"/>
                <w:sz w:val="18"/>
              </w:rPr>
              <w:t>▲約20〜30億円</w:t>
            </w:r>
          </w:p>
        </w:tc>
      </w:tr>
      <w:tr>
        <w:tc>
          <w:tcPr>
            <w:tcW w:type="dxa" w:w="3135"/>
            <w:shd w:val="clear" w:color="auto" w:fill="DDEBF7"/>
          </w:tcPr>
          <w:p>
            <w:r>
              <w:rPr>
                <w:rFonts w:ascii="Meiryo UI" w:hAnsi="Meiryo UI"/>
                <w:sz w:val="18"/>
              </w:rPr>
              <w:t>10円の円安</w:t>
            </w:r>
          </w:p>
        </w:tc>
        <w:tc>
          <w:tcPr>
            <w:tcW w:type="dxa" w:w="3135"/>
            <w:shd w:val="clear" w:color="auto" w:fill="DDEBF7"/>
          </w:tcPr>
          <w:p>
            <w:r>
              <w:rPr>
                <w:rFonts w:ascii="Meiryo UI" w:hAnsi="Meiryo UI"/>
                <w:sz w:val="18"/>
              </w:rPr>
              <w:t>+約300〜400億円のコスト増</w:t>
            </w:r>
          </w:p>
        </w:tc>
        <w:tc>
          <w:tcPr>
            <w:tcW w:type="dxa" w:w="3135"/>
            <w:shd w:val="clear" w:color="auto" w:fill="DDEBF7"/>
          </w:tcPr>
          <w:p>
            <w:r>
              <w:rPr>
                <w:rFonts w:ascii="Meiryo UI" w:hAnsi="Meiryo UI"/>
                <w:sz w:val="18"/>
              </w:rPr>
              <w:t>▲約200〜300億円</w:t>
            </w:r>
          </w:p>
        </w:tc>
      </w:tr>
      <w:tr>
        <w:tc>
          <w:tcPr>
            <w:tcW w:type="dxa" w:w="3135"/>
          </w:tcPr>
          <w:p>
            <w:r>
              <w:rPr>
                <w:rFonts w:ascii="Meiryo UI" w:hAnsi="Meiryo UI"/>
                <w:sz w:val="18"/>
              </w:rPr>
              <w:t>現在（155円仮定）vs 2022年前（110円）</w:t>
            </w:r>
          </w:p>
        </w:tc>
        <w:tc>
          <w:tcPr>
            <w:tcW w:type="dxa" w:w="3135"/>
          </w:tcPr>
          <w:p>
            <w:r>
              <w:rPr>
                <w:rFonts w:ascii="Meiryo UI" w:hAnsi="Meiryo UI"/>
                <w:sz w:val="18"/>
              </w:rPr>
              <w:t>約45円差異</w:t>
            </w:r>
          </w:p>
        </w:tc>
        <w:tc>
          <w:tcPr>
            <w:tcW w:type="dxa" w:w="3135"/>
          </w:tcPr>
          <w:p>
            <w:r>
              <w:rPr>
                <w:rFonts w:ascii="Meiryo UI" w:hAnsi="Meiryo UI"/>
                <w:sz w:val="18"/>
              </w:rPr>
              <w:t>累積▲約900〜1,350億円相当</w:t>
            </w:r>
          </w:p>
        </w:tc>
      </w:tr>
    </w:tbl>
    <w:p/>
    <w:p>
      <w:r>
        <w:rPr>
          <w:rFonts w:ascii="Meiryo UI" w:hAnsi="Meiryo UI"/>
          <w:sz w:val="20"/>
        </w:rPr>
        <w:t>&gt; 深井コメント: ニトリ自身が過去の決算説明資料で「1円の円安で約30億円の営業利益影響」と開示している。これを基準とすると、USD/JPYが140円→155円に動いた場合だけで約450億円の利益が吹き飛ぶ計算になる。これは営業利益の20〜25%に相当する重大なインパクトだ。</w:t>
      </w:r>
    </w:p>
    <w:p/>
    <w:p>
      <w:pPr>
        <w:pStyle w:val="Heading4"/>
      </w:pPr>
      <w:r>
        <w:rPr>
          <w:rFonts w:ascii="Meiryo UI" w:hAnsi="Meiryo UI"/>
          <w:color w:val="2E74B5"/>
        </w:rPr>
        <w:t>円安の現状認識（2026年4月時点）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USD/JPY水準</w:t>
            </w:r>
          </w:p>
        </w:tc>
        <w:tc>
          <w:tcPr>
            <w:tcW w:type="dxa" w:w="3135"/>
            <w:shd w:val="clear" w:color="auto" w:fill="2E74B5"/>
          </w:tcPr>
          <w:p>
            <w:r>
              <w:rPr>
                <w:rFonts w:ascii="Meiryo UI" w:hAnsi="Meiryo UI"/>
                <w:b/>
                <w:color w:val="FFFFFF"/>
                <w:sz w:val="18"/>
              </w:rPr>
              <w:t>確率（深井推計）</w:t>
            </w:r>
          </w:p>
        </w:tc>
      </w:tr>
      <w:tr>
        <w:tc>
          <w:tcPr>
            <w:tcW w:type="dxa" w:w="3135"/>
          </w:tcPr>
          <w:p>
            <w:r>
              <w:rPr>
                <w:rFonts w:ascii="Meiryo UI" w:hAnsi="Meiryo UI"/>
                <w:sz w:val="18"/>
              </w:rPr>
              <w:t>円高回帰（日銀利上げ加速）</w:t>
            </w:r>
          </w:p>
        </w:tc>
        <w:tc>
          <w:tcPr>
            <w:tcW w:type="dxa" w:w="3135"/>
          </w:tcPr>
          <w:p>
            <w:r>
              <w:rPr>
                <w:rFonts w:ascii="Meiryo UI" w:hAnsi="Meiryo UI"/>
                <w:sz w:val="18"/>
              </w:rPr>
              <w:t>130〜140円</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現状維持（レンジ）</w:t>
            </w:r>
          </w:p>
        </w:tc>
        <w:tc>
          <w:tcPr>
            <w:tcW w:type="dxa" w:w="3135"/>
            <w:shd w:val="clear" w:color="auto" w:fill="DDEBF7"/>
          </w:tcPr>
          <w:p>
            <w:r>
              <w:rPr>
                <w:rFonts w:ascii="Meiryo UI" w:hAnsi="Meiryo UI"/>
                <w:sz w:val="18"/>
              </w:rPr>
              <w:t>145〜155円</w:t>
            </w:r>
          </w:p>
        </w:tc>
        <w:tc>
          <w:tcPr>
            <w:tcW w:type="dxa" w:w="3135"/>
            <w:shd w:val="clear" w:color="auto" w:fill="DDEBF7"/>
          </w:tcPr>
          <w:p>
            <w:r>
              <w:rPr>
                <w:rFonts w:ascii="Meiryo UI" w:hAnsi="Meiryo UI"/>
                <w:sz w:val="18"/>
              </w:rPr>
              <w:t>45%</w:t>
            </w:r>
          </w:p>
        </w:tc>
      </w:tr>
      <w:tr>
        <w:tc>
          <w:tcPr>
            <w:tcW w:type="dxa" w:w="3135"/>
          </w:tcPr>
          <w:p>
            <w:r>
              <w:rPr>
                <w:rFonts w:ascii="Meiryo UI" w:hAnsi="Meiryo UI"/>
                <w:sz w:val="18"/>
              </w:rPr>
              <w:t>円安継続・深化</w:t>
            </w:r>
          </w:p>
        </w:tc>
        <w:tc>
          <w:tcPr>
            <w:tcW w:type="dxa" w:w="3135"/>
          </w:tcPr>
          <w:p>
            <w:r>
              <w:rPr>
                <w:rFonts w:ascii="Meiryo UI" w:hAnsi="Meiryo UI"/>
                <w:sz w:val="18"/>
              </w:rPr>
              <w:t>155〜165円超</w:t>
            </w:r>
          </w:p>
        </w:tc>
        <w:tc>
          <w:tcPr>
            <w:tcW w:type="dxa" w:w="3135"/>
          </w:tcPr>
          <w:p>
            <w:r>
              <w:rPr>
                <w:rFonts w:ascii="Meiryo UI" w:hAnsi="Meiryo UI"/>
                <w:sz w:val="18"/>
              </w:rPr>
              <w:t>35%</w:t>
            </w:r>
          </w:p>
        </w:tc>
      </w:tr>
    </w:tbl>
    <w:p/>
    <w:p>
      <w:r>
        <w:rPr>
          <w:rFonts w:ascii="Meiryo UI" w:hAnsi="Meiryo UI"/>
          <w:sz w:val="20"/>
        </w:rPr>
        <w:t>深井の見立て： 日米金利差は依然として大きく、米国がインフレを完全制圧するまでドル高圧力は続く。日銀の追加利上げが円高要因となるが、そのペースは緩慢。円安は「一時的リスク」ではなく「構造的コスト負担」として少なくとも1〜2年は継続する可能性が高い。</w:t>
      </w:r>
    </w:p>
    <w:p/>
    <w:p>
      <w:r>
        <w:t>──────────────────────────────────────────────────</w:t>
      </w:r>
    </w:p>
    <w:p/>
    <w:p>
      <w:pPr>
        <w:pStyle w:val="Heading3"/>
      </w:pPr>
      <w:r>
        <w:rPr>
          <w:rFonts w:ascii="Meiryo UI" w:hAnsi="Meiryo UI"/>
          <w:color w:val="2E74B5"/>
        </w:rPr>
        <w:t>2-2. 構造的下落トレンドの継続性評価</w:t>
      </w:r>
    </w:p>
    <w:p/>
    <w:p>
      <w:pPr>
        <w:pStyle w:val="Heading4"/>
      </w:pPr>
      <w:r>
        <w:rPr>
          <w:rFonts w:ascii="Meiryo UI" w:hAnsi="Meiryo UI"/>
          <w:color w:val="2E74B5"/>
        </w:rPr>
        <w:t>株価チャート分析（テクニカル）</w:t>
      </w:r>
    </w:p>
    <w:p/>
    <w:p>
      <w:pPr>
        <w:shd w:val="clear" w:color="auto" w:fill="F2F2F2"/>
      </w:pPr>
      <w:r>
        <w:rPr>
          <w:rFonts w:ascii="Courier New" w:hAnsi="Courier New"/>
          <w:sz w:val="16"/>
        </w:rPr>
        <w:t>ニトリHD 株価推移イメージ（推計）</w:t>
        <w:br/>
        <w:t xml:space="preserve"> </w:t>
        <w:br/>
        <w:t xml:space="preserve"> 24,000 ─── [2021年高値ゾーン] ピーク形成</w:t>
        <w:br/>
        <w:t xml:space="preserve">             ↘</w:t>
        <w:br/>
        <w:t xml:space="preserve"> 20,000        ↘ [2022〜2023：円安・コスト増で下落]</w:t>
        <w:br/>
        <w:t xml:space="preserve">                ↘</w:t>
        <w:br/>
        <w:t xml:space="preserve"> 16,000            ↘ [2024〜2025：戻り売り圧力]</w:t>
        <w:br/>
        <w:t xml:space="preserve">                    ↘</w:t>
        <w:br/>
        <w:t xml:space="preserve"> 13,000                 ←【現在推計】RSI 21.3</w:t>
        <w:br/>
        <w:t xml:space="preserve"> </w:t>
        <w:br/>
        <w:t>主要サポートライン：</w:t>
        <w:br/>
        <w:t xml:space="preserve"> ・13,000円：心理的節目・過去安値圏</w:t>
        <w:br/>
        <w:t xml:space="preserve"> ・12,000〜12,500円：より強いサポート（2019〜2020年水準）</w:t>
        <w:br/>
        <w:t xml:space="preserve"> ・10,500〜11,000円：リーマン後回復基点（極端シナリオ）</w:t>
      </w:r>
    </w:p>
    <w:p/>
    <w:p>
      <w:pPr>
        <w:pStyle w:val="Heading4"/>
      </w:pPr>
      <w:r>
        <w:rPr>
          <w:rFonts w:ascii="Meiryo UI" w:hAnsi="Meiryo UI"/>
          <w:color w:val="2E74B5"/>
        </w:rPr>
        <w:t>構造的下落の3要因分析</w:t>
      </w:r>
    </w:p>
    <w:p/>
    <w:p>
      <w:r>
        <w:rPr>
          <w:rFonts w:ascii="Meiryo UI" w:hAnsi="Meiryo UI"/>
          <w:sz w:val="20"/>
        </w:rPr>
        <w:t>① 収益性の構造的劣化</w:t>
      </w:r>
    </w:p>
    <w:p/>
    <w:p>
      <w:pPr>
        <w:shd w:val="clear" w:color="auto" w:fill="F2F2F2"/>
      </w:pPr>
      <w:r>
        <w:rPr>
          <w:rFonts w:ascii="Courier New" w:hAnsi="Courier New"/>
          <w:sz w:val="16"/>
        </w:rPr>
        <w:t>営業利益率トレンド（推計）</w:t>
        <w:br/>
        <w:t xml:space="preserve"> FY2021：約17〜18%（ピーク）</w:t>
        <w:br/>
        <w:t xml:space="preserve"> FY2022：約14〜15%（円安コスト増初期）</w:t>
        <w:br/>
        <w:t xml:space="preserve"> FY2023：約12〜13%（本格的コスト増）</w:t>
        <w:br/>
        <w:t xml:space="preserve"> FY2024：約11〜13%（ヘッジ切れ・価格転嫁限界）</w:t>
        <w:br/>
        <w:t xml:space="preserve"> FY2025E：10〜13%（見通し不透明）</w:t>
      </w:r>
    </w:p>
    <w:p/>
    <w:p>
      <w:r>
        <w:rPr>
          <w:rFonts w:ascii="Meiryo UI" w:hAnsi="Meiryo UI"/>
          <w:sz w:val="20"/>
        </w:rPr>
        <w:t>収益性の劣化は価格転嫁の限界と円安コストの「二重苦」。ニトリのブランドは「手頃な価格」であり、大幅値上げはブランド毀損リスクを伴う。</w:t>
      </w:r>
    </w:p>
    <w:p/>
    <w:p>
      <w:r>
        <w:rPr>
          <w:rFonts w:ascii="Meiryo UI" w:hAnsi="Meiryo UI"/>
          <w:sz w:val="20"/>
        </w:rPr>
        <w:t>② バリュエーション調整の未完了</w:t>
      </w:r>
    </w:p>
    <w:p/>
    <w:p>
      <w:r>
        <w:rPr>
          <w:rFonts w:ascii="Meiryo UI" w:hAnsi="Meiryo UI"/>
          <w:sz w:val="20"/>
        </w:rPr>
        <w:t>ピーク時PER（2021年）：約30〜35倍</w:t>
      </w:r>
    </w:p>
    <w:p>
      <w:r>
        <w:rPr>
          <w:rFonts w:ascii="Meiryo UI" w:hAnsi="Meiryo UI"/>
          <w:sz w:val="20"/>
        </w:rPr>
        <w:t>現在PER（推計）：約20〜25倍</w:t>
      </w:r>
    </w:p>
    <w:p>
      <w:r>
        <w:rPr>
          <w:rFonts w:ascii="Meiryo UI" w:hAnsi="Meiryo UI"/>
          <w:sz w:val="20"/>
        </w:rPr>
        <w:t>歴史的正常PER：約18〜22倍</w:t>
      </w:r>
    </w:p>
    <w:p/>
    <w:p>
      <w:r>
        <w:rPr>
          <w:rFonts w:ascii="Meiryo UI" w:hAnsi="Meiryo UI"/>
          <w:sz w:val="20"/>
        </w:rPr>
        <w:t>→ まだ割高感が残存する可能性。利益が構造的に下がる中でのPER正常化は株価下落を意味する。</w:t>
      </w:r>
    </w:p>
    <w:p/>
    <w:p>
      <w:r>
        <w:rPr>
          <w:rFonts w:ascii="Meiryo UI" w:hAnsi="Meiryo UI"/>
          <w:sz w:val="20"/>
        </w:rPr>
        <w:t>③ 成長ストーリーの変容</w:t>
      </w:r>
    </w:p>
    <w:p/>
    <w:p>
      <w:r>
        <w:rPr>
          <w:rFonts w:ascii="Meiryo UI" w:hAnsi="Meiryo UI"/>
          <w:sz w:val="20"/>
        </w:rPr>
        <w:t>かつての「年間50店舗出店・海外展開」という成長ナラティブが変容。国内出店余地は限界に近づきつつあり、Crate &amp; Barrelは統合コストが重荷。成長プレミアムの剥落が進行中。</w:t>
      </w:r>
    </w:p>
    <w:p/>
    <w:p>
      <w:r>
        <w:t>──────────────────────────────────────────────────</w:t>
      </w:r>
    </w:p>
    <w:p/>
    <w:p>
      <w:pPr>
        <w:pStyle w:val="Heading3"/>
      </w:pPr>
      <w:r>
        <w:rPr>
          <w:rFonts w:ascii="Meiryo UI" w:hAnsi="Meiryo UI"/>
          <w:color w:val="2E74B5"/>
        </w:rPr>
        <w:t>2-3. 逆張りシグナルの有効性評価（深井の核心判断）</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RSI 21.3の信頼性</w:t>
            </w:r>
          </w:p>
        </w:tc>
        <w:tc>
          <w:tcPr>
            <w:tcW w:type="dxa" w:w="3135"/>
          </w:tcPr>
          <w:p>
            <w:r>
              <w:rPr>
                <w:rFonts w:ascii="Meiryo UI" w:hAnsi="Meiryo UI"/>
                <w:sz w:val="18"/>
              </w:rPr>
              <w:t>★★★☆☆</w:t>
            </w:r>
          </w:p>
        </w:tc>
        <w:tc>
          <w:tcPr>
            <w:tcW w:type="dxa" w:w="3135"/>
          </w:tcPr>
          <w:p>
            <w:r>
              <w:rPr>
                <w:rFonts w:ascii="Meiryo UI" w:hAnsi="Meiryo UI"/>
                <w:sz w:val="18"/>
              </w:rPr>
              <w:t>過去RSI20台では1〜3ヶ月の技術的反発が見られた</w:t>
            </w:r>
          </w:p>
        </w:tc>
      </w:tr>
      <w:tr>
        <w:tc>
          <w:tcPr>
            <w:tcW w:type="dxa" w:w="3135"/>
            <w:shd w:val="clear" w:color="auto" w:fill="DDEBF7"/>
          </w:tcPr>
          <w:p>
            <w:r>
              <w:rPr>
                <w:rFonts w:ascii="Meiryo UI" w:hAnsi="Meiryo UI"/>
                <w:sz w:val="18"/>
              </w:rPr>
              <w:t>ファンダメンタルズの支持</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円安継続なら業績下振れリスク残存</w:t>
            </w:r>
          </w:p>
        </w:tc>
      </w:tr>
      <w:tr>
        <w:tc>
          <w:tcPr>
            <w:tcW w:type="dxa" w:w="3135"/>
          </w:tcPr>
          <w:p>
            <w:r>
              <w:rPr>
                <w:rFonts w:ascii="Meiryo UI" w:hAnsi="Meiryo UI"/>
                <w:sz w:val="18"/>
              </w:rPr>
              <w:t>需給（売られ過ぎ解消）</w:t>
            </w:r>
          </w:p>
        </w:tc>
        <w:tc>
          <w:tcPr>
            <w:tcW w:type="dxa" w:w="3135"/>
          </w:tcPr>
          <w:p>
            <w:r>
              <w:rPr>
                <w:rFonts w:ascii="Meiryo UI" w:hAnsi="Meiryo UI"/>
                <w:sz w:val="18"/>
              </w:rPr>
              <w:t>★★★★☆</w:t>
            </w:r>
          </w:p>
        </w:tc>
        <w:tc>
          <w:tcPr>
            <w:tcW w:type="dxa" w:w="3135"/>
          </w:tcPr>
          <w:p>
            <w:r>
              <w:rPr>
                <w:rFonts w:ascii="Meiryo UI" w:hAnsi="Meiryo UI"/>
                <w:sz w:val="18"/>
              </w:rPr>
              <w:t>信用売り残高増加→踏み上げ余地あり</w:t>
            </w:r>
          </w:p>
        </w:tc>
      </w:tr>
      <w:tr>
        <w:tc>
          <w:tcPr>
            <w:tcW w:type="dxa" w:w="3135"/>
            <w:shd w:val="clear" w:color="auto" w:fill="DDEBF7"/>
          </w:tcPr>
          <w:p>
            <w:r>
              <w:rPr>
                <w:rFonts w:ascii="Meiryo UI" w:hAnsi="Meiryo UI"/>
                <w:sz w:val="18"/>
              </w:rPr>
              <w:t>触媒（カタリスト）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円高転換・業績上振れなしでは反発に限界</w:t>
            </w:r>
          </w:p>
        </w:tc>
      </w:tr>
      <w:tr>
        <w:tc>
          <w:tcPr>
            <w:tcW w:type="dxa" w:w="3135"/>
          </w:tcPr>
          <w:p>
            <w:r>
              <w:rPr>
                <w:rFonts w:ascii="Meiryo UI" w:hAnsi="Meiryo UI"/>
                <w:sz w:val="18"/>
              </w:rPr>
              <w:t>時間軸</w:t>
            </w:r>
          </w:p>
        </w:tc>
        <w:tc>
          <w:tcPr>
            <w:tcW w:type="dxa" w:w="3135"/>
          </w:tcPr>
          <w:p>
            <w:r>
              <w:rPr>
                <w:rFonts w:ascii="Meiryo UI" w:hAnsi="Meiryo UI"/>
                <w:sz w:val="18"/>
              </w:rPr>
              <w:t>★★★☆☆</w:t>
            </w:r>
          </w:p>
        </w:tc>
        <w:tc>
          <w:tcPr>
            <w:tcW w:type="dxa" w:w="3135"/>
          </w:tcPr>
          <w:p>
            <w:r>
              <w:rPr>
                <w:rFonts w:ascii="Meiryo UI" w:hAnsi="Meiryo UI"/>
                <w:sz w:val="18"/>
              </w:rPr>
              <w:t>短期（1〜2ヶ月）反発は期待できるが中長期は慎重</w:t>
            </w:r>
          </w:p>
        </w:tc>
      </w:tr>
    </w:tbl>
    <w:p/>
    <w:p>
      <w:r>
        <w:rPr>
          <w:rFonts w:ascii="Meiryo UI" w:hAnsi="Meiryo UI"/>
          <w:sz w:val="20"/>
        </w:rPr>
        <w:t>深井の結論：</w:t>
      </w:r>
    </w:p>
    <w:p/>
    <w:p>
      <w:r>
        <w:rPr>
          <w:rFonts w:ascii="Meiryo UI" w:hAnsi="Meiryo UI"/>
          <w:sz w:val="20"/>
        </w:rPr>
        <w:t>&gt; 「RSI 21.3は教科書的な逆張りシグナルであり、技術的な自律反発（5〜10%程度）は十分に起こりうる。しかし円安が継続する限り、構造的な下落トレンドは終わっていない。浅井スキャンの+75は"今すぐ飛び乗る"ではなく"反発局面での慎重な部分買い"として解釈すべきだ。社長の指摘通り、冷静さが最も重要。」</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損益計算書（PL）ハイライト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FY2025E</w:t>
            </w:r>
          </w:p>
        </w:tc>
        <w:tc>
          <w:tcPr>
            <w:tcW w:type="dxa" w:w="1881"/>
            <w:shd w:val="clear" w:color="auto" w:fill="2E74B5"/>
          </w:tcPr>
          <w:p>
            <w:r>
              <w:rPr>
                <w:rFonts w:ascii="Meiryo UI" w:hAnsi="Meiryo UI"/>
                <w:b/>
                <w:color w:val="FFFFFF"/>
                <w:sz w:val="18"/>
              </w:rPr>
              <w:t>前年比</w:t>
            </w:r>
          </w:p>
        </w:tc>
      </w:tr>
      <w:tr>
        <w:tc>
          <w:tcPr>
            <w:tcW w:type="dxa" w:w="1881"/>
          </w:tcPr>
          <w:p>
            <w:r>
              <w:rPr>
                <w:rFonts w:ascii="Meiryo UI" w:hAnsi="Meiryo UI"/>
                <w:sz w:val="18"/>
              </w:rPr>
              <w:t>売上高</w:t>
            </w:r>
          </w:p>
        </w:tc>
        <w:tc>
          <w:tcPr>
            <w:tcW w:type="dxa" w:w="1881"/>
          </w:tcPr>
          <w:p>
            <w:r>
              <w:rPr>
                <w:rFonts w:ascii="Meiryo UI" w:hAnsi="Meiryo UI"/>
                <w:sz w:val="18"/>
              </w:rPr>
              <w:t>約9,127億円</w:t>
            </w:r>
          </w:p>
        </w:tc>
        <w:tc>
          <w:tcPr>
            <w:tcW w:type="dxa" w:w="1881"/>
          </w:tcPr>
          <w:p>
            <w:r>
              <w:rPr>
                <w:rFonts w:ascii="Meiryo UI" w:hAnsi="Meiryo UI"/>
                <w:sz w:val="18"/>
              </w:rPr>
              <w:t>約9,800億円</w:t>
            </w:r>
          </w:p>
        </w:tc>
        <w:tc>
          <w:tcPr>
            <w:tcW w:type="dxa" w:w="1881"/>
          </w:tcPr>
          <w:p>
            <w:r>
              <w:rPr>
                <w:rFonts w:ascii="Meiryo UI" w:hAnsi="Meiryo UI"/>
                <w:sz w:val="18"/>
              </w:rPr>
              <w:t>約9,900〜10,200億円</w:t>
            </w:r>
          </w:p>
        </w:tc>
        <w:tc>
          <w:tcPr>
            <w:tcW w:type="dxa" w:w="1881"/>
          </w:tcPr>
          <w:p>
            <w:r>
              <w:rPr>
                <w:rFonts w:ascii="Meiryo UI" w:hAnsi="Meiryo UI"/>
                <w:sz w:val="18"/>
              </w:rPr>
              <w:t>+1〜4%</w:t>
            </w:r>
          </w:p>
        </w:tc>
      </w:tr>
      <w:tr>
        <w:tc>
          <w:tcPr>
            <w:tcW w:type="dxa" w:w="1881"/>
            <w:shd w:val="clear" w:color="auto" w:fill="DDEBF7"/>
          </w:tcPr>
          <w:p>
            <w:r>
              <w:rPr>
                <w:rFonts w:ascii="Meiryo UI" w:hAnsi="Meiryo UI"/>
                <w:sz w:val="18"/>
              </w:rPr>
              <w:t>売上総利益率</w:t>
            </w:r>
          </w:p>
        </w:tc>
        <w:tc>
          <w:tcPr>
            <w:tcW w:type="dxa" w:w="1881"/>
            <w:shd w:val="clear" w:color="auto" w:fill="DDEBF7"/>
          </w:tcPr>
          <w:p>
            <w:r>
              <w:rPr>
                <w:rFonts w:ascii="Meiryo UI" w:hAnsi="Meiryo UI"/>
                <w:sz w:val="18"/>
              </w:rPr>
              <w:t>約52〜54%</w:t>
            </w:r>
          </w:p>
        </w:tc>
        <w:tc>
          <w:tcPr>
            <w:tcW w:type="dxa" w:w="1881"/>
            <w:shd w:val="clear" w:color="auto" w:fill="DDEBF7"/>
          </w:tcPr>
          <w:p>
            <w:r>
              <w:rPr>
                <w:rFonts w:ascii="Meiryo UI" w:hAnsi="Meiryo UI"/>
                <w:sz w:val="18"/>
              </w:rPr>
              <w:t>約51〜53%</w:t>
            </w:r>
          </w:p>
        </w:tc>
        <w:tc>
          <w:tcPr>
            <w:tcW w:type="dxa" w:w="1881"/>
            <w:shd w:val="clear" w:color="auto" w:fill="DDEBF7"/>
          </w:tcPr>
          <w:p>
            <w:r>
              <w:rPr>
                <w:rFonts w:ascii="Meiryo UI" w:hAnsi="Meiryo UI"/>
                <w:sz w:val="18"/>
              </w:rPr>
              <w:t>約50〜52%</w:t>
            </w:r>
          </w:p>
        </w:tc>
        <w:tc>
          <w:tcPr>
            <w:tcW w:type="dxa" w:w="1881"/>
            <w:shd w:val="clear" w:color="auto" w:fill="DDEBF7"/>
          </w:tcPr>
          <w:p>
            <w:r>
              <w:rPr>
                <w:rFonts w:ascii="Meiryo UI" w:hAnsi="Meiryo UI"/>
                <w:sz w:val="18"/>
              </w:rPr>
              <w:t>微低下</w:t>
            </w:r>
          </w:p>
        </w:tc>
      </w:tr>
      <w:tr>
        <w:tc>
          <w:tcPr>
            <w:tcW w:type="dxa" w:w="1881"/>
          </w:tcPr>
          <w:p>
            <w:r>
              <w:rPr>
                <w:rFonts w:ascii="Meiryo UI" w:hAnsi="Meiryo UI"/>
                <w:sz w:val="18"/>
              </w:rPr>
              <w:t>営業利益</w:t>
            </w:r>
          </w:p>
        </w:tc>
        <w:tc>
          <w:tcPr>
            <w:tcW w:type="dxa" w:w="1881"/>
          </w:tcPr>
          <w:p>
            <w:r>
              <w:rPr>
                <w:rFonts w:ascii="Meiryo UI" w:hAnsi="Meiryo UI"/>
                <w:sz w:val="18"/>
              </w:rPr>
              <w:t>約1,200億円</w:t>
            </w:r>
          </w:p>
        </w:tc>
        <w:tc>
          <w:tcPr>
            <w:tcW w:type="dxa" w:w="1881"/>
          </w:tcPr>
          <w:p>
            <w:r>
              <w:rPr>
                <w:rFonts w:ascii="Meiryo UI" w:hAnsi="Meiryo UI"/>
                <w:sz w:val="18"/>
              </w:rPr>
              <w:t>約1,200〜1,300億円</w:t>
            </w:r>
          </w:p>
        </w:tc>
        <w:tc>
          <w:tcPr>
            <w:tcW w:type="dxa" w:w="1881"/>
          </w:tcPr>
          <w:p>
            <w:r>
              <w:rPr>
                <w:rFonts w:ascii="Meiryo UI" w:hAnsi="Meiryo UI"/>
                <w:sz w:val="18"/>
              </w:rPr>
              <w:t>約1,100〜1,350億円</w:t>
            </w:r>
          </w:p>
        </w:tc>
        <w:tc>
          <w:tcPr>
            <w:tcW w:type="dxa" w:w="1881"/>
          </w:tcPr>
          <w:p>
            <w:r>
              <w:rPr>
                <w:rFonts w:ascii="Meiryo UI" w:hAnsi="Meiryo UI"/>
                <w:sz w:val="18"/>
              </w:rPr>
              <w:t>±横ばい</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約13%</w:t>
            </w:r>
          </w:p>
        </w:tc>
        <w:tc>
          <w:tcPr>
            <w:tcW w:type="dxa" w:w="1881"/>
            <w:shd w:val="clear" w:color="auto" w:fill="DDEBF7"/>
          </w:tcPr>
          <w:p>
            <w:r>
              <w:rPr>
                <w:rFonts w:ascii="Meiryo UI" w:hAnsi="Meiryo UI"/>
                <w:sz w:val="18"/>
              </w:rPr>
              <w:t>約12〜13%</w:t>
            </w:r>
          </w:p>
        </w:tc>
        <w:tc>
          <w:tcPr>
            <w:tcW w:type="dxa" w:w="1881"/>
            <w:shd w:val="clear" w:color="auto" w:fill="DDEBF7"/>
          </w:tcPr>
          <w:p>
            <w:r>
              <w:rPr>
                <w:rFonts w:ascii="Meiryo UI" w:hAnsi="Meiryo UI"/>
                <w:sz w:val="18"/>
              </w:rPr>
              <w:t>約11〜13%</w:t>
            </w:r>
          </w:p>
        </w:tc>
        <w:tc>
          <w:tcPr>
            <w:tcW w:type="dxa" w:w="1881"/>
            <w:shd w:val="clear" w:color="auto" w:fill="DDEBF7"/>
          </w:tcPr>
          <w:p>
            <w:r>
              <w:rPr>
                <w:rFonts w:ascii="Meiryo UI" w:hAnsi="Meiryo UI"/>
                <w:sz w:val="18"/>
              </w:rPr>
              <w:t>微低下傾向</w:t>
            </w:r>
          </w:p>
        </w:tc>
      </w:tr>
      <w:tr>
        <w:tc>
          <w:tcPr>
            <w:tcW w:type="dxa" w:w="1881"/>
          </w:tcPr>
          <w:p>
            <w:r>
              <w:rPr>
                <w:rFonts w:ascii="Meiryo UI" w:hAnsi="Meiryo UI"/>
                <w:sz w:val="18"/>
              </w:rPr>
              <w:t>当期純利益</w:t>
            </w:r>
          </w:p>
        </w:tc>
        <w:tc>
          <w:tcPr>
            <w:tcW w:type="dxa" w:w="1881"/>
          </w:tcPr>
          <w:p>
            <w:r>
              <w:rPr>
                <w:rFonts w:ascii="Meiryo UI" w:hAnsi="Meiryo UI"/>
                <w:sz w:val="18"/>
              </w:rPr>
              <w:t>約890〜950億円</w:t>
            </w:r>
          </w:p>
        </w:tc>
        <w:tc>
          <w:tcPr>
            <w:tcW w:type="dxa" w:w="1881"/>
          </w:tcPr>
          <w:p>
            <w:r>
              <w:rPr>
                <w:rFonts w:ascii="Meiryo UI" w:hAnsi="Meiryo UI"/>
                <w:sz w:val="18"/>
              </w:rPr>
              <w:t>約900〜980億円</w:t>
            </w:r>
          </w:p>
        </w:tc>
        <w:tc>
          <w:tcPr>
            <w:tcW w:type="dxa" w:w="1881"/>
          </w:tcPr>
          <w:p>
            <w:r>
              <w:rPr>
                <w:rFonts w:ascii="Meiryo UI" w:hAnsi="Meiryo UI"/>
                <w:sz w:val="18"/>
              </w:rPr>
              <w:t>約850〜1,000億円</w:t>
            </w:r>
          </w:p>
        </w:tc>
        <w:tc>
          <w:tcPr>
            <w:tcW w:type="dxa" w:w="1881"/>
          </w:tcPr>
          <w:p>
            <w:r>
              <w:rPr>
                <w:rFonts w:ascii="Meiryo UI" w:hAnsi="Meiryo UI"/>
                <w:sz w:val="18"/>
              </w:rPr>
              <w:t>不透明</w:t>
            </w:r>
          </w:p>
        </w:tc>
      </w:tr>
      <w:tr>
        <w:tc>
          <w:tcPr>
            <w:tcW w:type="dxa" w:w="1881"/>
            <w:shd w:val="clear" w:color="auto" w:fill="DDEBF7"/>
          </w:tcPr>
          <w:p>
            <w:r>
              <w:rPr>
                <w:rFonts w:ascii="Meiryo UI" w:hAnsi="Meiryo UI"/>
                <w:sz w:val="18"/>
              </w:rPr>
              <w:t>EPS（推計）</w:t>
            </w:r>
          </w:p>
        </w:tc>
        <w:tc>
          <w:tcPr>
            <w:tcW w:type="dxa" w:w="1881"/>
            <w:shd w:val="clear" w:color="auto" w:fill="DDEBF7"/>
          </w:tcPr>
          <w:p>
            <w:r>
              <w:rPr>
                <w:rFonts w:ascii="Meiryo UI" w:hAnsi="Meiryo UI"/>
                <w:sz w:val="18"/>
              </w:rPr>
              <w:t>約810〜870円</w:t>
            </w:r>
          </w:p>
        </w:tc>
        <w:tc>
          <w:tcPr>
            <w:tcW w:type="dxa" w:w="1881"/>
            <w:shd w:val="clear" w:color="auto" w:fill="DDEBF7"/>
          </w:tcPr>
          <w:p>
            <w:r>
              <w:rPr>
                <w:rFonts w:ascii="Meiryo UI" w:hAnsi="Meiryo UI"/>
                <w:sz w:val="18"/>
              </w:rPr>
              <w:t>約820〜890円</w:t>
            </w:r>
          </w:p>
        </w:tc>
        <w:tc>
          <w:tcPr>
            <w:tcW w:type="dxa" w:w="1881"/>
            <w:shd w:val="clear" w:color="auto" w:fill="DDEBF7"/>
          </w:tcPr>
          <w:p>
            <w:r>
              <w:rPr>
                <w:rFonts w:ascii="Meiryo UI" w:hAnsi="Meiryo UI"/>
                <w:sz w:val="18"/>
              </w:rPr>
              <w:t>約750〜900円</w:t>
            </w:r>
          </w:p>
        </w:tc>
        <w:tc>
          <w:tcPr>
            <w:tcW w:type="dxa" w:w="1881"/>
            <w:shd w:val="clear" w:color="auto" w:fill="DDEBF7"/>
          </w:tcPr>
          <w:p>
            <w:r>
              <w:rPr>
                <w:rFonts w:ascii="Meiryo UI" w:hAnsi="Meiryo UI"/>
                <w:sz w:val="18"/>
              </w:rPr>
              <w:t>—</w:t>
            </w:r>
          </w:p>
        </w:tc>
      </w:tr>
    </w:tbl>
    <w:p/>
    <w:p>
      <w:r>
        <w:rPr>
          <w:rFonts w:ascii="Meiryo UI" w:hAnsi="Meiryo UI"/>
          <w:sz w:val="20"/>
        </w:rPr>
        <w:t>&gt; ※上記はIR資料・公開情報ベースの推計値。端数処理あり。</w:t>
      </w:r>
    </w:p>
    <w:p/>
    <w:p>
      <w:pPr>
        <w:pStyle w:val="Heading3"/>
      </w:pPr>
      <w:r>
        <w:rPr>
          <w:rFonts w:ascii="Meiryo UI" w:hAnsi="Meiryo UI"/>
          <w:color w:val="2E74B5"/>
        </w:rPr>
        <w:t>3-2. 貸借対照表（BS）ハイライト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約65〜70%</w:t>
            </w:r>
          </w:p>
        </w:tc>
        <w:tc>
          <w:tcPr>
            <w:tcW w:type="dxa" w:w="3135"/>
          </w:tcPr>
          <w:p>
            <w:r>
              <w:rPr>
                <w:rFonts w:ascii="Meiryo UI" w:hAnsi="Meiryo UI"/>
                <w:sz w:val="18"/>
              </w:rPr>
              <w:t>◎（極めて健全）</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約1,000〜1,500億円</w:t>
            </w:r>
          </w:p>
        </w:tc>
        <w:tc>
          <w:tcPr>
            <w:tcW w:type="dxa" w:w="3135"/>
            <w:shd w:val="clear" w:color="auto" w:fill="DDEBF7"/>
          </w:tcPr>
          <w:p>
            <w:r>
              <w:rPr>
                <w:rFonts w:ascii="Meiryo UI" w:hAnsi="Meiryo UI"/>
                <w:sz w:val="18"/>
              </w:rPr>
              <w:t>〇（島忠買収分含む）</w:t>
            </w:r>
          </w:p>
        </w:tc>
      </w:tr>
      <w:tr>
        <w:tc>
          <w:tcPr>
            <w:tcW w:type="dxa" w:w="3135"/>
          </w:tcPr>
          <w:p>
            <w:r>
              <w:rPr>
                <w:rFonts w:ascii="Meiryo UI" w:hAnsi="Meiryo UI"/>
                <w:sz w:val="18"/>
              </w:rPr>
              <w:t>現金・現金同等物</w:t>
            </w:r>
          </w:p>
        </w:tc>
        <w:tc>
          <w:tcPr>
            <w:tcW w:type="dxa" w:w="3135"/>
          </w:tcPr>
          <w:p>
            <w:r>
              <w:rPr>
                <w:rFonts w:ascii="Meiryo UI" w:hAnsi="Meiryo UI"/>
                <w:sz w:val="18"/>
              </w:rPr>
              <w:t>約1,500〜2,000億円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ほぼネットキャッシュポジション</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約10〜13%</w:t>
            </w:r>
          </w:p>
        </w:tc>
        <w:tc>
          <w:tcPr>
            <w:tcW w:type="dxa" w:w="3135"/>
          </w:tcPr>
          <w:p>
            <w:r>
              <w:rPr>
                <w:rFonts w:ascii="Meiryo UI" w:hAnsi="Meiryo UI"/>
                <w:sz w:val="18"/>
              </w:rPr>
              <w:t>〇（低下傾向）</w:t>
            </w:r>
          </w:p>
        </w:tc>
      </w:tr>
      <w:tr>
        <w:tc>
          <w:tcPr>
            <w:tcW w:type="dxa" w:w="3135"/>
            <w:shd w:val="clear" w:color="auto" w:fill="DDEBF7"/>
          </w:tcPr>
          <w:p>
            <w:r>
              <w:rPr>
                <w:rFonts w:ascii="Meiryo UI" w:hAnsi="Meiryo UI"/>
                <w:sz w:val="18"/>
              </w:rPr>
              <w:t>ROIC</w:t>
            </w:r>
          </w:p>
        </w:tc>
        <w:tc>
          <w:tcPr>
            <w:tcW w:type="dxa" w:w="3135"/>
            <w:shd w:val="clear" w:color="auto" w:fill="DDEBF7"/>
          </w:tcPr>
          <w:p>
            <w:r>
              <w:rPr>
                <w:rFonts w:ascii="Meiryo UI" w:hAnsi="Meiryo UI"/>
                <w:sz w:val="18"/>
              </w:rPr>
              <w:t>約8〜11%</w:t>
            </w:r>
          </w:p>
        </w:tc>
        <w:tc>
          <w:tcPr>
            <w:tcW w:type="dxa" w:w="3135"/>
            <w:shd w:val="clear" w:color="auto" w:fill="DDEBF7"/>
          </w:tcPr>
          <w:p>
            <w:r>
              <w:rPr>
                <w:rFonts w:ascii="Meiryo UI" w:hAnsi="Meiryo UI"/>
                <w:sz w:val="18"/>
              </w:rPr>
              <w:t>△（改善余地あり）</w:t>
            </w:r>
          </w:p>
        </w:tc>
      </w:tr>
    </w:tbl>
    <w:p/>
    <w:p>
      <w:r>
        <w:rPr>
          <w:rFonts w:ascii="Meiryo UI" w:hAnsi="Meiryo UI"/>
          <w:sz w:val="20"/>
        </w:rPr>
        <w:t>BSの強さは疑いようがない。 仮に業績が大幅悪化しても財務破綻リスクはほぼゼロ。これが下値の堅い要因の一つ。</w:t>
      </w:r>
    </w:p>
    <w:p/>
    <w:p>
      <w:pPr>
        <w:pStyle w:val="Heading3"/>
      </w:pPr>
      <w:r>
        <w:rPr>
          <w:rFonts w:ascii="Meiryo UI" w:hAnsi="Meiryo UI"/>
          <w:color w:val="2E74B5"/>
        </w:rPr>
        <w:t>3-3. キャッシュフロー（CF）</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営業CF</w:t>
            </w:r>
          </w:p>
        </w:tc>
        <w:tc>
          <w:tcPr>
            <w:tcW w:type="dxa" w:w="4703"/>
          </w:tcPr>
          <w:p>
            <w:r>
              <w:rPr>
                <w:rFonts w:ascii="Meiryo UI" w:hAnsi="Meiryo UI"/>
                <w:sz w:val="18"/>
              </w:rPr>
              <w:t>約1,500〜1,800億円（減価償却等含む）</w:t>
            </w:r>
          </w:p>
        </w:tc>
      </w:tr>
      <w:tr>
        <w:tc>
          <w:tcPr>
            <w:tcW w:type="dxa" w:w="4703"/>
            <w:shd w:val="clear" w:color="auto" w:fill="DDEBF7"/>
          </w:tcPr>
          <w:p>
            <w:r>
              <w:rPr>
                <w:rFonts w:ascii="Meiryo UI" w:hAnsi="Meiryo UI"/>
                <w:sz w:val="18"/>
              </w:rPr>
              <w:t>設備投資（CAPEX）</w:t>
            </w:r>
          </w:p>
        </w:tc>
        <w:tc>
          <w:tcPr>
            <w:tcW w:type="dxa" w:w="4703"/>
            <w:shd w:val="clear" w:color="auto" w:fill="DDEBF7"/>
          </w:tcPr>
          <w:p>
            <w:r>
              <w:rPr>
                <w:rFonts w:ascii="Meiryo UI" w:hAnsi="Meiryo UI"/>
                <w:sz w:val="18"/>
              </w:rPr>
              <w:t>約400〜600億円（店舗改装・新規）</w:t>
            </w:r>
          </w:p>
        </w:tc>
      </w:tr>
      <w:tr>
        <w:tc>
          <w:tcPr>
            <w:tcW w:type="dxa" w:w="4703"/>
          </w:tcPr>
          <w:p>
            <w:r>
              <w:rPr>
                <w:rFonts w:ascii="Meiryo UI" w:hAnsi="Meiryo UI"/>
                <w:sz w:val="18"/>
              </w:rPr>
              <w:t>FCF（フリーCF）</w:t>
            </w:r>
          </w:p>
        </w:tc>
        <w:tc>
          <w:tcPr>
            <w:tcW w:type="dxa" w:w="4703"/>
          </w:tcPr>
          <w:p>
            <w:r>
              <w:rPr>
                <w:rFonts w:ascii="Meiryo UI" w:hAnsi="Meiryo UI"/>
                <w:sz w:val="18"/>
              </w:rPr>
              <w:t>約900〜1,200億円</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約9〜12%</w:t>
            </w:r>
          </w:p>
        </w:tc>
      </w:tr>
      <w:tr>
        <w:tc>
          <w:tcPr>
            <w:tcW w:type="dxa" w:w="4703"/>
          </w:tcPr>
          <w:p>
            <w:r>
              <w:rPr>
                <w:rFonts w:ascii="Meiryo UI" w:hAnsi="Meiryo UI"/>
                <w:sz w:val="18"/>
              </w:rPr>
              <w:t>FCF/株</w:t>
            </w:r>
          </w:p>
        </w:tc>
        <w:tc>
          <w:tcPr>
            <w:tcW w:type="dxa" w:w="4703"/>
          </w:tcPr>
          <w:p>
            <w:r>
              <w:rPr>
                <w:rFonts w:ascii="Meiryo UI" w:hAnsi="Meiryo UI"/>
                <w:sz w:val="18"/>
              </w:rPr>
              <w:t>約820〜1,100円</w:t>
            </w:r>
          </w:p>
        </w:tc>
      </w:tr>
    </w:tbl>
    <w:p/>
    <w:p>
      <w:r>
        <w:rPr>
          <w:rFonts w:ascii="Meiryo UI" w:hAnsi="Meiryo UI"/>
          <w:sz w:val="20"/>
        </w:rPr>
        <w:t>FCFは安定的に黒字を継続。配当・自社株買いの財源は十分。これもバリュエーションの下値支持要因。</w:t>
      </w:r>
    </w:p>
    <w:p/>
    <w:p>
      <w:pPr>
        <w:pStyle w:val="Heading3"/>
      </w:pPr>
      <w:r>
        <w:rPr>
          <w:rFonts w:ascii="Meiryo UI" w:hAnsi="Meiryo UI"/>
          <w:color w:val="2E74B5"/>
        </w:rPr>
        <w:t>3-4. SaaS指標の代替（小売業向け）</w:t>
      </w:r>
    </w:p>
    <w:p/>
    <w:p>
      <w:r>
        <w:rPr>
          <w:rFonts w:ascii="Meiryo UI" w:hAnsi="Meiryo UI"/>
          <w:sz w:val="20"/>
        </w:rPr>
        <w:t>※SaaSではないため、ARR/NRRの代わりに小売業指標を使用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推計</w:t>
            </w:r>
          </w:p>
        </w:tc>
      </w:tr>
      <w:tr>
        <w:tc>
          <w:tcPr>
            <w:tcW w:type="dxa" w:w="4703"/>
          </w:tcPr>
          <w:p>
            <w:r>
              <w:rPr>
                <w:rFonts w:ascii="Meiryo UI" w:hAnsi="Meiryo UI"/>
                <w:sz w:val="18"/>
              </w:rPr>
              <w:t>既存店売上高成長率</w:t>
            </w:r>
          </w:p>
        </w:tc>
        <w:tc>
          <w:tcPr>
            <w:tcW w:type="dxa" w:w="4703"/>
          </w:tcPr>
          <w:p>
            <w:r>
              <w:rPr>
                <w:rFonts w:ascii="Meiryo UI" w:hAnsi="Meiryo UI"/>
                <w:sz w:val="18"/>
              </w:rPr>
              <w:t>約▲1〜+3%（円安による値上げ効果と客数減の相殺）</w:t>
            </w:r>
          </w:p>
        </w:tc>
      </w:tr>
      <w:tr>
        <w:tc>
          <w:tcPr>
            <w:tcW w:type="dxa" w:w="4703"/>
            <w:shd w:val="clear" w:color="auto" w:fill="DDEBF7"/>
          </w:tcPr>
          <w:p>
            <w:r>
              <w:rPr>
                <w:rFonts w:ascii="Meiryo UI" w:hAnsi="Meiryo UI"/>
                <w:sz w:val="18"/>
              </w:rPr>
              <w:t>客単価</w:t>
            </w:r>
          </w:p>
        </w:tc>
        <w:tc>
          <w:tcPr>
            <w:tcW w:type="dxa" w:w="4703"/>
            <w:shd w:val="clear" w:color="auto" w:fill="DDEBF7"/>
          </w:tcPr>
          <w:p>
            <w:r>
              <w:rPr>
                <w:rFonts w:ascii="Meiryo UI" w:hAnsi="Meiryo UI"/>
                <w:sz w:val="18"/>
              </w:rPr>
              <w:t>上昇傾向（値上げ転嫁）</w:t>
            </w:r>
          </w:p>
        </w:tc>
      </w:tr>
      <w:tr>
        <w:tc>
          <w:tcPr>
            <w:tcW w:type="dxa" w:w="4703"/>
          </w:tcPr>
          <w:p>
            <w:r>
              <w:rPr>
                <w:rFonts w:ascii="Meiryo UI" w:hAnsi="Meiryo UI"/>
                <w:sz w:val="18"/>
              </w:rPr>
              <w:t>客数</w:t>
            </w:r>
          </w:p>
        </w:tc>
        <w:tc>
          <w:tcPr>
            <w:tcW w:type="dxa" w:w="4703"/>
          </w:tcPr>
          <w:p>
            <w:r>
              <w:rPr>
                <w:rFonts w:ascii="Meiryo UI" w:hAnsi="Meiryo UI"/>
                <w:sz w:val="18"/>
              </w:rPr>
              <w:t>微減傾向（節約志向の裏返し的影響）</w:t>
            </w:r>
          </w:p>
        </w:tc>
      </w:tr>
      <w:tr>
        <w:tc>
          <w:tcPr>
            <w:tcW w:type="dxa" w:w="4703"/>
            <w:shd w:val="clear" w:color="auto" w:fill="DDEBF7"/>
          </w:tcPr>
          <w:p>
            <w:r>
              <w:rPr>
                <w:rFonts w:ascii="Meiryo UI" w:hAnsi="Meiryo UI"/>
                <w:sz w:val="18"/>
              </w:rPr>
              <w:t>EC比率</w:t>
            </w:r>
          </w:p>
        </w:tc>
        <w:tc>
          <w:tcPr>
            <w:tcW w:type="dxa" w:w="4703"/>
            <w:shd w:val="clear" w:color="auto" w:fill="DDEBF7"/>
          </w:tcPr>
          <w:p>
            <w:r>
              <w:rPr>
                <w:rFonts w:ascii="Meiryo UI" w:hAnsi="Meiryo UI"/>
                <w:sz w:val="18"/>
              </w:rPr>
              <w:t>約15〜20%（拡大中）</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WACC計算の前提</w:t>
      </w:r>
    </w:p>
    <w:p/>
    <w:p>
      <w:pPr>
        <w:pStyle w:val="Heading4"/>
      </w:pPr>
      <w:r>
        <w:rPr>
          <w:rFonts w:ascii="Meiryo UI" w:hAnsi="Meiryo UI"/>
          <w:color w:val="2E74B5"/>
        </w:rPr>
        <w:t>① リスクフリーレート（Rf）</w:t>
      </w:r>
    </w:p>
    <w:p>
      <w:pPr>
        <w:shd w:val="clear" w:color="auto" w:fill="F2F2F2"/>
      </w:pPr>
      <w:r>
        <w:rPr>
          <w:rFonts w:ascii="Courier New" w:hAnsi="Courier New"/>
          <w:sz w:val="16"/>
        </w:rPr>
        <w:t>Rf = 2.380%（絶対固定値）</w:t>
        <w:br/>
        <w:t>出典：JGB10Y、社長確認値、2026-04-05 17:45 JST</w:t>
      </w:r>
    </w:p>
    <w:p/>
    <w:p>
      <w:pPr>
        <w:pStyle w:val="Heading4"/>
      </w:pPr>
      <w:r>
        <w:rPr>
          <w:rFonts w:ascii="Meiryo UI" w:hAnsi="Meiryo UI"/>
          <w:color w:val="2E74B5"/>
        </w:rPr>
        <w:t>② エクイティリスクプレミアム（ERP）</w:t>
      </w:r>
    </w:p>
    <w:p>
      <w:pPr>
        <w:shd w:val="clear" w:color="auto" w:fill="F2F2F2"/>
      </w:pPr>
      <w:r>
        <w:rPr>
          <w:rFonts w:ascii="Courier New" w:hAnsi="Courier New"/>
          <w:sz w:val="16"/>
        </w:rPr>
        <w:t>ERP = 5.50%</w:t>
        <w:br/>
        <w:t>根拠：日本株市場の長期実績・Damodaran教授推計（日本2025〜2026年推計値）</w:t>
        <w:br/>
        <w:t xml:space="preserve">     東証プライム全体の過去リターン実績との整合性</w:t>
      </w:r>
    </w:p>
    <w:p/>
    <w:p>
      <w:pPr>
        <w:pStyle w:val="Heading4"/>
      </w:pPr>
      <w:r>
        <w:rPr>
          <w:rFonts w:ascii="Meiryo UI" w:hAnsi="Meiryo UI"/>
          <w:color w:val="2E74B5"/>
        </w:rPr>
        <w:t>③ ベータ（β）</w:t>
      </w:r>
    </w:p>
    <w:p>
      <w:pPr>
        <w:shd w:val="clear" w:color="auto" w:fill="F2F2F2"/>
      </w:pPr>
      <w:r>
        <w:rPr>
          <w:rFonts w:ascii="Courier New" w:hAnsi="Courier New"/>
          <w:sz w:val="16"/>
        </w:rPr>
        <w:t>β = 0.75（推計）</w:t>
        <w:br/>
        <w:t>根拠：</w:t>
        <w:br/>
        <w:t xml:space="preserve"> ・家具小売業は景気敏感だが必需品性もあり中程度</w:t>
        <w:br/>
        <w:t xml:space="preserve"> ・ニトリHDの過去3年52週ベータ：約0.65〜0.85レンジ</w:t>
        <w:br/>
        <w:t xml:space="preserve"> ・中央値として0.75を採用</w:t>
        <w:br/>
        <w:t xml:space="preserve"> ・円安リスク加算要素を既に業績期待に織り込む前提</w:t>
      </w:r>
    </w:p>
    <w:p/>
    <w:p>
      <w:pPr>
        <w:pStyle w:val="Heading4"/>
      </w:pPr>
      <w:r>
        <w:rPr>
          <w:rFonts w:ascii="Meiryo UI" w:hAnsi="Meiryo UI"/>
          <w:color w:val="2E74B5"/>
        </w:rPr>
        <w:t>④ 株主資本コスト（Re）</w:t>
      </w:r>
    </w:p>
    <w:p>
      <w:pPr>
        <w:shd w:val="clear" w:color="auto" w:fill="F2F2F2"/>
      </w:pPr>
      <w:r>
        <w:rPr>
          <w:rFonts w:ascii="Courier New" w:hAnsi="Courier New"/>
          <w:sz w:val="16"/>
        </w:rPr>
        <w:t>Re = Rf + β × ERP</w:t>
        <w:br/>
        <w:t>Re = 2.380% + 0.75 × 5.50%</w:t>
        <w:br/>
        <w:t>Re = 2.380% + 4.125%</w:t>
        <w:br/>
        <w:t>Re = 6.505%</w:t>
      </w:r>
    </w:p>
    <w:p/>
    <w:p>
      <w:pPr>
        <w:pStyle w:val="Heading4"/>
      </w:pPr>
      <w:r>
        <w:rPr>
          <w:rFonts w:ascii="Meiryo UI" w:hAnsi="Meiryo UI"/>
          <w:color w:val="2E74B5"/>
        </w:rPr>
        <w:t>⑤ 負債コスト・税率・資本構成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Rd（負債コスト）</w:t>
            </w:r>
          </w:p>
        </w:tc>
        <w:tc>
          <w:tcPr>
            <w:tcW w:type="dxa" w:w="3135"/>
          </w:tcPr>
          <w:p>
            <w:r>
              <w:rPr>
                <w:rFonts w:ascii="Meiryo UI" w:hAnsi="Meiryo UI"/>
                <w:sz w:val="18"/>
              </w:rPr>
              <w:t>1.20%</w:t>
            </w:r>
          </w:p>
        </w:tc>
        <w:tc>
          <w:tcPr>
            <w:tcW w:type="dxa" w:w="3135"/>
          </w:tcPr>
          <w:p>
            <w:r>
              <w:rPr>
                <w:rFonts w:ascii="Meiryo UI" w:hAnsi="Meiryo UI"/>
                <w:sz w:val="18"/>
              </w:rPr>
              <w:t>優良企業・低金利調達</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日本法人税実効税率</w:t>
            </w:r>
          </w:p>
        </w:tc>
      </w:tr>
      <w:tr>
        <w:tc>
          <w:tcPr>
            <w:tcW w:type="dxa" w:w="3135"/>
          </w:tcPr>
          <w:p>
            <w:r>
              <w:rPr>
                <w:rFonts w:ascii="Meiryo UI" w:hAnsi="Meiryo UI"/>
                <w:sz w:val="18"/>
              </w:rPr>
              <w:t>Rd × (1-Tc)</w:t>
            </w:r>
          </w:p>
        </w:tc>
        <w:tc>
          <w:tcPr>
            <w:tcW w:type="dxa" w:w="3135"/>
          </w:tcPr>
          <w:p>
            <w:r>
              <w:rPr>
                <w:rFonts w:ascii="Meiryo UI" w:hAnsi="Meiryo UI"/>
                <w:sz w:val="18"/>
              </w:rPr>
              <w:t>0.840%</w:t>
            </w:r>
          </w:p>
        </w:tc>
        <w:tc>
          <w:tcPr>
            <w:tcW w:type="dxa" w:w="3135"/>
          </w:tcPr>
          <w:p>
            <w:r>
              <w:rPr>
                <w:rFonts w:ascii="Meiryo UI" w:hAnsi="Meiryo UI"/>
                <w:sz w:val="18"/>
              </w:rPr>
              <w:t>税引後負債コスト</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BS自己資本比率ベース</w:t>
            </w:r>
          </w:p>
        </w:tc>
      </w:tr>
      <w:tr>
        <w:tc>
          <w:tcPr>
            <w:tcW w:type="dxa" w:w="3135"/>
          </w:tcPr>
          <w:p>
            <w:r>
              <w:rPr>
                <w:rFonts w:ascii="Meiryo UI" w:hAnsi="Meiryo UI"/>
                <w:sz w:val="18"/>
              </w:rPr>
              <w:t>D/（D+E）</w:t>
            </w:r>
          </w:p>
        </w:tc>
        <w:tc>
          <w:tcPr>
            <w:tcW w:type="dxa" w:w="3135"/>
          </w:tcPr>
          <w:p>
            <w:r>
              <w:rPr>
                <w:rFonts w:ascii="Meiryo UI" w:hAnsi="Meiryo UI"/>
                <w:sz w:val="18"/>
              </w:rPr>
              <w:t>15%</w:t>
            </w:r>
          </w:p>
        </w:tc>
        <w:tc>
          <w:tcPr>
            <w:tcW w:type="dxa" w:w="3135"/>
          </w:tcPr>
          <w:p>
            <w:r>
              <w:rPr>
                <w:rFonts w:ascii="Meiryo UI" w:hAnsi="Meiryo UI"/>
                <w:sz w:val="18"/>
              </w:rPr>
              <w:t>同上</w:t>
            </w:r>
          </w:p>
        </w:tc>
      </w:tr>
    </w:tbl>
    <w:p/>
    <w:p>
      <w:pPr>
        <w:pStyle w:val="Heading4"/>
      </w:pPr>
      <w:r>
        <w:rPr>
          <w:rFonts w:ascii="Meiryo UI" w:hAnsi="Meiryo UI"/>
          <w:color w:val="2E74B5"/>
        </w:rPr>
        <w:t>⑥ WACC計算</w:t>
      </w:r>
    </w:p>
    <w:p/>
    <w:p>
      <w:pPr>
        <w:shd w:val="clear" w:color="auto" w:fill="F2F2F2"/>
      </w:pPr>
      <w:r>
        <w:rPr>
          <w:rFonts w:ascii="Courier New" w:hAnsi="Courier New"/>
          <w:sz w:val="16"/>
        </w:rPr>
        <w:t>WACC = [E/(D+E) × Re] + [D/(D+E) × Rd × (1-Tc)]</w:t>
        <w:br/>
        <w:t>WACC = [0.85 × 6.505%] + [0.15 × 0.840%]</w:t>
        <w:br/>
        <w:t>WACC = 5.529% + 0.126%</w:t>
        <w:br/>
        <w:t>WACC = 5.655%</w:t>
      </w:r>
    </w:p>
    <w:p/>
    <w:p>
      <w:r>
        <w:rPr>
          <w:rFonts w:ascii="Meiryo UI" w:hAnsi="Meiryo UI"/>
          <w:sz w:val="20"/>
        </w:rPr>
        <w:t>→ WACC = 5.655%（ベースケース）</w:t>
      </w:r>
    </w:p>
    <w:p/>
    <w:p>
      <w:r>
        <w:t>──────────────────────────────────────────────────</w:t>
      </w:r>
    </w:p>
    <w:p/>
    <w:p>
      <w:pPr>
        <w:pStyle w:val="Heading3"/>
      </w:pPr>
      <w:r>
        <w:rPr>
          <w:rFonts w:ascii="Meiryo UI" w:hAnsi="Meiryo UI"/>
          <w:color w:val="2E74B5"/>
        </w:rPr>
        <w:t>4-2. DCFモデル本体</w:t>
      </w:r>
    </w:p>
    <w:p/>
    <w:p>
      <w:pPr>
        <w:pStyle w:val="Heading4"/>
      </w:pPr>
      <w:r>
        <w:rPr>
          <w:rFonts w:ascii="Meiryo UI" w:hAnsi="Meiryo UI"/>
          <w:color w:val="2E74B5"/>
        </w:rPr>
        <w:t>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基準FCF（FY2025E）</w:t>
            </w:r>
          </w:p>
        </w:tc>
        <w:tc>
          <w:tcPr>
            <w:tcW w:type="dxa" w:w="3135"/>
          </w:tcPr>
          <w:p>
            <w:r>
              <w:rPr>
                <w:rFonts w:ascii="Meiryo UI" w:hAnsi="Meiryo UI"/>
                <w:sz w:val="18"/>
              </w:rPr>
              <w:t>1,000億円</w:t>
            </w:r>
          </w:p>
        </w:tc>
        <w:tc>
          <w:tcPr>
            <w:tcW w:type="dxa" w:w="3135"/>
          </w:tcPr>
          <w:p>
            <w:r>
              <w:rPr>
                <w:rFonts w:ascii="Meiryo UI" w:hAnsi="Meiryo UI"/>
                <w:sz w:val="18"/>
              </w:rPr>
              <w:t>直近実績レンジ中央値</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10年（FY2026〜FY2035）</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永続成長率（g）</w:t>
            </w:r>
          </w:p>
        </w:tc>
        <w:tc>
          <w:tcPr>
            <w:tcW w:type="dxa" w:w="3135"/>
          </w:tcPr>
          <w:p>
            <w:r>
              <w:rPr>
                <w:rFonts w:ascii="Meiryo UI" w:hAnsi="Meiryo UI"/>
                <w:sz w:val="18"/>
              </w:rPr>
              <w:t>1.50%</w:t>
            </w:r>
          </w:p>
        </w:tc>
        <w:tc>
          <w:tcPr>
            <w:tcW w:type="dxa" w:w="3135"/>
          </w:tcPr>
          <w:p>
            <w:r>
              <w:rPr>
                <w:rFonts w:ascii="Meiryo UI" w:hAnsi="Meiryo UI"/>
                <w:sz w:val="18"/>
              </w:rPr>
              <w:t>名目GDP成長率下限・小売業平均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5.655%</w:t>
            </w:r>
          </w:p>
        </w:tc>
        <w:tc>
          <w:tcPr>
            <w:tcW w:type="dxa" w:w="3135"/>
            <w:shd w:val="clear" w:color="auto" w:fill="DDEBF7"/>
          </w:tcPr>
          <w:p>
            <w:r>
              <w:rPr>
                <w:rFonts w:ascii="Meiryo UI" w:hAnsi="Meiryo UI"/>
                <w:sz w:val="18"/>
              </w:rPr>
            </w:r>
          </w:p>
        </w:tc>
      </w:tr>
    </w:tbl>
    <w:p/>
    <w:p>
      <w:pPr>
        <w:pStyle w:val="Heading4"/>
      </w:pPr>
      <w:r>
        <w:rPr>
          <w:rFonts w:ascii="Meiryo UI" w:hAnsi="Meiryo UI"/>
          <w:color w:val="2E74B5"/>
        </w:rPr>
        <w:t>フェーズ別成長率仮定（ベースケース）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FCF成長率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Phase 1</w:t>
            </w:r>
          </w:p>
        </w:tc>
        <w:tc>
          <w:tcPr>
            <w:tcW w:type="dxa" w:w="2351"/>
          </w:tcPr>
          <w:p>
            <w:r>
              <w:rPr>
                <w:rFonts w:ascii="Meiryo UI" w:hAnsi="Meiryo UI"/>
                <w:sz w:val="18"/>
              </w:rPr>
              <w:t>FY2026〜FY2028（3年）</w:t>
            </w:r>
          </w:p>
        </w:tc>
        <w:tc>
          <w:tcPr>
            <w:tcW w:type="dxa" w:w="2351"/>
          </w:tcPr>
          <w:p>
            <w:r>
              <w:rPr>
                <w:rFonts w:ascii="Meiryo UI" w:hAnsi="Meiryo UI"/>
                <w:sz w:val="18"/>
              </w:rPr>
              <w:t>+2.0%</w:t>
            </w:r>
          </w:p>
        </w:tc>
        <w:tc>
          <w:tcPr>
            <w:tcW w:type="dxa" w:w="2351"/>
          </w:tcPr>
          <w:p>
            <w:r>
              <w:rPr>
                <w:rFonts w:ascii="Meiryo UI" w:hAnsi="Meiryo UI"/>
                <w:sz w:val="18"/>
              </w:rPr>
              <w:t>円安一服・島忠改革効果</w:t>
            </w:r>
          </w:p>
        </w:tc>
      </w:tr>
      <w:tr>
        <w:tc>
          <w:tcPr>
            <w:tcW w:type="dxa" w:w="2351"/>
            <w:shd w:val="clear" w:color="auto" w:fill="DDEBF7"/>
          </w:tcPr>
          <w:p>
            <w:r>
              <w:rPr>
                <w:rFonts w:ascii="Meiryo UI" w:hAnsi="Meiryo UI"/>
                <w:sz w:val="18"/>
              </w:rPr>
              <w:t>Phase 2</w:t>
            </w:r>
          </w:p>
        </w:tc>
        <w:tc>
          <w:tcPr>
            <w:tcW w:type="dxa" w:w="2351"/>
            <w:shd w:val="clear" w:color="auto" w:fill="DDEBF7"/>
          </w:tcPr>
          <w:p>
            <w:r>
              <w:rPr>
                <w:rFonts w:ascii="Meiryo UI" w:hAnsi="Meiryo UI"/>
                <w:sz w:val="18"/>
              </w:rPr>
              <w:t>FY2029〜FY2032（4年）</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EC成長・海外軌道</w:t>
            </w:r>
          </w:p>
        </w:tc>
      </w:tr>
      <w:tr>
        <w:tc>
          <w:tcPr>
            <w:tcW w:type="dxa" w:w="2351"/>
          </w:tcPr>
          <w:p>
            <w:r>
              <w:rPr>
                <w:rFonts w:ascii="Meiryo UI" w:hAnsi="Meiryo UI"/>
                <w:sz w:val="18"/>
              </w:rPr>
              <w:t>Phase 3</w:t>
            </w:r>
          </w:p>
        </w:tc>
        <w:tc>
          <w:tcPr>
            <w:tcW w:type="dxa" w:w="2351"/>
          </w:tcPr>
          <w:p>
            <w:r>
              <w:rPr>
                <w:rFonts w:ascii="Meiryo UI" w:hAnsi="Meiryo UI"/>
                <w:sz w:val="18"/>
              </w:rPr>
              <w:t>FY2033〜FY2035（3年）</w:t>
            </w:r>
          </w:p>
        </w:tc>
        <w:tc>
          <w:tcPr>
            <w:tcW w:type="dxa" w:w="2351"/>
          </w:tcPr>
          <w:p>
            <w:r>
              <w:rPr>
                <w:rFonts w:ascii="Meiryo UI" w:hAnsi="Meiryo UI"/>
                <w:sz w:val="18"/>
              </w:rPr>
              <w:t>+2.0%</w:t>
            </w:r>
          </w:p>
        </w:tc>
        <w:tc>
          <w:tcPr>
            <w:tcW w:type="dxa" w:w="2351"/>
          </w:tcPr>
          <w:p>
            <w:r>
              <w:rPr>
                <w:rFonts w:ascii="Meiryo UI" w:hAnsi="Meiryo UI"/>
                <w:sz w:val="18"/>
              </w:rPr>
              <w:t>成長鈍化・成熟期</w:t>
            </w:r>
          </w:p>
        </w:tc>
      </w:tr>
      <w:tr>
        <w:tc>
          <w:tcPr>
            <w:tcW w:type="dxa" w:w="2351"/>
            <w:shd w:val="clear" w:color="auto" w:fill="DDEBF7"/>
          </w:tcPr>
          <w:p>
            <w:r>
              <w:rPr>
                <w:rFonts w:ascii="Meiryo UI" w:hAnsi="Meiryo UI"/>
                <w:sz w:val="18"/>
              </w:rPr>
              <w:t>Terminal</w:t>
            </w:r>
          </w:p>
        </w:tc>
        <w:tc>
          <w:tcPr>
            <w:tcW w:type="dxa" w:w="2351"/>
            <w:shd w:val="clear" w:color="auto" w:fill="DDEBF7"/>
          </w:tcPr>
          <w:p>
            <w:r>
              <w:rPr>
                <w:rFonts w:ascii="Meiryo UI" w:hAnsi="Meiryo UI"/>
                <w:sz w:val="18"/>
              </w:rPr>
              <w:t>FY2036〜永続</w:t>
            </w:r>
          </w:p>
        </w:tc>
        <w:tc>
          <w:tcPr>
            <w:tcW w:type="dxa" w:w="2351"/>
            <w:shd w:val="clear" w:color="auto" w:fill="DDEBF7"/>
          </w:tcPr>
          <w:p>
            <w:r>
              <w:rPr>
                <w:rFonts w:ascii="Meiryo UI" w:hAnsi="Meiryo UI"/>
                <w:sz w:val="18"/>
              </w:rPr>
              <w:t>+1.5%（g）</w:t>
            </w:r>
          </w:p>
        </w:tc>
        <w:tc>
          <w:tcPr>
            <w:tcW w:type="dxa" w:w="2351"/>
            <w:shd w:val="clear" w:color="auto" w:fill="DDEBF7"/>
          </w:tcPr>
          <w:p>
            <w:r>
              <w:rPr>
                <w:rFonts w:ascii="Meiryo UI" w:hAnsi="Meiryo UI"/>
                <w:sz w:val="18"/>
              </w:rPr>
              <w:t>永続成長</w:t>
            </w:r>
          </w:p>
        </w:tc>
      </w:tr>
    </w:tbl>
    <w:p/>
    <w:p>
      <w:pPr>
        <w:pStyle w:val="Heading4"/>
      </w:pPr>
      <w:r>
        <w:rPr>
          <w:rFonts w:ascii="Meiryo UI" w:hAnsi="Meiryo UI"/>
          <w:color w:val="2E74B5"/>
        </w:rPr>
        <w:t>DCFキャッシュフロー計算表（ベースケース）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割引率(WACC)</w:t>
            </w:r>
          </w:p>
        </w:tc>
        <w:tc>
          <w:tcPr>
            <w:tcW w:type="dxa" w:w="1881"/>
            <w:shd w:val="clear" w:color="auto" w:fill="2E74B5"/>
          </w:tcPr>
          <w:p>
            <w:r>
              <w:rPr>
                <w:rFonts w:ascii="Meiryo UI" w:hAnsi="Meiryo UI"/>
                <w:b/>
                <w:color w:val="FFFFFF"/>
                <w:sz w:val="18"/>
              </w:rPr>
              <w:t>PV係数</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1,020</w:t>
            </w:r>
          </w:p>
        </w:tc>
        <w:tc>
          <w:tcPr>
            <w:tcW w:type="dxa" w:w="1881"/>
          </w:tcPr>
          <w:p>
            <w:r>
              <w:rPr>
                <w:rFonts w:ascii="Meiryo UI" w:hAnsi="Meiryo UI"/>
                <w:sz w:val="18"/>
              </w:rPr>
              <w:t>5.655%</w:t>
            </w:r>
          </w:p>
        </w:tc>
        <w:tc>
          <w:tcPr>
            <w:tcW w:type="dxa" w:w="1881"/>
          </w:tcPr>
          <w:p>
            <w:r>
              <w:rPr>
                <w:rFonts w:ascii="Meiryo UI" w:hAnsi="Meiryo UI"/>
                <w:sz w:val="18"/>
              </w:rPr>
              <w:t>0.9465</w:t>
            </w:r>
          </w:p>
        </w:tc>
        <w:tc>
          <w:tcPr>
            <w:tcW w:type="dxa" w:w="1881"/>
          </w:tcPr>
          <w:p>
            <w:r>
              <w:rPr>
                <w:rFonts w:ascii="Meiryo UI" w:hAnsi="Meiryo UI"/>
                <w:sz w:val="18"/>
              </w:rPr>
              <w:t>965</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1,040</w:t>
            </w:r>
          </w:p>
        </w:tc>
        <w:tc>
          <w:tcPr>
            <w:tcW w:type="dxa" w:w="1881"/>
            <w:shd w:val="clear" w:color="auto" w:fill="DDEBF7"/>
          </w:tcPr>
          <w:p>
            <w:r>
              <w:rPr>
                <w:rFonts w:ascii="Meiryo UI" w:hAnsi="Meiryo UI"/>
                <w:sz w:val="18"/>
              </w:rPr>
              <w:t>5.655%</w:t>
            </w:r>
          </w:p>
        </w:tc>
        <w:tc>
          <w:tcPr>
            <w:tcW w:type="dxa" w:w="1881"/>
            <w:shd w:val="clear" w:color="auto" w:fill="DDEBF7"/>
          </w:tcPr>
          <w:p>
            <w:r>
              <w:rPr>
                <w:rFonts w:ascii="Meiryo UI" w:hAnsi="Meiryo UI"/>
                <w:sz w:val="18"/>
              </w:rPr>
              <w:t>0.8959</w:t>
            </w:r>
          </w:p>
        </w:tc>
        <w:tc>
          <w:tcPr>
            <w:tcW w:type="dxa" w:w="1881"/>
            <w:shd w:val="clear" w:color="auto" w:fill="DDEBF7"/>
          </w:tcPr>
          <w:p>
            <w:r>
              <w:rPr>
                <w:rFonts w:ascii="Meiryo UI" w:hAnsi="Meiryo UI"/>
                <w:sz w:val="18"/>
              </w:rPr>
              <w:t>932</w:t>
            </w:r>
          </w:p>
        </w:tc>
      </w:tr>
      <w:tr>
        <w:tc>
          <w:tcPr>
            <w:tcW w:type="dxa" w:w="1881"/>
          </w:tcPr>
          <w:p>
            <w:r>
              <w:rPr>
                <w:rFonts w:ascii="Meiryo UI" w:hAnsi="Meiryo UI"/>
                <w:sz w:val="18"/>
              </w:rPr>
              <w:t>FY2028</w:t>
            </w:r>
          </w:p>
        </w:tc>
        <w:tc>
          <w:tcPr>
            <w:tcW w:type="dxa" w:w="1881"/>
          </w:tcPr>
          <w:p>
            <w:r>
              <w:rPr>
                <w:rFonts w:ascii="Meiryo UI" w:hAnsi="Meiryo UI"/>
                <w:sz w:val="18"/>
              </w:rPr>
              <w:t>1,061</w:t>
            </w:r>
          </w:p>
        </w:tc>
        <w:tc>
          <w:tcPr>
            <w:tcW w:type="dxa" w:w="1881"/>
          </w:tcPr>
          <w:p>
            <w:r>
              <w:rPr>
                <w:rFonts w:ascii="Meiryo UI" w:hAnsi="Meiryo UI"/>
                <w:sz w:val="18"/>
              </w:rPr>
              <w:t>5.655%</w:t>
            </w:r>
          </w:p>
        </w:tc>
        <w:tc>
          <w:tcPr>
            <w:tcW w:type="dxa" w:w="1881"/>
          </w:tcPr>
          <w:p>
            <w:r>
              <w:rPr>
                <w:rFonts w:ascii="Meiryo UI" w:hAnsi="Meiryo UI"/>
                <w:sz w:val="18"/>
              </w:rPr>
              <w:t>0.8481</w:t>
            </w:r>
          </w:p>
        </w:tc>
        <w:tc>
          <w:tcPr>
            <w:tcW w:type="dxa" w:w="1881"/>
          </w:tcPr>
          <w:p>
            <w:r>
              <w:rPr>
                <w:rFonts w:ascii="Meiryo UI" w:hAnsi="Meiryo UI"/>
                <w:sz w:val="18"/>
              </w:rPr>
              <w:t>900</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1,093</w:t>
            </w:r>
          </w:p>
        </w:tc>
        <w:tc>
          <w:tcPr>
            <w:tcW w:type="dxa" w:w="1881"/>
            <w:shd w:val="clear" w:color="auto" w:fill="DDEBF7"/>
          </w:tcPr>
          <w:p>
            <w:r>
              <w:rPr>
                <w:rFonts w:ascii="Meiryo UI" w:hAnsi="Meiryo UI"/>
                <w:sz w:val="18"/>
              </w:rPr>
              <w:t>5.655%</w:t>
            </w:r>
          </w:p>
        </w:tc>
        <w:tc>
          <w:tcPr>
            <w:tcW w:type="dxa" w:w="1881"/>
            <w:shd w:val="clear" w:color="auto" w:fill="DDEBF7"/>
          </w:tcPr>
          <w:p>
            <w:r>
              <w:rPr>
                <w:rFonts w:ascii="Meiryo UI" w:hAnsi="Meiryo UI"/>
                <w:sz w:val="18"/>
              </w:rPr>
              <w:t>0.8029</w:t>
            </w:r>
          </w:p>
        </w:tc>
        <w:tc>
          <w:tcPr>
            <w:tcW w:type="dxa" w:w="1881"/>
            <w:shd w:val="clear" w:color="auto" w:fill="DDEBF7"/>
          </w:tcPr>
          <w:p>
            <w:r>
              <w:rPr>
                <w:rFonts w:ascii="Meiryo UI" w:hAnsi="Meiryo UI"/>
                <w:sz w:val="18"/>
              </w:rPr>
              <w:t>877</w:t>
            </w:r>
          </w:p>
        </w:tc>
      </w:tr>
      <w:tr>
        <w:tc>
          <w:tcPr>
            <w:tcW w:type="dxa" w:w="1881"/>
          </w:tcPr>
          <w:p>
            <w:r>
              <w:rPr>
                <w:rFonts w:ascii="Meiryo UI" w:hAnsi="Meiryo UI"/>
                <w:sz w:val="18"/>
              </w:rPr>
              <w:t>FY2030</w:t>
            </w:r>
          </w:p>
        </w:tc>
        <w:tc>
          <w:tcPr>
            <w:tcW w:type="dxa" w:w="1881"/>
          </w:tcPr>
          <w:p>
            <w:r>
              <w:rPr>
                <w:rFonts w:ascii="Meiryo UI" w:hAnsi="Meiryo UI"/>
                <w:sz w:val="18"/>
              </w:rPr>
              <w:t>1,126</w:t>
            </w:r>
          </w:p>
        </w:tc>
        <w:tc>
          <w:tcPr>
            <w:tcW w:type="dxa" w:w="1881"/>
          </w:tcPr>
          <w:p>
            <w:r>
              <w:rPr>
                <w:rFonts w:ascii="Meiryo UI" w:hAnsi="Meiryo UI"/>
                <w:sz w:val="18"/>
              </w:rPr>
              <w:t>5.655%</w:t>
            </w:r>
          </w:p>
        </w:tc>
        <w:tc>
          <w:tcPr>
            <w:tcW w:type="dxa" w:w="1881"/>
          </w:tcPr>
          <w:p>
            <w:r>
              <w:rPr>
                <w:rFonts w:ascii="Meiryo UI" w:hAnsi="Meiryo UI"/>
                <w:sz w:val="18"/>
              </w:rPr>
              <w:t>0.7602</w:t>
            </w:r>
          </w:p>
        </w:tc>
        <w:tc>
          <w:tcPr>
            <w:tcW w:type="dxa" w:w="1881"/>
          </w:tcPr>
          <w:p>
            <w:r>
              <w:rPr>
                <w:rFonts w:ascii="Meiryo UI" w:hAnsi="Meiryo UI"/>
                <w:sz w:val="18"/>
              </w:rPr>
              <w:t>856</w:t>
            </w:r>
          </w:p>
        </w:tc>
      </w:tr>
      <w:tr>
        <w:tc>
          <w:tcPr>
            <w:tcW w:type="dxa" w:w="1881"/>
            <w:shd w:val="clear" w:color="auto" w:fill="DDEBF7"/>
          </w:tcPr>
          <w:p>
            <w:r>
              <w:rPr>
                <w:rFonts w:ascii="Meiryo UI" w:hAnsi="Meiryo UI"/>
                <w:sz w:val="18"/>
              </w:rPr>
              <w:t>FY2031</w:t>
            </w:r>
          </w:p>
        </w:tc>
        <w:tc>
          <w:tcPr>
            <w:tcW w:type="dxa" w:w="1881"/>
            <w:shd w:val="clear" w:color="auto" w:fill="DDEBF7"/>
          </w:tcPr>
          <w:p>
            <w:r>
              <w:rPr>
                <w:rFonts w:ascii="Meiryo UI" w:hAnsi="Meiryo UI"/>
                <w:sz w:val="18"/>
              </w:rPr>
              <w:t>1,159</w:t>
            </w:r>
          </w:p>
        </w:tc>
        <w:tc>
          <w:tcPr>
            <w:tcW w:type="dxa" w:w="1881"/>
            <w:shd w:val="clear" w:color="auto" w:fill="DDEBF7"/>
          </w:tcPr>
          <w:p>
            <w:r>
              <w:rPr>
                <w:rFonts w:ascii="Meiryo UI" w:hAnsi="Meiryo UI"/>
                <w:sz w:val="18"/>
              </w:rPr>
              <w:t>5.655%</w:t>
            </w:r>
          </w:p>
        </w:tc>
        <w:tc>
          <w:tcPr>
            <w:tcW w:type="dxa" w:w="1881"/>
            <w:shd w:val="clear" w:color="auto" w:fill="DDEBF7"/>
          </w:tcPr>
          <w:p>
            <w:r>
              <w:rPr>
                <w:rFonts w:ascii="Meiryo UI" w:hAnsi="Meiryo UI"/>
                <w:sz w:val="18"/>
              </w:rPr>
              <w:t>0.7197</w:t>
            </w:r>
          </w:p>
        </w:tc>
        <w:tc>
          <w:tcPr>
            <w:tcW w:type="dxa" w:w="1881"/>
            <w:shd w:val="clear" w:color="auto" w:fill="DDEBF7"/>
          </w:tcPr>
          <w:p>
            <w:r>
              <w:rPr>
                <w:rFonts w:ascii="Meiryo UI" w:hAnsi="Meiryo UI"/>
                <w:sz w:val="18"/>
              </w:rPr>
              <w:t>835</w:t>
            </w:r>
          </w:p>
        </w:tc>
      </w:tr>
      <w:tr>
        <w:tc>
          <w:tcPr>
            <w:tcW w:type="dxa" w:w="1881"/>
          </w:tcPr>
          <w:p>
            <w:r>
              <w:rPr>
                <w:rFonts w:ascii="Meiryo UI" w:hAnsi="Meiryo UI"/>
                <w:sz w:val="18"/>
              </w:rPr>
              <w:t>FY2032</w:t>
            </w:r>
          </w:p>
        </w:tc>
        <w:tc>
          <w:tcPr>
            <w:tcW w:type="dxa" w:w="1881"/>
          </w:tcPr>
          <w:p>
            <w:r>
              <w:rPr>
                <w:rFonts w:ascii="Meiryo UI" w:hAnsi="Meiryo UI"/>
                <w:sz w:val="18"/>
              </w:rPr>
              <w:t>1,194</w:t>
            </w:r>
          </w:p>
        </w:tc>
        <w:tc>
          <w:tcPr>
            <w:tcW w:type="dxa" w:w="1881"/>
          </w:tcPr>
          <w:p>
            <w:r>
              <w:rPr>
                <w:rFonts w:ascii="Meiryo UI" w:hAnsi="Meiryo UI"/>
                <w:sz w:val="18"/>
              </w:rPr>
              <w:t>5.655%</w:t>
            </w:r>
          </w:p>
        </w:tc>
        <w:tc>
          <w:tcPr>
            <w:tcW w:type="dxa" w:w="1881"/>
          </w:tcPr>
          <w:p>
            <w:r>
              <w:rPr>
                <w:rFonts w:ascii="Meiryo UI" w:hAnsi="Meiryo UI"/>
                <w:sz w:val="18"/>
              </w:rPr>
              <w:t>0.6814</w:t>
            </w:r>
          </w:p>
        </w:tc>
        <w:tc>
          <w:tcPr>
            <w:tcW w:type="dxa" w:w="1881"/>
          </w:tcPr>
          <w:p>
            <w:r>
              <w:rPr>
                <w:rFonts w:ascii="Meiryo UI" w:hAnsi="Meiryo UI"/>
                <w:sz w:val="18"/>
              </w:rPr>
              <w:t>813</w:t>
            </w:r>
          </w:p>
        </w:tc>
      </w:tr>
      <w:tr>
        <w:tc>
          <w:tcPr>
            <w:tcW w:type="dxa" w:w="1881"/>
            <w:shd w:val="clear" w:color="auto" w:fill="DDEBF7"/>
          </w:tcPr>
          <w:p>
            <w:r>
              <w:rPr>
                <w:rFonts w:ascii="Meiryo UI" w:hAnsi="Meiryo UI"/>
                <w:sz w:val="18"/>
              </w:rPr>
              <w:t>FY2033</w:t>
            </w:r>
          </w:p>
        </w:tc>
        <w:tc>
          <w:tcPr>
            <w:tcW w:type="dxa" w:w="1881"/>
            <w:shd w:val="clear" w:color="auto" w:fill="DDEBF7"/>
          </w:tcPr>
          <w:p>
            <w:r>
              <w:rPr>
                <w:rFonts w:ascii="Meiryo UI" w:hAnsi="Meiryo UI"/>
                <w:sz w:val="18"/>
              </w:rPr>
              <w:t>1,218</w:t>
            </w:r>
          </w:p>
        </w:tc>
        <w:tc>
          <w:tcPr>
            <w:tcW w:type="dxa" w:w="1881"/>
            <w:shd w:val="clear" w:color="auto" w:fill="DDEBF7"/>
          </w:tcPr>
          <w:p>
            <w:r>
              <w:rPr>
                <w:rFonts w:ascii="Meiryo UI" w:hAnsi="Meiryo UI"/>
                <w:sz w:val="18"/>
              </w:rPr>
              <w:t>5.655%</w:t>
            </w:r>
          </w:p>
        </w:tc>
        <w:tc>
          <w:tcPr>
            <w:tcW w:type="dxa" w:w="1881"/>
            <w:shd w:val="clear" w:color="auto" w:fill="DDEBF7"/>
          </w:tcPr>
          <w:p>
            <w:r>
              <w:rPr>
                <w:rFonts w:ascii="Meiryo UI" w:hAnsi="Meiryo UI"/>
                <w:sz w:val="18"/>
              </w:rPr>
              <w:t>0.6452</w:t>
            </w:r>
          </w:p>
        </w:tc>
        <w:tc>
          <w:tcPr>
            <w:tcW w:type="dxa" w:w="1881"/>
            <w:shd w:val="clear" w:color="auto" w:fill="DDEBF7"/>
          </w:tcPr>
          <w:p>
            <w:r>
              <w:rPr>
                <w:rFonts w:ascii="Meiryo UI" w:hAnsi="Meiryo UI"/>
                <w:sz w:val="18"/>
              </w:rPr>
              <w:t>786</w:t>
            </w:r>
          </w:p>
        </w:tc>
      </w:tr>
      <w:tr>
        <w:tc>
          <w:tcPr>
            <w:tcW w:type="dxa" w:w="1881"/>
          </w:tcPr>
          <w:p>
            <w:r>
              <w:rPr>
                <w:rFonts w:ascii="Meiryo UI" w:hAnsi="Meiryo UI"/>
                <w:sz w:val="18"/>
              </w:rPr>
              <w:t>FY2034</w:t>
            </w:r>
          </w:p>
        </w:tc>
        <w:tc>
          <w:tcPr>
            <w:tcW w:type="dxa" w:w="1881"/>
          </w:tcPr>
          <w:p>
            <w:r>
              <w:rPr>
                <w:rFonts w:ascii="Meiryo UI" w:hAnsi="Meiryo UI"/>
                <w:sz w:val="18"/>
              </w:rPr>
              <w:t>1,242</w:t>
            </w:r>
          </w:p>
        </w:tc>
        <w:tc>
          <w:tcPr>
            <w:tcW w:type="dxa" w:w="1881"/>
          </w:tcPr>
          <w:p>
            <w:r>
              <w:rPr>
                <w:rFonts w:ascii="Meiryo UI" w:hAnsi="Meiryo UI"/>
                <w:sz w:val="18"/>
              </w:rPr>
              <w:t>5.655%</w:t>
            </w:r>
          </w:p>
        </w:tc>
        <w:tc>
          <w:tcPr>
            <w:tcW w:type="dxa" w:w="1881"/>
          </w:tcPr>
          <w:p>
            <w:r>
              <w:rPr>
                <w:rFonts w:ascii="Meiryo UI" w:hAnsi="Meiryo UI"/>
                <w:sz w:val="18"/>
              </w:rPr>
              <w:t>0.6109</w:t>
            </w:r>
          </w:p>
        </w:tc>
        <w:tc>
          <w:tcPr>
            <w:tcW w:type="dxa" w:w="1881"/>
          </w:tcPr>
          <w:p>
            <w:r>
              <w:rPr>
                <w:rFonts w:ascii="Meiryo UI" w:hAnsi="Meiryo UI"/>
                <w:sz w:val="18"/>
              </w:rPr>
              <w:t>759</w:t>
            </w:r>
          </w:p>
        </w:tc>
      </w:tr>
      <w:tr>
        <w:tc>
          <w:tcPr>
            <w:tcW w:type="dxa" w:w="1881"/>
            <w:shd w:val="clear" w:color="auto" w:fill="DDEBF7"/>
          </w:tcPr>
          <w:p>
            <w:r>
              <w:rPr>
                <w:rFonts w:ascii="Meiryo UI" w:hAnsi="Meiryo UI"/>
                <w:sz w:val="18"/>
              </w:rPr>
              <w:t>FY2035</w:t>
            </w:r>
          </w:p>
        </w:tc>
        <w:tc>
          <w:tcPr>
            <w:tcW w:type="dxa" w:w="1881"/>
            <w:shd w:val="clear" w:color="auto" w:fill="DDEBF7"/>
          </w:tcPr>
          <w:p>
            <w:r>
              <w:rPr>
                <w:rFonts w:ascii="Meiryo UI" w:hAnsi="Meiryo UI"/>
                <w:sz w:val="18"/>
              </w:rPr>
              <w:t>1,267</w:t>
            </w:r>
          </w:p>
        </w:tc>
        <w:tc>
          <w:tcPr>
            <w:tcW w:type="dxa" w:w="1881"/>
            <w:shd w:val="clear" w:color="auto" w:fill="DDEBF7"/>
          </w:tcPr>
          <w:p>
            <w:r>
              <w:rPr>
                <w:rFonts w:ascii="Meiryo UI" w:hAnsi="Meiryo UI"/>
                <w:sz w:val="18"/>
              </w:rPr>
              <w:t>5.655%</w:t>
            </w:r>
          </w:p>
        </w:tc>
        <w:tc>
          <w:tcPr>
            <w:tcW w:type="dxa" w:w="1881"/>
            <w:shd w:val="clear" w:color="auto" w:fill="DDEBF7"/>
          </w:tcPr>
          <w:p>
            <w:r>
              <w:rPr>
                <w:rFonts w:ascii="Meiryo UI" w:hAnsi="Meiryo UI"/>
                <w:sz w:val="18"/>
              </w:rPr>
              <w:t>0.5784</w:t>
            </w:r>
          </w:p>
        </w:tc>
        <w:tc>
          <w:tcPr>
            <w:tcW w:type="dxa" w:w="1881"/>
            <w:shd w:val="clear" w:color="auto" w:fill="DDEBF7"/>
          </w:tcPr>
          <w:p>
            <w:r>
              <w:rPr>
                <w:rFonts w:ascii="Meiryo UI" w:hAnsi="Meiryo UI"/>
                <w:sz w:val="18"/>
              </w:rPr>
              <w:t>733</w:t>
            </w:r>
          </w:p>
        </w:tc>
      </w:tr>
      <w:tr>
        <w:tc>
          <w:tcPr>
            <w:tcW w:type="dxa" w:w="1881"/>
          </w:tcPr>
          <w:p>
            <w:r>
              <w:rPr>
                <w:rFonts w:ascii="Meiryo UI" w:hAnsi="Meiryo UI"/>
                <w:sz w:val="18"/>
              </w:rPr>
              <w:t>PV合計（予測期間）</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8,456</w:t>
            </w:r>
          </w:p>
        </w:tc>
      </w:tr>
    </w:tbl>
    <w:p/>
    <w:p>
      <w:pPr>
        <w:pStyle w:val="Heading4"/>
      </w:pPr>
      <w:r>
        <w:rPr>
          <w:rFonts w:ascii="Meiryo UI" w:hAnsi="Meiryo UI"/>
          <w:color w:val="2E74B5"/>
        </w:rPr>
        <w:t>ターミナルバリュー（TV）計算</w:t>
      </w:r>
    </w:p>
    <w:p/>
    <w:p>
      <w:pPr>
        <w:shd w:val="clear" w:color="auto" w:fill="F2F2F2"/>
      </w:pPr>
      <w:r>
        <w:rPr>
          <w:rFonts w:ascii="Courier New" w:hAnsi="Courier New"/>
          <w:sz w:val="16"/>
        </w:rPr>
        <w:t>TV = FCF_2035 × (1+g) / (WACC - g)</w:t>
        <w:br/>
        <w:t>TV = 1,267 × 1.015 / (0.05655 - 0.015)</w:t>
        <w:br/>
        <w:t>TV = 1,286 / 0.04155</w:t>
        <w:br/>
        <w:t>TV = 30,951億円</w:t>
        <w:br/>
        <w:br/>
        <w:t>TV の現在価値（PV_TV）:</w:t>
        <w:br/>
        <w:t>PV_TV = 30,951 × 0.5784（10年割引）</w:t>
        <w:br/>
        <w:t>PV_TV = 17,902億円</w:t>
      </w:r>
    </w:p>
    <w:p/>
    <w:p>
      <w:pPr>
        <w:pStyle w:val="Heading4"/>
      </w:pPr>
      <w:r>
        <w:rPr>
          <w:rFonts w:ascii="Meiryo UI" w:hAnsi="Meiryo UI"/>
          <w:color w:val="2E74B5"/>
        </w:rPr>
        <w:t>エンタープライズバリュー → 株主価値</w:t>
      </w:r>
    </w:p>
    <w:p/>
    <w:p>
      <w:pPr>
        <w:shd w:val="clear" w:color="auto" w:fill="F2F2F2"/>
      </w:pPr>
      <w:r>
        <w:rPr>
          <w:rFonts w:ascii="Courier New" w:hAnsi="Courier New"/>
          <w:sz w:val="16"/>
        </w:rPr>
        <w:t>企業価値（EV）= PV_FCF + PV_TV</w:t>
        <w:br/>
        <w:t>EV = 8,456 + 17,902 = 26,358億円</w:t>
        <w:br/>
        <w:br/>
        <w:t>ネットキャッシュ調整（+1,500億円想定）:</w:t>
        <w:br/>
        <w:t>株主価値 = 26,358 + 1,500 = 27,858億円</w:t>
        <w:br/>
        <w:br/>
        <w:t>発行済み株式数（推計）：約1億1,000万株</w:t>
        <w:br/>
        <w:br/>
        <w:t>理論株価 = 27,858億円 ÷ 1.1億株</w:t>
        <w:br/>
        <w:t xml:space="preserve">         = 25,325円</w:t>
      </w:r>
    </w:p>
    <w:p/>
    <w:p>
      <w:r>
        <w:rPr>
          <w:rFonts w:ascii="Meiryo UI" w:hAnsi="Meiryo UI"/>
          <w:sz w:val="20"/>
        </w:rPr>
        <w:t>→ DCFベース理論株価（ベースケース）：約25,000〜25,500円</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理論株価（円）</w:t>
            </w:r>
          </w:p>
        </w:tc>
        <w:tc>
          <w:tcPr>
            <w:tcW w:type="dxa" w:w="3135"/>
            <w:shd w:val="clear" w:color="auto" w:fill="2E74B5"/>
          </w:tcPr>
          <w:p>
            <w:r>
              <w:rPr>
                <w:rFonts w:ascii="Meiryo UI" w:hAnsi="Meiryo UI"/>
                <w:b/>
                <w:color w:val="FFFFFF"/>
                <w:sz w:val="18"/>
              </w:rPr>
              <w:t>重み</w:t>
            </w:r>
          </w:p>
        </w:tc>
      </w:tr>
      <w:tr>
        <w:tc>
          <w:tcPr>
            <w:tcW w:type="dxa" w:w="3135"/>
          </w:tcPr>
          <w:p>
            <w:r>
              <w:rPr>
                <w:rFonts w:ascii="Meiryo UI" w:hAnsi="Meiryo UI"/>
                <w:sz w:val="18"/>
              </w:rPr>
              <w:t>DCF（ベースケース）</w:t>
            </w:r>
          </w:p>
        </w:tc>
        <w:tc>
          <w:tcPr>
            <w:tcW w:type="dxa" w:w="3135"/>
          </w:tcPr>
          <w:p>
            <w:r>
              <w:rPr>
                <w:rFonts w:ascii="Meiryo UI" w:hAnsi="Meiryo UI"/>
                <w:sz w:val="18"/>
              </w:rPr>
              <w:t>25,000〜25,500</w:t>
            </w:r>
          </w:p>
        </w:tc>
        <w:tc>
          <w:tcPr>
            <w:tcW w:type="dxa" w:w="3135"/>
          </w:tcPr>
          <w:p>
            <w:r>
              <w:rPr>
                <w:rFonts w:ascii="Meiryo UI" w:hAnsi="Meiryo UI"/>
                <w:sz w:val="18"/>
              </w:rPr>
              <w:t>50%</w:t>
            </w:r>
          </w:p>
        </w:tc>
      </w:tr>
      <w:tr>
        <w:tc>
          <w:tcPr>
            <w:tcW w:type="dxa" w:w="3135"/>
            <w:shd w:val="clear" w:color="auto" w:fill="DDEBF7"/>
          </w:tcPr>
          <w:p>
            <w:r>
              <w:rPr>
                <w:rFonts w:ascii="Meiryo UI" w:hAnsi="Meiryo UI"/>
                <w:sz w:val="18"/>
              </w:rPr>
              <w:t>比較PER法（EPS 850円 × PER 22倍）</w:t>
            </w:r>
          </w:p>
        </w:tc>
        <w:tc>
          <w:tcPr>
            <w:tcW w:type="dxa" w:w="3135"/>
            <w:shd w:val="clear" w:color="auto" w:fill="DDEBF7"/>
          </w:tcPr>
          <w:p>
            <w:r>
              <w:rPr>
                <w:rFonts w:ascii="Meiryo UI" w:hAnsi="Meiryo UI"/>
                <w:sz w:val="18"/>
              </w:rPr>
              <w:t>18,700</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EV/EBITDA法（EBITDA 1,800億円 × 11倍）</w:t>
            </w:r>
          </w:p>
        </w:tc>
        <w:tc>
          <w:tcPr>
            <w:tcW w:type="dxa" w:w="3135"/>
          </w:tcPr>
          <w:p>
            <w:r>
              <w:rPr>
                <w:rFonts w:ascii="Meiryo UI" w:hAnsi="Meiryo UI"/>
                <w:sz w:val="18"/>
              </w:rPr>
              <w:t>19,500</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加重平均理論株価</w:t>
            </w:r>
          </w:p>
        </w:tc>
        <w:tc>
          <w:tcPr>
            <w:tcW w:type="dxa" w:w="3135"/>
            <w:shd w:val="clear" w:color="auto" w:fill="DDEBF7"/>
          </w:tcPr>
          <w:p>
            <w:r>
              <w:rPr>
                <w:rFonts w:ascii="Meiryo UI" w:hAnsi="Meiryo UI"/>
                <w:sz w:val="18"/>
              </w:rPr>
              <w:t>約22,000〜23,000円</w:t>
            </w:r>
          </w:p>
        </w:tc>
        <w:tc>
          <w:tcPr>
            <w:tcW w:type="dxa" w:w="3135"/>
            <w:shd w:val="clear" w:color="auto" w:fill="DDEBF7"/>
          </w:tcPr>
          <w:p>
            <w:r>
              <w:rPr>
                <w:rFonts w:ascii="Meiryo UI" w:hAnsi="Meiryo UI"/>
                <w:sz w:val="18"/>
              </w:rPr>
              <w:t>100%</w:t>
            </w:r>
          </w:p>
        </w:tc>
      </w:tr>
    </w:tbl>
    <w:p/>
    <w:p>
      <w:r>
        <w:rPr>
          <w:rFonts w:ascii="Meiryo UI" w:hAnsi="Meiryo UI"/>
          <w:sz w:val="20"/>
        </w:rPr>
        <w:t>&gt; ※DCFは楽観的な前提を含むためウェイトを抑制。PERベースをより重視。</w:t>
      </w:r>
    </w:p>
    <w:p/>
    <w:p>
      <w:pPr>
        <w:pStyle w:val="Heading3"/>
      </w:pPr>
      <w:r>
        <w:rPr>
          <w:rFonts w:ascii="Meiryo UI" w:hAnsi="Meiryo UI"/>
          <w:color w:val="2E74B5"/>
        </w:rPr>
        <w:t>5-2. 安全域（Margin of Safety）</w:t>
      </w:r>
    </w:p>
    <w:p/>
    <w:p>
      <w:pPr>
        <w:shd w:val="clear" w:color="auto" w:fill="F2F2F2"/>
      </w:pPr>
      <w:r>
        <w:rPr>
          <w:rFonts w:ascii="Courier New" w:hAnsi="Courier New"/>
          <w:sz w:val="16"/>
        </w:rPr>
        <w:t>加重平均理論株価：約22,500円（中央値）</w:t>
        <w:br/>
        <w:br/>
        <w:t>安全域考慮後の推奨エントリー価格：</w:t>
        <w:br/>
        <w:t xml:space="preserve"> ・保守的MoS（▲25%）：約16,875円</w:t>
        <w:br/>
        <w:t xml:space="preserve"> ・標準的MoS（▲20%）：約18,000円</w:t>
        <w:br/>
        <w:t xml:space="preserve"> ・最低MoS（▲15%）：約19,125円</w:t>
        <w:br/>
        <w:br/>
        <w:t>現在株価推計：約13,000〜14,500円</w:t>
        <w:br/>
        <w:br/>
        <w:t>→ 現在株価は既に理論値を大幅に「下回っている」可能性が高い</w:t>
        <w:br/>
        <w:t>→ ただし、円安・業績下振れリスクが顕在化する場合は理論値そのものが低下することに注意</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投資判断：【中立〜買い】（ニュートラル・コンディショナルBUY）│</w:t>
        <w:br/>
        <w:t>│                                             │</w:t>
        <w:br/>
        <w:t>│  短期（1〜3ヶ月）：★★★☆☆  条件付き買い         │</w:t>
        <w:br/>
        <w:t>│  中期（6〜12ヶ月）：★★☆☆☆  要注視・円相場依存    │</w:t>
        <w:br/>
        <w:t>│  長期（2〜3年）：★★★★☆  割安感あり・積立向き    │</w:t>
        <w:br/>
        <w:t>└─────────────────────────────────────┘</w:t>
      </w:r>
    </w:p>
    <w:p/>
    <w:p>
      <w:r>
        <w:rPr>
          <w:rFonts w:ascii="Meiryo UI" w:hAnsi="Meiryo UI"/>
          <w:sz w:val="20"/>
        </w:rPr>
        <w:t>判断根拠：</w:t>
      </w:r>
    </w:p>
    <w:p>
      <w:pPr>
        <w:pStyle w:val="ListBullet"/>
      </w:pPr>
      <w:r>
        <w:rPr>
          <w:rFonts w:ascii="Meiryo UI" w:hAnsi="Meiryo UI"/>
          <w:sz w:val="20"/>
        </w:rPr>
        <w:t>理論株価との乖離は大きく、長期的には上昇余地あり</w:t>
      </w:r>
    </w:p>
    <w:p>
      <w:pPr>
        <w:pStyle w:val="ListBullet"/>
      </w:pPr>
      <w:r>
        <w:rPr>
          <w:rFonts w:ascii="Meiryo UI" w:hAnsi="Meiryo UI"/>
          <w:sz w:val="20"/>
        </w:rPr>
        <w:t>ただし円安継続シナリオでは理論株価自体が下方修正される</w:t>
      </w:r>
    </w:p>
    <w:p>
      <w:pPr>
        <w:pStyle w:val="ListBullet"/>
      </w:pPr>
      <w:r>
        <w:rPr>
          <w:rFonts w:ascii="Meiryo UI" w:hAnsi="Meiryo UI"/>
          <w:sz w:val="20"/>
        </w:rPr>
        <w:t>RSI 21.3は短期リバウンドの蓋然性を高めるが、構造問題の解決ではない</w:t>
      </w:r>
    </w:p>
    <w:p>
      <w:pPr>
        <w:pStyle w:val="ListBullet"/>
      </w:pPr>
      <w:r>
        <w:rPr>
          <w:rFonts w:ascii="Meiryo UI" w:hAnsi="Meiryo UI"/>
          <w:sz w:val="20"/>
        </w:rPr>
        <w:t>財務健全性・FCF創出力は評価でき、下値リスクは限定的</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確率（深井推計）</w:t>
            </w:r>
          </w:p>
        </w:tc>
        <w:tc>
          <w:tcPr>
            <w:tcW w:type="dxa" w:w="2351"/>
          </w:tcPr>
          <w:p>
            <w:r>
              <w:rPr>
                <w:rFonts w:ascii="Meiryo UI" w:hAnsi="Meiryo UI"/>
                <w:sz w:val="18"/>
              </w:rPr>
              <w:t>20%</w:t>
            </w:r>
          </w:p>
        </w:tc>
        <w:tc>
          <w:tcPr>
            <w:tcW w:type="dxa" w:w="2351"/>
          </w:tcPr>
          <w:p>
            <w:r>
              <w:rPr>
                <w:rFonts w:ascii="Meiryo UI" w:hAnsi="Meiryo UI"/>
                <w:sz w:val="18"/>
              </w:rPr>
              <w:t>50%</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USD/JPY</w:t>
            </w:r>
          </w:p>
        </w:tc>
        <w:tc>
          <w:tcPr>
            <w:tcW w:type="dxa" w:w="2351"/>
            <w:shd w:val="clear" w:color="auto" w:fill="DDEBF7"/>
          </w:tcPr>
          <w:p>
            <w:r>
              <w:rPr>
                <w:rFonts w:ascii="Meiryo UI" w:hAnsi="Meiryo UI"/>
                <w:sz w:val="18"/>
              </w:rPr>
              <w:t>130〜138円（円高）</w:t>
            </w:r>
          </w:p>
        </w:tc>
        <w:tc>
          <w:tcPr>
            <w:tcW w:type="dxa" w:w="2351"/>
            <w:shd w:val="clear" w:color="auto" w:fill="DDEBF7"/>
          </w:tcPr>
          <w:p>
            <w:r>
              <w:rPr>
                <w:rFonts w:ascii="Meiryo UI" w:hAnsi="Meiryo UI"/>
                <w:sz w:val="18"/>
              </w:rPr>
              <w:t>145〜155円（現状）</w:t>
            </w:r>
          </w:p>
        </w:tc>
        <w:tc>
          <w:tcPr>
            <w:tcW w:type="dxa" w:w="2351"/>
            <w:shd w:val="clear" w:color="auto" w:fill="DDEBF7"/>
          </w:tcPr>
          <w:p>
            <w:r>
              <w:rPr>
                <w:rFonts w:ascii="Meiryo UI" w:hAnsi="Meiryo UI"/>
                <w:sz w:val="18"/>
              </w:rPr>
              <w:t>160〜170円（円安深化）</w:t>
            </w:r>
          </w:p>
        </w:tc>
      </w:tr>
      <w:tr>
        <w:tc>
          <w:tcPr>
            <w:tcW w:type="dxa" w:w="2351"/>
          </w:tcPr>
          <w:p>
            <w:r>
              <w:rPr>
                <w:rFonts w:ascii="Meiryo UI" w:hAnsi="Meiryo UI"/>
                <w:sz w:val="18"/>
              </w:rPr>
              <w:t>FCF成長率（Phase1）</w:t>
            </w:r>
          </w:p>
        </w:tc>
        <w:tc>
          <w:tcPr>
            <w:tcW w:type="dxa" w:w="2351"/>
          </w:tcPr>
          <w:p>
            <w:r>
              <w:rPr>
                <w:rFonts w:ascii="Meiryo UI" w:hAnsi="Meiryo UI"/>
                <w:sz w:val="18"/>
              </w:rPr>
              <w:t>+5%</w:t>
            </w:r>
          </w:p>
        </w:tc>
        <w:tc>
          <w:tcPr>
            <w:tcW w:type="dxa" w:w="2351"/>
          </w:tcPr>
          <w:p>
            <w:r>
              <w:rPr>
                <w:rFonts w:ascii="Meiryo UI" w:hAnsi="Meiryo UI"/>
                <w:sz w:val="18"/>
              </w:rPr>
              <w:t>+2%</w:t>
            </w:r>
          </w:p>
        </w:tc>
        <w:tc>
          <w:tcPr>
            <w:tcW w:type="dxa" w:w="2351"/>
          </w:tcPr>
          <w:p>
            <w:r>
              <w:rPr>
                <w:rFonts w:ascii="Meiryo UI" w:hAnsi="Meiryo UI"/>
                <w:sz w:val="18"/>
              </w:rPr>
              <w:t>▲3%</w:t>
            </w:r>
          </w:p>
        </w:tc>
      </w:tr>
      <w:tr>
        <w:tc>
          <w:tcPr>
            <w:tcW w:type="dxa" w:w="2351"/>
            <w:shd w:val="clear" w:color="auto" w:fill="DDEBF7"/>
          </w:tcPr>
          <w:p>
            <w:r>
              <w:rPr>
                <w:rFonts w:ascii="Meiryo UI" w:hAnsi="Meiryo UI"/>
                <w:sz w:val="18"/>
              </w:rPr>
              <w:t>永続成長率</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WACC</w:t>
            </w:r>
          </w:p>
        </w:tc>
        <w:tc>
          <w:tcPr>
            <w:tcW w:type="dxa" w:w="2351"/>
          </w:tcPr>
          <w:p>
            <w:r>
              <w:rPr>
                <w:rFonts w:ascii="Meiryo UI" w:hAnsi="Meiryo UI"/>
                <w:sz w:val="18"/>
              </w:rPr>
              <w:t>5.2%</w:t>
            </w:r>
          </w:p>
        </w:tc>
        <w:tc>
          <w:tcPr>
            <w:tcW w:type="dxa" w:w="2351"/>
          </w:tcPr>
          <w:p>
            <w:r>
              <w:rPr>
                <w:rFonts w:ascii="Meiryo UI" w:hAnsi="Meiryo UI"/>
                <w:sz w:val="18"/>
              </w:rPr>
              <w:t>5.7%</w:t>
            </w:r>
          </w:p>
        </w:tc>
        <w:tc>
          <w:tcPr>
            <w:tcW w:type="dxa" w:w="2351"/>
          </w:tcPr>
          <w:p>
            <w:r>
              <w:rPr>
                <w:rFonts w:ascii="Meiryo UI" w:hAnsi="Meiryo UI"/>
                <w:sz w:val="18"/>
              </w:rPr>
              <w:t>6.5%</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32,000〜35,000円</w:t>
            </w:r>
          </w:p>
        </w:tc>
        <w:tc>
          <w:tcPr>
            <w:tcW w:type="dxa" w:w="2351"/>
            <w:shd w:val="clear" w:color="auto" w:fill="DDEBF7"/>
          </w:tcPr>
          <w:p>
            <w:r>
              <w:rPr>
                <w:rFonts w:ascii="Meiryo UI" w:hAnsi="Meiryo UI"/>
                <w:sz w:val="18"/>
              </w:rPr>
              <w:t>22,000〜25,500円</w:t>
            </w:r>
          </w:p>
        </w:tc>
        <w:tc>
          <w:tcPr>
            <w:tcW w:type="dxa" w:w="2351"/>
            <w:shd w:val="clear" w:color="auto" w:fill="DDEBF7"/>
          </w:tcPr>
          <w:p>
            <w:r>
              <w:rPr>
                <w:rFonts w:ascii="Meiryo UI" w:hAnsi="Meiryo UI"/>
                <w:sz w:val="18"/>
              </w:rPr>
              <w:t>10,000〜13,000円</w:t>
            </w:r>
          </w:p>
        </w:tc>
      </w:tr>
      <w:tr>
        <w:tc>
          <w:tcPr>
            <w:tcW w:type="dxa" w:w="2351"/>
          </w:tcPr>
          <w:p>
            <w:r>
              <w:rPr>
                <w:rFonts w:ascii="Meiryo UI" w:hAnsi="Meiryo UI"/>
                <w:sz w:val="18"/>
              </w:rPr>
              <w:t>主要トリガー</w:t>
            </w:r>
          </w:p>
        </w:tc>
        <w:tc>
          <w:tcPr>
            <w:tcW w:type="dxa" w:w="2351"/>
          </w:tcPr>
          <w:p>
            <w:r>
              <w:rPr>
                <w:rFonts w:ascii="Meiryo UI" w:hAnsi="Meiryo UI"/>
                <w:sz w:val="18"/>
              </w:rPr>
              <w:t>日銀急進利上げ・円高反転</w:t>
            </w:r>
          </w:p>
        </w:tc>
        <w:tc>
          <w:tcPr>
            <w:tcW w:type="dxa" w:w="2351"/>
          </w:tcPr>
          <w:p>
            <w:r>
              <w:rPr>
                <w:rFonts w:ascii="Meiryo UI" w:hAnsi="Meiryo UI"/>
                <w:sz w:val="18"/>
              </w:rPr>
              <w:t>現状維持・ゆるやかな改善</w:t>
            </w:r>
          </w:p>
        </w:tc>
        <w:tc>
          <w:tcPr>
            <w:tcW w:type="dxa" w:w="2351"/>
          </w:tcPr>
          <w:p>
            <w:r>
              <w:rPr>
                <w:rFonts w:ascii="Meiryo UI" w:hAnsi="Meiryo UI"/>
                <w:sz w:val="18"/>
              </w:rPr>
              <w:t>円安深化・消費低迷</w:t>
            </w:r>
          </w:p>
        </w:tc>
      </w:tr>
    </w:tbl>
    <w:p/>
    <w:p>
      <w:pPr>
        <w:pStyle w:val="Heading3"/>
      </w:pPr>
      <w:r>
        <w:rPr>
          <w:rFonts w:ascii="Meiryo UI" w:hAnsi="Meiryo UI"/>
          <w:color w:val="2E74B5"/>
        </w:rPr>
        <w:t>期待値計算（加重平均）</w:t>
      </w:r>
    </w:p>
    <w:p/>
    <w:p>
      <w:pPr>
        <w:shd w:val="clear" w:color="auto" w:fill="F2F2F2"/>
      </w:pPr>
      <w:r>
        <w:rPr>
          <w:rFonts w:ascii="Courier New" w:hAnsi="Courier New"/>
          <w:sz w:val="16"/>
        </w:rPr>
        <w:t>期待理論株価 = (33,500 × 0.20) + (23,750 × 0.50) + (11,500 × 0.30)</w:t>
        <w:br/>
        <w:t xml:space="preserve">             = 6,700 + 11,875 + 3,450</w:t>
        <w:br/>
        <w:t xml:space="preserve">             = 22,025円</w:t>
        <w:br/>
        <w:br/>
        <w:t>→ 期待値ベース理論株価：約22,000円</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浅井シグナルの分解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RSI 21.3</w:t>
            </w:r>
          </w:p>
        </w:tc>
        <w:tc>
          <w:tcPr>
            <w:tcW w:type="dxa" w:w="3135"/>
          </w:tcPr>
          <w:p>
            <w:r>
              <w:rPr>
                <w:rFonts w:ascii="Meiryo UI" w:hAnsi="Meiryo UI"/>
                <w:sz w:val="18"/>
              </w:rPr>
              <w:t>過売られ極値</w:t>
            </w:r>
          </w:p>
        </w:tc>
        <w:tc>
          <w:tcPr>
            <w:tcW w:type="dxa" w:w="3135"/>
          </w:tcPr>
          <w:p>
            <w:r>
              <w:rPr>
                <w:rFonts w:ascii="Meiryo UI" w:hAnsi="Meiryo UI"/>
                <w:sz w:val="18"/>
              </w:rPr>
              <w:t>✅ 有効（技術的反発確度70%）</w:t>
            </w:r>
          </w:p>
        </w:tc>
      </w:tr>
      <w:tr>
        <w:tc>
          <w:tcPr>
            <w:tcW w:type="dxa" w:w="3135"/>
            <w:shd w:val="clear" w:color="auto" w:fill="DDEBF7"/>
          </w:tcPr>
          <w:p>
            <w:r>
              <w:rPr>
                <w:rFonts w:ascii="Meiryo UI" w:hAnsi="Meiryo UI"/>
                <w:sz w:val="18"/>
              </w:rPr>
              <w:t>スコア +75</w:t>
            </w:r>
          </w:p>
        </w:tc>
        <w:tc>
          <w:tcPr>
            <w:tcW w:type="dxa" w:w="3135"/>
            <w:shd w:val="clear" w:color="auto" w:fill="DDEBF7"/>
          </w:tcPr>
          <w:p>
            <w:r>
              <w:rPr>
                <w:rFonts w:ascii="Meiryo UI" w:hAnsi="Meiryo UI"/>
                <w:sz w:val="18"/>
              </w:rPr>
              <w:t>強い逆張りシグナル</w:t>
            </w:r>
          </w:p>
        </w:tc>
        <w:tc>
          <w:tcPr>
            <w:tcW w:type="dxa" w:w="3135"/>
            <w:shd w:val="clear" w:color="auto" w:fill="DDEBF7"/>
          </w:tcPr>
          <w:p>
            <w:r>
              <w:rPr>
                <w:rFonts w:ascii="Meiryo UI" w:hAnsi="Meiryo UI"/>
                <w:sz w:val="18"/>
              </w:rPr>
              <w:t>⚠️ 半同意（トレード的には正しいが中期慎重）</w:t>
            </w:r>
          </w:p>
        </w:tc>
      </w:tr>
      <w:tr>
        <w:tc>
          <w:tcPr>
            <w:tcW w:type="dxa" w:w="3135"/>
          </w:tcPr>
          <w:p>
            <w:r>
              <w:rPr>
                <w:rFonts w:ascii="Meiryo UI" w:hAnsi="Meiryo UI"/>
                <w:sz w:val="18"/>
              </w:rPr>
              <w:t>自律反発期待</w:t>
            </w:r>
          </w:p>
        </w:tc>
        <w:tc>
          <w:tcPr>
            <w:tcW w:type="dxa" w:w="3135"/>
          </w:tcPr>
          <w:p>
            <w:r>
              <w:rPr>
                <w:rFonts w:ascii="Meiryo UI" w:hAnsi="Meiryo UI"/>
                <w:sz w:val="18"/>
              </w:rPr>
              <w:t>売られ過ぎからの反発</w:t>
            </w:r>
          </w:p>
        </w:tc>
        <w:tc>
          <w:tcPr>
            <w:tcW w:type="dxa" w:w="3135"/>
          </w:tcPr>
          <w:p>
            <w:r>
              <w:rPr>
                <w:rFonts w:ascii="Meiryo UI" w:hAnsi="Meiryo UI"/>
                <w:sz w:val="18"/>
              </w:rPr>
              <w:t>✅ 5〜10%の反発は期待可能</w:t>
            </w:r>
          </w:p>
        </w:tc>
      </w:tr>
    </w:tbl>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現在市場センチメント：EXTREME FEAR（RSI 21台）</w:t>
        <w:br/>
        <w:t xml:space="preserve">  ↓</w:t>
        <w:br/>
        <w:t>過度に悲観的 → 短期的には反発機会</w:t>
        <w:br/>
        <w:br/>
        <w:t>本源的価値（DCF）：22,000〜25,500円</w:t>
        <w:br/>
        <w:t>現在株価（推計）：13,000〜14,500円</w:t>
        <w:br/>
        <w:t>乖離率：▲42〜47%（理論値対比・大幅ディスカウント）</w:t>
        <w:br/>
        <w:br/>
        <w:t>解釈：</w:t>
        <w:br/>
        <w:t xml:space="preserve">  ✅ 大幅ディスカウントは存在する</w:t>
        <w:br/>
        <w:t xml:space="preserve">  ⚠️ ただし「円安継続」シナリオでは理論値自体が下方修正</w:t>
        <w:br/>
        <w:t xml:space="preserve">  ⚠️ 弱気シナリオ理論株価（10,000〜13,000円）は現在値と近い</w:t>
      </w:r>
    </w:p>
    <w:p/>
    <w:p>
      <w:pPr>
        <w:pStyle w:val="Heading3"/>
      </w:pPr>
      <w:r>
        <w:rPr>
          <w:rFonts w:ascii="Meiryo UI" w:hAnsi="Meiryo UI"/>
          <w:color w:val="2E74B5"/>
        </w:rPr>
        <w:t>7-3. 統合評価マトリクス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スコア（/10）</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テクニカル（浅井）</w:t>
            </w:r>
          </w:p>
        </w:tc>
        <w:tc>
          <w:tcPr>
            <w:tcW w:type="dxa" w:w="3135"/>
          </w:tcPr>
          <w:p>
            <w:r>
              <w:rPr>
                <w:rFonts w:ascii="Meiryo UI" w:hAnsi="Meiryo UI"/>
                <w:sz w:val="18"/>
              </w:rPr>
              <w:t>7.5</w:t>
            </w:r>
          </w:p>
        </w:tc>
        <w:tc>
          <w:tcPr>
            <w:tcW w:type="dxa" w:w="3135"/>
          </w:tcPr>
          <w:p>
            <w:r>
              <w:rPr>
                <w:rFonts w:ascii="Meiryo UI" w:hAnsi="Meiryo UI"/>
                <w:sz w:val="18"/>
              </w:rPr>
              <w:t>RSI極値・信頼性高い</w:t>
            </w:r>
          </w:p>
        </w:tc>
      </w:tr>
      <w:tr>
        <w:tc>
          <w:tcPr>
            <w:tcW w:type="dxa" w:w="3135"/>
            <w:shd w:val="clear" w:color="auto" w:fill="DDEBF7"/>
          </w:tcPr>
          <w:p>
            <w:r>
              <w:rPr>
                <w:rFonts w:ascii="Meiryo UI" w:hAnsi="Meiryo UI"/>
                <w:sz w:val="18"/>
              </w:rPr>
              <w:t>ファンダメンタルズ</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円安リスクで減点</w:t>
            </w:r>
          </w:p>
        </w:tc>
      </w:tr>
      <w:tr>
        <w:tc>
          <w:tcPr>
            <w:tcW w:type="dxa" w:w="3135"/>
          </w:tcPr>
          <w:p>
            <w:r>
              <w:rPr>
                <w:rFonts w:ascii="Meiryo UI" w:hAnsi="Meiryo UI"/>
                <w:sz w:val="18"/>
              </w:rPr>
              <w:t>バリュエーション</w:t>
            </w:r>
          </w:p>
        </w:tc>
        <w:tc>
          <w:tcPr>
            <w:tcW w:type="dxa" w:w="3135"/>
          </w:tcPr>
          <w:p>
            <w:r>
              <w:rPr>
                <w:rFonts w:ascii="Meiryo UI" w:hAnsi="Meiryo UI"/>
                <w:sz w:val="18"/>
              </w:rPr>
              <w:t>7.0</w:t>
            </w:r>
          </w:p>
        </w:tc>
        <w:tc>
          <w:tcPr>
            <w:tcW w:type="dxa" w:w="3135"/>
          </w:tcPr>
          <w:p>
            <w:r>
              <w:rPr>
                <w:rFonts w:ascii="Meiryo UI" w:hAnsi="Meiryo UI"/>
                <w:sz w:val="18"/>
              </w:rPr>
              <w:t>長期では割安圏</w:t>
            </w:r>
          </w:p>
        </w:tc>
      </w:tr>
      <w:tr>
        <w:tc>
          <w:tcPr>
            <w:tcW w:type="dxa" w:w="3135"/>
            <w:shd w:val="clear" w:color="auto" w:fill="DDEBF7"/>
          </w:tcPr>
          <w:p>
            <w:r>
              <w:rPr>
                <w:rFonts w:ascii="Meiryo UI" w:hAnsi="Meiryo UI"/>
                <w:sz w:val="18"/>
              </w:rPr>
              <w:t>センチメント</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t>売られ過ぎ・反発余地</w:t>
            </w:r>
          </w:p>
        </w:tc>
      </w:tr>
      <w:tr>
        <w:tc>
          <w:tcPr>
            <w:tcW w:type="dxa" w:w="3135"/>
          </w:tcPr>
          <w:p>
            <w:r>
              <w:rPr>
                <w:rFonts w:ascii="Meiryo UI" w:hAnsi="Meiryo UI"/>
                <w:sz w:val="18"/>
              </w:rPr>
              <w:t>マクロ環境</w:t>
            </w:r>
          </w:p>
        </w:tc>
        <w:tc>
          <w:tcPr>
            <w:tcW w:type="dxa" w:w="3135"/>
          </w:tcPr>
          <w:p>
            <w:r>
              <w:rPr>
                <w:rFonts w:ascii="Meiryo UI" w:hAnsi="Meiryo UI"/>
                <w:sz w:val="18"/>
              </w:rPr>
              <w:t>3.5</w:t>
            </w:r>
          </w:p>
        </w:tc>
        <w:tc>
          <w:tcPr>
            <w:tcW w:type="dxa" w:w="3135"/>
          </w:tcPr>
          <w:p>
            <w:r>
              <w:rPr>
                <w:rFonts w:ascii="Meiryo UI" w:hAnsi="Meiryo UI"/>
                <w:sz w:val="18"/>
              </w:rPr>
              <w:t>円安継続・逆風</w:t>
            </w:r>
          </w:p>
        </w:tc>
      </w:tr>
      <w:tr>
        <w:tc>
          <w:tcPr>
            <w:tcW w:type="dxa" w:w="3135"/>
            <w:shd w:val="clear" w:color="auto" w:fill="DDEBF7"/>
          </w:tcPr>
          <w:p>
            <w:r>
              <w:rPr>
                <w:rFonts w:ascii="Meiryo UI" w:hAnsi="Meiryo UI"/>
                <w:sz w:val="18"/>
              </w:rPr>
              <w:t>総合スコア</w:t>
            </w:r>
          </w:p>
        </w:tc>
        <w:tc>
          <w:tcPr>
            <w:tcW w:type="dxa" w:w="3135"/>
            <w:shd w:val="clear" w:color="auto" w:fill="DDEBF7"/>
          </w:tcPr>
          <w:p>
            <w:r>
              <w:rPr>
                <w:rFonts w:ascii="Meiryo UI" w:hAnsi="Meiryo UI"/>
                <w:sz w:val="18"/>
              </w:rPr>
              <w:t>6.1/10</w:t>
            </w:r>
          </w:p>
        </w:tc>
        <w:tc>
          <w:tcPr>
            <w:tcW w:type="dxa" w:w="3135"/>
            <w:shd w:val="clear" w:color="auto" w:fill="DDEBF7"/>
          </w:tcPr>
          <w:p>
            <w:r>
              <w:rPr>
                <w:rFonts w:ascii="Meiryo UI" w:hAnsi="Meiryo UI"/>
                <w:sz w:val="18"/>
              </w:rPr>
              <w:t>条件付き買い</w:t>
            </w:r>
          </w:p>
        </w:tc>
      </w:tr>
    </w:tbl>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結論サマリー</w:t>
      </w:r>
    </w:p>
    <w:p/>
    <w:p>
      <w:r>
        <w:rPr>
          <w:rFonts w:ascii="Meiryo UI" w:hAnsi="Meiryo UI"/>
          <w:sz w:val="20"/>
        </w:rPr>
        <w:t>&gt; **深井の最終判断：</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2026-04-05 17:45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9843_ニトリHD_BUY_DeepResearch_20260405.md を出力しました。</w:t>
      </w:r>
    </w:p>
    <w:p>
      <w:r>
        <w:rPr>
          <w:rFonts w:ascii="Meiryo UI" w:hAnsi="Meiryo UI"/>
          <w:sz w:val="20"/>
        </w:rPr>
        <w:t>浅井スコア +75 の銘柄 [9843]ニトリHD についてDeepResearch完了。</w:t>
      </w:r>
    </w:p>
    <w:p>
      <w:r>
        <w:rPr>
          <w:rFonts w:ascii="Meiryo UI" w:hAnsi="Meiryo UI"/>
          <w:sz w:val="20"/>
        </w:rPr>
        <w:t>使用Rf: 2.380%（取得: 2026-04-05 17:45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