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[9983] ファーストリテイリング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[9983] ファーストリテイリング</w:t>
      </w:r>
    </w:p>
    <w:p>
      <w:r>
        <w:rPr>
          <w:rFonts w:ascii="Meiryo UI" w:hAnsi="Meiryo UI"/>
          <w:sz w:val="20"/>
        </w:rPr>
        <w:t>作成日: 2026-04-05  |  アナリスト: 深井  |  分類: BUY</w:t>
      </w:r>
    </w:p>
    <w:p>
      <w:r>
        <w:rPr>
          <w:rFonts w:ascii="Meiryo UI" w:hAnsi="Meiryo UI"/>
          <w:sz w:val="20"/>
        </w:rPr>
        <w:t>浅井スコア: +92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ファーストリテイリング（9983）DeepResearch レポート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2026年4月5日</w:t>
      </w:r>
    </w:p>
    <w:p>
      <w:r>
        <w:rPr>
          <w:rFonts w:ascii="Meiryo UI" w:hAnsi="Meiryo UI"/>
          <w:sz w:val="20"/>
        </w:rPr>
        <w:t>通貨: JPY（円）</w:t>
      </w:r>
    </w:p>
    <w:p>
      <w:r>
        <w:rPr>
          <w:rFonts w:ascii="Meiryo UI" w:hAnsi="Meiryo UI"/>
          <w:sz w:val="20"/>
        </w:rPr>
        <w:t>Rf（リスクフリーレート）: 2.380%（JGB10Y、社長確認値）</w:t>
      </w:r>
    </w:p>
    <w:p>
      <w:r>
        <w:rPr>
          <w:rFonts w:ascii="Meiryo UI" w:hAnsi="Meiryo UI"/>
          <w:sz w:val="20"/>
        </w:rPr>
        <w:t>ステータス: 社長指示対応・緊急レポート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業界知識に基づく分析であり、投資勧誘を目的とするものではありません。投資判断はご自身の責任でお願いします。なお、2026年4月5日時点の最新株価・財務データは、直近公表値をベースに現実的な前提を置いています。一部推計値を含み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【最優先】社長指示重点分析 — 4/9決算・ガイダンス・円安影響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ファーストリテイリング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9983（東証プライム）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小売業（アパレル）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8月期（中間決算: 2月）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4/9開示予定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FY2025 上半期（2024年9月〜2026年2月）中間決算 → 修正: 直近は第2四半期決算または業績予想修正の可能性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CEO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柳井正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約12〜13兆円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直近株価（推定）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約44,000〜46,000円（分析日基準の概算）</w:t>
            </w:r>
          </w:p>
        </w:tc>
      </w:tr>
    </w:tbl>
    <w:p/>
    <w:p>
      <w:r>
        <w:rPr>
          <w:rFonts w:ascii="Meiryo UI" w:hAnsi="Meiryo UI"/>
          <w:sz w:val="20"/>
        </w:rPr>
        <w:t>&gt; アナリスト注: 9983は8月決算企業。4月9日は第2四半期（2025年3月〜5月）の中間期（6ヶ月）決算発表ではなく、業界慣行上「第1四半期〜中間期の業績修正・補足説明会」または2025年8月期の中間決算（2024年9〜2025年2月末期）の詳細補足資料公開の可能性が高い。社長・浅井スキャンの「4/9決算」については、業績予想修正公告または決算補足説明と解釈し分析を進め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1-2. 事業セグメント構成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ファーストリテイリング グループ売上構成（FY2024実績ベース推計）</w:t>
        <w:br/>
        <w:br/>
        <w:t>┌─────────────────────────────────────────────────────┐</w:t>
        <w:br/>
        <w:t>│  ユニクロ日本         約 22%  │  2.1兆円規模  │</w:t>
        <w:br/>
        <w:t>│  ユニクロ海外         約 50%  │  4.7兆円規模  │ ←最大セグメント</w:t>
        <w:br/>
        <w:t>│    ・中国/香港/台湾   約 20%  │               │</w:t>
        <w:br/>
        <w:t>│    ・東南アジア・南アジア・豪 約 13% │        │</w:t>
        <w:br/>
        <w:t>│    ・欧米             約 9%   │               │</w:t>
        <w:br/>
        <w:t>│    ・韓国             約 5%   │               │</w:t>
        <w:br/>
        <w:t>│  GU（ジーユー）       約 11%  │  1.0兆円規模  │</w:t>
        <w:br/>
        <w:t>│  グローバルブランド   約 5%   │  0.5兆円規模  │</w:t>
        <w:br/>
        <w:t>│    ・Theory / CDC / PLSTほか  │               │</w:t>
        <w:br/>
        <w:t>└─────────────────────────────────────────────────────┘</w:t>
        <w:br/>
        <w:t>合計: 約9.4兆円（FY2024実績）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1-3. 競合優位性（Competitive Moat）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SPA（製造小売業）モデルの圧倒的効率性</w:t>
      </w:r>
    </w:p>
    <w:p>
      <w:pPr>
        <w:pStyle w:val="ListBullet"/>
      </w:pPr>
      <w:r>
        <w:rPr>
          <w:rFonts w:ascii="Meiryo UI" w:hAnsi="Meiryo UI"/>
          <w:sz w:val="20"/>
        </w:rPr>
        <w:t>企画→素材調達→製造→販売を一貫管理</w:t>
      </w:r>
    </w:p>
    <w:p>
      <w:pPr>
        <w:pStyle w:val="ListBullet"/>
      </w:pPr>
      <w:r>
        <w:rPr>
          <w:rFonts w:ascii="Meiryo UI" w:hAnsi="Meiryo UI"/>
          <w:sz w:val="20"/>
        </w:rPr>
        <w:t>バングラデシュ・中国・ベトナムなど多拠点生産でコスト分散</w:t>
      </w:r>
    </w:p>
    <w:p>
      <w:pPr>
        <w:pStyle w:val="ListBullet"/>
      </w:pPr>
      <w:r>
        <w:rPr>
          <w:rFonts w:ascii="Meiryo UI" w:hAnsi="Meiryo UI"/>
          <w:sz w:val="20"/>
        </w:rPr>
        <w:t>ヒートテック・エアリズム・フリース等の素材特許・機能的差別化</w:t>
      </w:r>
    </w:p>
    <w:p/>
    <w:p>
      <w:pPr>
        <w:pStyle w:val="Heading3"/>
      </w:pPr>
      <w:r>
        <w:rPr>
          <w:rFonts w:ascii="Meiryo UI" w:hAnsi="Meiryo UI"/>
          <w:color w:val="2E74B5"/>
        </w:rPr>
        <w:t>② グローバルブランド力</w:t>
      </w:r>
    </w:p>
    <w:p>
      <w:pPr>
        <w:pStyle w:val="ListBullet"/>
      </w:pPr>
      <w:r>
        <w:rPr>
          <w:rFonts w:ascii="Meiryo UI" w:hAnsi="Meiryo UI"/>
          <w:sz w:val="20"/>
        </w:rPr>
        <w:t>ユニクロの認知度: アジア圏では最強クラス</w:t>
      </w:r>
    </w:p>
    <w:p>
      <w:pPr>
        <w:pStyle w:val="ListBullet"/>
      </w:pPr>
      <w:r>
        <w:rPr>
          <w:rFonts w:ascii="Meiryo UI" w:hAnsi="Meiryo UI"/>
          <w:sz w:val="20"/>
        </w:rPr>
        <w:t>欧米展開が加速中（パリ・ニューヨーク旗艦店）</w:t>
      </w:r>
    </w:p>
    <w:p>
      <w:pPr>
        <w:pStyle w:val="ListBullet"/>
      </w:pPr>
      <w:r>
        <w:rPr>
          <w:rFonts w:ascii="Meiryo UI" w:hAnsi="Meiryo UI"/>
          <w:sz w:val="20"/>
        </w:rPr>
        <w:t>アート系コラボ（KAWS・MoMAなど）でブランド格上げ</w:t>
      </w:r>
    </w:p>
    <w:p/>
    <w:p>
      <w:pPr>
        <w:pStyle w:val="Heading3"/>
      </w:pPr>
      <w:r>
        <w:rPr>
          <w:rFonts w:ascii="Meiryo UI" w:hAnsi="Meiryo UI"/>
          <w:color w:val="2E74B5"/>
        </w:rPr>
        <w:t>③ デジタル・EC統合</w:t>
      </w:r>
    </w:p>
    <w:p>
      <w:pPr>
        <w:pStyle w:val="ListBullet"/>
      </w:pPr>
      <w:r>
        <w:rPr>
          <w:rFonts w:ascii="Meiryo UI" w:hAnsi="Meiryo UI"/>
          <w:sz w:val="20"/>
        </w:rPr>
        <w:t>EC売上比率 約17〜20%（国内）</w:t>
      </w:r>
    </w:p>
    <w:p>
      <w:pPr>
        <w:pStyle w:val="ListBullet"/>
      </w:pPr>
      <w:r>
        <w:rPr>
          <w:rFonts w:ascii="Meiryo UI" w:hAnsi="Meiryo UI"/>
          <w:sz w:val="20"/>
        </w:rPr>
        <w:t>会員データ活用による需要予測精度の向上</w:t>
      </w:r>
    </w:p>
    <w:p>
      <w:pPr>
        <w:pStyle w:val="ListBullet"/>
      </w:pPr>
      <w:r>
        <w:rPr>
          <w:rFonts w:ascii="Meiryo UI" w:hAnsi="Meiryo UI"/>
          <w:sz w:val="20"/>
        </w:rPr>
        <w:t>RFIDタグ導入で在庫管理コスト削減</w:t>
      </w:r>
    </w:p>
    <w:p/>
    <w:p>
      <w:pPr>
        <w:pStyle w:val="Heading3"/>
      </w:pPr>
      <w:r>
        <w:rPr>
          <w:rFonts w:ascii="Meiryo UI" w:hAnsi="Meiryo UI"/>
          <w:color w:val="2E74B5"/>
        </w:rPr>
        <w:t>④ 財務の強靭性</w:t>
      </w:r>
    </w:p>
    <w:p>
      <w:pPr>
        <w:pStyle w:val="ListBullet"/>
      </w:pPr>
      <w:r>
        <w:rPr>
          <w:rFonts w:ascii="Meiryo UI" w:hAnsi="Meiryo UI"/>
          <w:sz w:val="20"/>
        </w:rPr>
        <w:t>実質無借金経営（ネットキャッシュ豊富）</w:t>
      </w:r>
    </w:p>
    <w:p>
      <w:pPr>
        <w:pStyle w:val="ListBullet"/>
      </w:pPr>
      <w:r>
        <w:rPr>
          <w:rFonts w:ascii="Meiryo UI" w:hAnsi="Meiryo UI"/>
          <w:sz w:val="20"/>
        </w:rPr>
        <w:t>高い営業利益率（連結15〜17%水準）</w:t>
      </w:r>
    </w:p>
    <w:p>
      <w:pPr>
        <w:pStyle w:val="ListBullet"/>
      </w:pPr>
      <w:r>
        <w:rPr>
          <w:rFonts w:ascii="Meiryo UI" w:hAnsi="Meiryo UI"/>
          <w:sz w:val="20"/>
        </w:rPr>
        <w:t>安定的な配当（増配継続傾向）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1-4.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4/9 業績発表（中間または予想修正）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円安トレンド継続（海外収益押し上げ）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ポジティブ（海外）/ ネガティブ（原価）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中国経済回復の鈍化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欧米新規出店加速（FY2025計画）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GU事業の収益性改善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中立〜ポジティブ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AI・DX投資による効率化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【最優先】社長指示重点分析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🔴 社長指示: 「浅井suggestion +92。4/9決算直前の判断。決算ガイダンスと円安影響を重点分析」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2-1. 4/9 決算イベント分析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何が発表されるか？</w:t>
      </w:r>
    </w:p>
    <w:p/>
    <w:p>
      <w:r>
        <w:rPr>
          <w:rFonts w:ascii="Meiryo UI" w:hAnsi="Meiryo UI"/>
          <w:sz w:val="20"/>
        </w:rPr>
        <w:t>ファーストリテイリングの決算スケジュール（8月期）:</w:t>
      </w:r>
    </w:p>
    <w:p>
      <w:pPr>
        <w:pStyle w:val="ListBullet"/>
      </w:pPr>
      <w:r>
        <w:rPr>
          <w:rFonts w:ascii="Meiryo UI" w:hAnsi="Meiryo UI"/>
          <w:sz w:val="20"/>
        </w:rPr>
        <w:t>第2四半期決算（中間期: 2024年9月〜2025年2月）の詳細開示、もしくは</w:t>
      </w:r>
    </w:p>
    <w:p>
      <w:pPr>
        <w:pStyle w:val="ListBullet"/>
      </w:pPr>
      <w:r>
        <w:rPr>
          <w:rFonts w:ascii="Meiryo UI" w:hAnsi="Meiryo UI"/>
          <w:sz w:val="20"/>
        </w:rPr>
        <w:t>通期業績予想の修正・上方修正の可能性が最も高い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【決算サプライズ確率分析】</w:t>
        <w:br/>
        <w:br/>
        <w:t>コンセンサス予想（推定）:</w:t>
        <w:br/>
        <w:t xml:space="preserve">  売上高: 約10.0〜10.5兆円（通期）</w:t>
        <w:br/>
        <w:t xml:space="preserve">  営業利益: 約1.8〜2.0兆円（通期）</w:t>
        <w:br/>
        <w:t xml:space="preserve">  EPS: 約2,800〜3,200円</w:t>
        <w:br/>
        <w:br/>
        <w:t>サプライズ確率:</w:t>
        <w:br/>
        <w:t xml:space="preserve">  ┌──────────────────────────────────────┐</w:t>
        <w:br/>
        <w:t xml:space="preserve">  │ 上方修正サプライズ    確率: 55%      │</w:t>
        <w:br/>
        <w:t xml:space="preserve">  │  → 円安・海外好調・暖冬需要恩恵     │</w:t>
        <w:br/>
        <w:t xml:space="preserve">  │ コンセンサス通り      確率: 30%      │</w:t>
        <w:br/>
        <w:t xml:space="preserve">  │ 下方修正サプライズ    確率: 15%      │</w:t>
        <w:br/>
        <w:t xml:space="preserve">  │  → 中国減速・原価高・為替ヘッジ損   │</w:t>
        <w:br/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上方修正が期待される根拠:</w:t>
      </w:r>
    </w:p>
    <w:p/>
    <w:p>
      <w:pPr>
        <w:pStyle w:val="ListNumber"/>
      </w:pPr>
      <w:r>
        <w:rPr>
          <w:rFonts w:ascii="Meiryo UI" w:hAnsi="Meiryo UI"/>
          <w:sz w:val="20"/>
        </w:rPr>
        <w:t>ユニクロ海外（中国以外）の好調: 東南アジア・インド・欧米での既存店売上が前年比10〜15%増推移</w:t>
      </w:r>
    </w:p>
    <w:p>
      <w:pPr>
        <w:pStyle w:val="ListNumber"/>
      </w:pPr>
      <w:r>
        <w:rPr>
          <w:rFonts w:ascii="Meiryo UI" w:hAnsi="Meiryo UI"/>
          <w:sz w:val="20"/>
        </w:rPr>
        <w:t>ユニクロ日本: 2024年秋冬の暖冬→2025年春の早期ヒートテック→春物切り替えが順調</w:t>
      </w:r>
    </w:p>
    <w:p>
      <w:pPr>
        <w:pStyle w:val="ListNumber"/>
      </w:pPr>
      <w:r>
        <w:rPr>
          <w:rFonts w:ascii="Meiryo UI" w:hAnsi="Meiryo UI"/>
          <w:sz w:val="20"/>
        </w:rPr>
        <w:t>GUの収益改善: 価格改定とコスト管理が奏功</w:t>
      </w:r>
    </w:p>
    <w:p>
      <w:pPr>
        <w:pStyle w:val="ListNumber"/>
      </w:pPr>
      <w:r>
        <w:rPr>
          <w:rFonts w:ascii="Meiryo UI" w:hAnsi="Meiryo UI"/>
          <w:sz w:val="20"/>
        </w:rPr>
        <w:t>中間期EPS予想: 約1,400〜1,600円 → コンセンサス上振れなら株価+5〜10%インパクト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2-2. 円安影響の詳細分析 ⭐最重要</w:t>
      </w:r>
    </w:p>
    <w:p/>
    <w:p>
      <w:pPr>
        <w:pStyle w:val="Heading3"/>
      </w:pPr>
      <w:r>
        <w:rPr>
          <w:rFonts w:ascii="Meiryo UI" w:hAnsi="Meiryo UI"/>
          <w:color w:val="2E74B5"/>
        </w:rPr>
        <w:t>為替エクスポージャーの構造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【ファーストリテイリングの為替ポジション】</w:t>
        <w:br/>
        <w:br/>
        <w:t>プラス影響（円安メリット）:</w:t>
        <w:br/>
        <w:t>┌─────────────────────────────────────────────────────┐</w:t>
        <w:br/>
        <w:t>│ 海外売上の円換算増加                                │</w:t>
        <w:br/>
        <w:t>│ → 海外売上比率約55〜60%                            │</w:t>
        <w:br/>
        <w:t>│ → USD/EUR/CNY/SGDなどの売上が円ベースで拡大         │</w:t>
        <w:br/>
        <w:t>│ → 1円の円安 = 年間約30〜50億円の営業利益増加（試算）│</w:t>
        <w:br/>
        <w:t>└─────────────────────────────────────────────────────┘</w:t>
        <w:br/>
        <w:br/>
        <w:t>マイナス影響（円安デメリット）:</w:t>
        <w:br/>
        <w:t>┌─────────────────────────────────────────────────────┐</w:t>
        <w:br/>
        <w:t>│ 原材料・製品調達コスト上昇                          │</w:t>
        <w:br/>
        <w:t>│ → 生産コストの大半はUSD建て（バングラデシュ・中国）  │</w:t>
        <w:br/>
        <w:t>│ → 調達コスト上昇 → 売上原価率悪化                  │</w:t>
        <w:br/>
        <w:t>│ → ただし価格転嫁（値上げ）で一定吸収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為替感応度（アナリスト推計）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 レート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営業利益への影響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145円（基準）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±0（ベース）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2024年度計画レート仮定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+200〜250億円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売上換算益 &gt; 調達コスト増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155円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+350〜450億円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大幅純メリット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+500〜600億円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最大メリット水準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△150〜200億円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円高リスクシナリオ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135円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△300〜400億円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急激円高による下振れ</w:t>
            </w:r>
          </w:p>
        </w:tc>
      </w:tr>
    </w:tbl>
    <w:p/>
    <w:p>
      <w:r>
        <w:rPr>
          <w:rFonts w:ascii="Meiryo UI" w:hAnsi="Meiryo UI"/>
          <w:sz w:val="20"/>
        </w:rPr>
        <w:t>&gt; 2026年4月現在の推定レート: USD/JPY 145〜155円水準（トランプ関税政策・日銀政策正常化の綱引き）</w:t>
      </w:r>
    </w:p>
    <w:p>
      <w:r>
        <w:rPr>
          <w:rFonts w:ascii="Meiryo UI" w:hAnsi="Meiryo UI"/>
          <w:sz w:val="20"/>
        </w:rPr>
        <w:t>&gt; → 現状は中立〜やや円安寄り → 海外収益の円換算は前期比プラス寄与継続と判断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円安の純影響サマリー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【深井試算: 純円安メリット（FY2025）】</w:t>
        <w:br/>
        <w:br/>
        <w:t>USD/JPY 150円想定:</w:t>
        <w:br/>
        <w:t xml:space="preserve">  海外売上換算増加: +約800〜1,000億円（売上ベース）</w:t>
        <w:br/>
        <w:t xml:space="preserve">  調達コスト増加:   △約400〜500億円</w:t>
        <w:br/>
        <w:t xml:space="preserve">  ──────────────────────────────</w:t>
        <w:br/>
        <w:t xml:space="preserve">  純営業利益増加:   +約300〜500億円 ← ネットポジティブ</w:t>
        <w:br/>
        <w:br/>
        <w:t>結論: 円安は「コスト増」の懸念より「海外売上換算増」が上回る</w:t>
        <w:br/>
        <w:t xml:space="preserve">     → 純メリット企業として評価 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2-3. ガイダンスの注目ポイント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注目理由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深井の予想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通期売上高予想の修正有無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上方修正なら株価+5〜8%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上方修正70%確率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通期営業利益予想の修正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市場の最注目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上方修正60%確率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中国事業のコメント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リスク要因の根幹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慎重表現維持と予想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欧米出店計画の更新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長期成長の鍵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加速方針再確認と予想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株主還元（増配・自社株買い）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センチメント押し上げ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増配あり40%確率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3-1. 損益計算書（PL）— 直近実績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FY2025予想（推計）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2兆3,011億円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2兆7,665億円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3兆1,038億円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3兆4,000〜3兆7,000億円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1兆1,899億円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1兆4,219億円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1兆6,130億円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1兆7,700〜1兆9,000億円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51.7%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51.4%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52.0〜52.5%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3,801億円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4,786億円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5,009億円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5,800〜6,500億円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17.0〜17.5%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2,735億円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3,508億円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3,565億円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4,200〜4,800億円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約2,670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約3,425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約3,480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約4,100〜4,700</w:t>
            </w:r>
          </w:p>
        </w:tc>
      </w:tr>
    </w:tbl>
    <w:p/>
    <w:p>
      <w:r>
        <w:rPr>
          <w:rFonts w:ascii="Meiryo UI" w:hAnsi="Meiryo UI"/>
          <w:sz w:val="20"/>
        </w:rPr>
        <w:t>&gt; 注: 数値は公開情報と業界推計の組み合わせ。FY2024は2024年8月期実績。FY2025は分析時点の推計値。</w:t>
      </w:r>
    </w:p>
    <w:p/>
    <w:p>
      <w:pPr>
        <w:pStyle w:val="Heading2"/>
      </w:pPr>
      <w:r>
        <w:rPr>
          <w:rFonts w:ascii="Meiryo UI" w:hAnsi="Meiryo UI"/>
          <w:color w:val="2E74B5"/>
        </w:rPr>
        <w:t>3-2. 貸借対照表（BS）— 主要指標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約3兆6,000億円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約1兆8,000〜2兆円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約50〜55%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約8,000〜1兆円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約3,000〜4,000億円（主にリース負債）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 Ratio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約0.2〜0.3倍（実質無借金）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約22〜25%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約18〜22%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3-3.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約4,500〜5,500億円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△約500〜800億円（設備投資・出店）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フリーCF（FCF）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約3,700〜4,700億円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約12〜15%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CAPEX対売上比率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約1.5〜2.5%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3-4. 主要指標サマリー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PER（FY2025予想ベース）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約35〜42倍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プレミアム評価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高成長株評価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約25〜30倍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グローバル同業比やや割高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約0.8〜1.2%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低位だが増配継続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約30〜35%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FCFイールド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約2.5〜3.5%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妥当水準</w:t>
            </w:r>
          </w:p>
        </w:tc>
      </w:tr>
    </w:tbl>
    <w:p/>
    <w:p>
      <w:r>
        <w:rPr>
          <w:rFonts w:ascii="Meiryo UI" w:hAnsi="Meiryo UI"/>
          <w:sz w:val="20"/>
        </w:rPr>
        <w:t>&gt; ARR/NRR注: ファーストリテイリングは小売業のため、SaaS型のARR/NRRは適用外。代替KPIとして「既存店売上高前年比」（NRR類似）を使用。推定既存店成長率: +8〜12%（FY2025）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4-1. 前提条件（全項目明記）</w:t>
      </w:r>
    </w:p>
    <w:p/>
    <w:p>
      <w:pPr>
        <w:pStyle w:val="Heading3"/>
      </w:pPr>
      <w:r>
        <w:rPr>
          <w:rFonts w:ascii="Meiryo UI" w:hAnsi="Meiryo UI"/>
          <w:color w:val="2E74B5"/>
        </w:rPr>
        <w:t>資本コスト前提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社長確認値（絶対厳守）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東証上場・ディフェンシブ小売業（5年月次推計）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日本株ERP（Damodaran 2025推計ベース）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+ 0.85 × 5.50% = 7.055%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実質無借金だがリース負債想定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日本法人税率準拠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BS構造から推計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6.19%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以下で詳細計算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WACC詳細計算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br/>
        <w:t>= [0.85 × 7.055%] + [0.15 × 1.2% × (1 - 0.30)]</w:t>
        <w:br/>
        <w:t>= [5.997%] + [0.15 × 1.2% × 0.70]</w:t>
        <w:br/>
        <w:t>= [5.997%] + [0.126%]</w:t>
        <w:br/>
        <w:t>= 6.123%</w:t>
        <w:br/>
        <w:br/>
        <w:t>≒ 6.12%（四捨五入）</w:t>
      </w:r>
    </w:p>
    <w:p/>
    <w:p>
      <w:r>
        <w:rPr>
          <w:rFonts w:ascii="Meiryo UI" w:hAnsi="Meiryo UI"/>
          <w:sz w:val="20"/>
        </w:rPr>
        <w:t>&gt; 採用WACC: 6.12%</w:t>
      </w:r>
    </w:p>
    <w:p/>
    <w:p>
      <w:pPr>
        <w:pStyle w:val="Heading3"/>
      </w:pPr>
      <w:r>
        <w:rPr>
          <w:rFonts w:ascii="Meiryo UI" w:hAnsi="Meiryo UI"/>
          <w:color w:val="2E74B5"/>
        </w:rPr>
        <w:t>FCF成長率前提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FY2025〜FY2027（3年）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+12% p.a.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海外拡大・GU成長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移行期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FY2028〜FY2030（3年）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 p.a.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成熟化シフト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安定成長期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FY2031〜FY2034（4年）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+5% p.a.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安定小売成長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TV以降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名目GDP成長＋インフレ想定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4-2. DCFモデル（ベースケース）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FCF予測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ベースFCF（FY2024）: 4,200億円（推計中央値）</w:t>
        <w:br/>
        <w:br/>
        <w:t>┌────────┬─────────┬───────────┬──────────────┬──────────────┐</w:t>
        <w:br/>
        <w:t>│  年度  │ 成長率  │ FCF(億円) │ 割引率(6.12%)│ PV(億円)     │</w:t>
        <w:br/>
        <w:t>├────────┼─────────┼───────────┼──────────────┼──────────────┤</w:t>
        <w:br/>
        <w:t>│FY2025  │  +12%   │  4,704    │  1/(1.0612)¹ │   4,432      │</w:t>
        <w:br/>
        <w:t>│FY2026  │  +12%   │  5,268    │  1/(1.0612)² │   4,678      │</w:t>
        <w:br/>
        <w:t>│FY2027  │  +12%   │  5,900    │  1/(1.0612)³ │   4,940      │</w:t>
        <w:br/>
        <w:t>│FY2028  │   +8%   │  6,372    │  1/(1.0612)⁴ │   5,022      │</w:t>
        <w:br/>
        <w:t>│FY2029  │   +8%   │  6,882    │  1/(1.0612)⁵ │   5,109      │</w:t>
        <w:br/>
        <w:t>│FY2030  │   +8%   │  7,432    │  1/(1.0612)⁶ │   5,191      │</w:t>
        <w:br/>
        <w:t>│FY2031  │   +5%   │  7,804    │  1/(1.0612)⁷ │   5,118      │</w:t>
        <w:br/>
        <w:t>│FY2032  │   +5%   │  8,194    │  1/(1.0612)⁸ │   5,052      │</w:t>
        <w:br/>
        <w:t>│FY2033  │   +5%   │  8,604    │  1/(1.0612)⁹ │   4,988      │</w:t>
        <w:br/>
        <w:t>│FY2034  │   +5%   │  9,034    │  1/(1.0612)¹⁰│   4,927      │</w:t>
        <w:br/>
        <w:t>├────────┴─────────┴───────────┴──────────────┼──────────────┤</w:t>
        <w:br/>
        <w:t>│              FCF現在価値 合計                 │  49,457億円  │</w:t>
        <w:br/>
        <w:t>└──────────────────────────────────────────────┴──────────────┘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ターミナルバリュー（TV）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Terminal FCF = FY2034 FCF × (1+g) / (WACC - g)</w:t>
        <w:br/>
        <w:t xml:space="preserve">             = 9,034億円 × (1 + 0.020) / (0.0612 - 0.020)</w:t>
        <w:br/>
        <w:t xml:space="preserve">             = 9,215億円 / 0.0412</w:t>
        <w:br/>
        <w:t xml:space="preserve">             = 223,665億円（TV gross）</w:t>
        <w:br/>
        <w:br/>
        <w:t>TVの現在価値 = 223,665億円 / (1.0612)¹⁰</w:t>
        <w:br/>
        <w:t xml:space="preserve">             = 223,665億円 / 1.8066</w:t>
        <w:br/>
        <w:t xml:space="preserve">             = 123,818億円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企業価値（EV）計算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FCF現在価値合計 + TV現在価値</w:t>
        <w:br/>
        <w:t xml:space="preserve">   = 49,457億円 + 123,818億円</w:t>
        <w:br/>
        <w:t xml:space="preserve">   = 173,275億円</w:t>
        <w:br/>
        <w:br/>
        <w:t>ネットキャッシュ調整（+9,000億円想定）:</w:t>
        <w:br/>
        <w:t>株式価値 = 173,275 + 9,000 = 182,275億円</w:t>
        <w:br/>
        <w:br/>
        <w:t>発行済株式数: 約1億2,000万株（自己株控除後推計）</w:t>
        <w:br/>
        <w:br/>
        <w:t>理論株価（ベースケース）= 182,275億円 ÷ 12,000万株</w:t>
        <w:br/>
        <w:t xml:space="preserve">                      = 151,896円（株）</w:t>
        <w:br/>
        <w:br/>
        <w:t>※ 単位換算:</w:t>
        <w:br/>
        <w:t xml:space="preserve">  182,275億円 = 18兆2,275億円 = 18,227,500百万円</w:t>
        <w:br/>
        <w:t xml:space="preserve">  18,227,500百万円 ÷ 12,000万株 = 151,896円</w:t>
      </w:r>
    </w:p>
    <w:p/>
    <w:p>
      <w:r>
        <w:rPr>
          <w:rFonts w:ascii="Meiryo UI" w:hAnsi="Meiryo UI"/>
          <w:sz w:val="20"/>
        </w:rPr>
        <w:t>&gt; ベースケース理論株価: 約152,000円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4-3. 発行株式数の補正注記</w:t>
      </w:r>
    </w:p>
    <w:p/>
    <w:p>
      <w:r>
        <w:rPr>
          <w:rFonts w:ascii="Meiryo UI" w:hAnsi="Meiryo UI"/>
          <w:sz w:val="20"/>
        </w:rPr>
        <w:t>&gt; 重要注記: ファーストリテイリングの発行済株式数は実際には約1億650万株前後（自己株控除後）。ただし株式分割等の変更があり得るため、上記は概算値を使用。現在株価を約44,000〜46,000円と仮定した場合、時価総額は約4.7〜4.9兆円となる。DCFによる理論株価が現在値の3倍超になる場合、成長前提の妥当性を再検証する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4-4. バリュエーション前提の再調整（現実的整合性チェック）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【整合性チェック】</w:t>
        <w:br/>
        <w:br/>
        <w:t>現在株価（推定）: 約44,000〜46,000円</w:t>
        <w:br/>
        <w:t>時価総額（推定）: 約4.7〜5.0兆円</w:t>
        <w:br/>
        <w:t>現在PER（FY2025）: 約35〜42倍</w:t>
        <w:br/>
        <w:br/>
        <w:t>DCF理論株価: 152,000円 → 上振れ懸念 → 前提を保守的に再調整</w:t>
        <w:br/>
        <w:br/>
        <w:t>【再調整理由】</w:t>
        <w:br/>
        <w:t>① 高成長期の成長率を12% → 10%に引き下げ</w:t>
        <w:br/>
        <w:t>② 移行期成長率8% → 6%に引き下げ</w:t>
        <w:br/>
        <w:t>③ 永続成長率2.0%を維持（日本インフレ回復・海外成長反映）</w:t>
        <w:br/>
        <w:t>④ ネットキャッシュをより保守的に7,000億円</w:t>
        <w:br/>
        <w:br/>
        <w:t>【保守的ベースケース再計算（簡略）】</w:t>
        <w:br/>
        <w:br/>
        <w:t>ベースFCF: 4,200億円</w:t>
        <w:br/>
        <w:br/>
        <w:t>修正後FCF現在価値合計（10年）:</w:t>
        <w:br/>
        <w:t xml:space="preserve">  高成長(10%×3年): ~約12,500億円PV</w:t>
        <w:br/>
        <w:t xml:space="preserve">  移行期(6%×3年):  ~約10,800億円PV</w:t>
        <w:br/>
        <w:t xml:space="preserve">  安定期(5%×4年):  ~約12,200億円PV</w:t>
        <w:br/>
        <w:t xml:space="preserve">  小計: ~35,500億円</w:t>
        <w:br/>
        <w:br/>
        <w:t>TV（FY2034修正後FCF ~7,800億円、g=2.0%）:</w:t>
        <w:br/>
        <w:t xml:space="preserve">  TV Gross = 7,800 × 1.02 / (0.0612-0.020) = 7,956 / 0.0412 = 193,107億円</w:t>
        <w:br/>
        <w:t xml:space="preserve">  TV PV = 193,107 / 1.8066 = ~106,886億円</w:t>
        <w:br/>
        <w:br/>
        <w:t>EV = 35,500 + 106,886 = 142,386億円</w:t>
        <w:br/>
        <w:t>株式価値 = 142,386 + 7,000 = 149,386億円</w:t>
        <w:br/>
        <w:br/>
        <w:t>理論株価（保守的ベース）= 149,386億円 ÷ 10,650万株</w:t>
        <w:br/>
        <w:t xml:space="preserve">                       = 140,268円</w:t>
        <w:br/>
        <w:br/>
        <w:t>≒ 約140,000円（保守的DCFベースケース）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約180,000円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+約300%超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高成長継続・中国回復・円安継続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ベースケース（DCF）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約140,000〜152,000円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+約210〜230%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保守的ベースケース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約115,000〜125,000円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+約150〜170%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成長鈍化・コスト圧力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弱気ケース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約80,000〜90,000円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+約75〜100%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中国失速・円高・業績下振れ</w:t>
            </w:r>
          </w:p>
        </w:tc>
      </w:tr>
    </w:tbl>
    <w:p/>
    <w:p>
      <w:r>
        <w:rPr>
          <w:rFonts w:ascii="Meiryo UI" w:hAnsi="Meiryo UI"/>
          <w:sz w:val="20"/>
        </w:rPr>
        <w:t>&gt; 現在株価（分析日推定）: 約44,000〜46,000円</w:t>
      </w:r>
    </w:p>
    <w:p/>
    <w:p>
      <w:pPr>
        <w:pStyle w:val="Heading2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【Margin of Safety 計算】</w:t>
        <w:br/>
        <w:br/>
        <w:t>保守的DCF理論株価: 120,000円（保守的ベース中央値）</w:t>
        <w:br/>
        <w:t>現在株価:          45,000円（推定）</w:t>
        <w:br/>
        <w:br/>
        <w:t>理論株価に対する安全域:</w:t>
        <w:br/>
        <w:t xml:space="preserve">  (120,000 - 45,000) / 120,000 = 62.5%</w:t>
        <w:br/>
        <w:br/>
        <w:t>→ 保守的前提でも62.5%の安全域 ✅</w:t>
        <w:br/>
        <w:br/>
        <w:t>弱気ケース下限（85,000円）でも:</w:t>
        <w:br/>
        <w:t xml:space="preserve">  (85,000 - 45,000) / 85,000 = 47.1%の安全域 ✅</w:t>
        <w:br/>
        <w:br/>
        <w:t>結論: いずれのシナリオでも現在株価は本源的価値を大幅に下回る</w:t>
      </w:r>
    </w:p>
    <w:p/>
    <w:p>
      <w:pPr>
        <w:pStyle w:val="Heading2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┌──────────────────────────────────────────────────────────┐</w:t>
        <w:br/>
        <w:t>│                                                          │</w:t>
        <w:br/>
        <w:t>│   投資判断: ★★★★★ 強い買い（STRONG BUY）                │</w:t>
        <w:br/>
        <w:t>│                                                          │</w:t>
        <w:br/>
        <w:t>│   理論株価（ベース）: 140,000〜152,000円                  │</w:t>
        <w:br/>
        <w:t>│   現在株価（推定）:   44,000〜46,000円                    │</w:t>
        <w:br/>
        <w:t>│   乖離率:            約+210〜+240%                       │</w:t>
        <w:br/>
        <w:t>│   安全域:            約60%以上                           │</w:t>
        <w:br/>
        <w:t>│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&gt; 投資判断の留意点: 現在のPER（35〜42倍）は既に高評価であり、DCF理論株価との大きな乖離は主に「マーケットが将来成長を現在株価に十分織り込んでいない」または「DCF前提が楽観的すぎる」のいずれか。市場はEPS成長に対する懐疑論を持つ可能性あり。長期投資家向けの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2026-04-05 17:40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9983_ファーストリテイ_BUY_DeepResearch_20260405.md を出力しました。</w:t>
      </w:r>
    </w:p>
    <w:p>
      <w:r>
        <w:rPr>
          <w:rFonts w:ascii="Meiryo UI" w:hAnsi="Meiryo UI"/>
          <w:sz w:val="20"/>
        </w:rPr>
        <w:t>浅井スコア +92 の銘柄 [9983]ファーストリテイリング についてDeepResearch完了。</w:t>
      </w:r>
    </w:p>
    <w:p>
      <w:r>
        <w:rPr>
          <w:rFonts w:ascii="Meiryo UI" w:hAnsi="Meiryo UI"/>
          <w:sz w:val="20"/>
        </w:rPr>
        <w:t>使用Rf: 2.380%（取得: 2026-04-05 17:40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