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[9990] ワットマン</w:t>
      </w:r>
    </w:p>
    <w:p/>
    <w:p/>
    <w:p>
      <w:pPr>
        <w:jc w:val="center"/>
      </w:pPr>
      <w:r>
        <w:rPr>
          <w:rFonts w:ascii="Meiryo UI" w:hAnsi="Meiryo UI"/>
          <w:sz w:val="24"/>
        </w:rPr>
        <w:t>アナリスト：深井</w:t>
      </w:r>
    </w:p>
    <w:p>
      <w:pPr>
        <w:jc w:val="center"/>
      </w:pPr>
      <w:r>
        <w:rPr>
          <w:rFonts w:ascii="Meiryo UI" w:hAnsi="Meiryo UI"/>
          <w:sz w:val="24"/>
        </w:rPr>
        <w:t>分析日：2026-04-04</w:t>
      </w:r>
    </w:p>
    <w:p>
      <w:r>
        <w:br w:type="page"/>
      </w:r>
    </w:p>
    <w:p>
      <w:pPr>
        <w:pStyle w:val="Heading1"/>
      </w:pPr>
      <w:r>
        <w:rPr>
          <w:rFonts w:ascii="Meiryo UI" w:hAnsi="Meiryo UI"/>
          <w:color w:val="1F3864"/>
        </w:rPr>
        <w:t>深井 DeepResearchレポート — [9990] ワットマン</w:t>
      </w:r>
    </w:p>
    <w:p>
      <w:r>
        <w:rPr>
          <w:rFonts w:ascii="Meiryo UI" w:hAnsi="Meiryo UI"/>
          <w:sz w:val="20"/>
        </w:rPr>
        <w:t>作成日: 2026-04-04  |  アナリスト: 深井  |  分類: BUY</w:t>
      </w:r>
    </w:p>
    <w:p>
      <w:r>
        <w:rPr>
          <w:rFonts w:ascii="Meiryo UI" w:hAnsi="Meiryo UI"/>
          <w:sz w:val="20"/>
        </w:rPr>
        <w:t>浅井スコア: +70  |  ソース: TDnet + 公開情報 + 浅井マスターDB</w:t>
      </w:r>
    </w:p>
    <w:p/>
    <w:p>
      <w:r>
        <w:t>──────────────────────────────────────────────────</w:t>
      </w:r>
    </w:p>
    <w:p/>
    <w:p>
      <w:pPr>
        <w:pStyle w:val="Heading1"/>
      </w:pPr>
      <w:r>
        <w:rPr>
          <w:rFonts w:ascii="Meiryo UI" w:hAnsi="Meiryo UI"/>
          <w:color w:val="1F3864"/>
        </w:rPr>
        <w:t>深井レポート｜ワットマン（9990）DeepResearch</w:t>
      </w:r>
    </w:p>
    <w:p/>
    <w:p>
      <w:r>
        <w:rPr>
          <w:rFonts w:ascii="Meiryo UI" w:hAnsi="Meiryo UI"/>
          <w:sz w:val="20"/>
        </w:rPr>
        <w:t>竹村トレードカンパニー｜機密リサーチドキュメント</w:t>
      </w:r>
    </w:p>
    <w:p>
      <w:r>
        <w:rPr>
          <w:rFonts w:ascii="Meiryo UI" w:hAnsi="Meiryo UI"/>
          <w:sz w:val="20"/>
        </w:rPr>
        <w:t>作成者: アナリスト 深井</w:t>
      </w:r>
    </w:p>
    <w:p>
      <w:r>
        <w:rPr>
          <w:rFonts w:ascii="Meiryo UI" w:hAnsi="Meiryo UI"/>
          <w:sz w:val="20"/>
        </w:rPr>
        <w:t>分析日: 2026年4月4日</w:t>
      </w:r>
    </w:p>
    <w:p>
      <w:r>
        <w:rPr>
          <w:rFonts w:ascii="Meiryo UI" w:hAnsi="Meiryo UI"/>
          <w:sz w:val="20"/>
        </w:rPr>
        <w:t>浅井速報スコア: +70 (BUY)</w:t>
      </w:r>
    </w:p>
    <w:p>
      <w:r>
        <w:rPr>
          <w:rFonts w:ascii="Meiryo UI" w:hAnsi="Meiryo UI"/>
          <w:sz w:val="20"/>
        </w:rPr>
        <w:t>ステータス: TOB完了・スクイーズアウト進行中</w:t>
      </w:r>
    </w:p>
    <w:p/>
    <w:p>
      <w:r>
        <w:t>──────────────────────────────────────────────────</w:t>
      </w:r>
    </w:p>
    <w:p/>
    <w:p>
      <w:r>
        <w:rPr>
          <w:rFonts w:ascii="Meiryo UI" w:hAnsi="Meiryo UI"/>
          <w:sz w:val="20"/>
        </w:rPr>
        <w:t>&gt; ⚠️ 免責事項: 本レポートは公開情報・業界知識に基づく分析であり、投資勧誘を目的としない。数値は推計を含む。最終投資判断は社長の責任において行われること。</w:t>
      </w:r>
    </w:p>
    <w:p/>
    <w:p>
      <w:r>
        <w:t>──────────────────────────────────────────────────</w:t>
      </w:r>
    </w:p>
    <w:p/>
    <w:p>
      <w:pPr>
        <w:pStyle w:val="Heading2"/>
      </w:pPr>
      <w:r>
        <w:rPr>
          <w:rFonts w:ascii="Meiryo UI" w:hAnsi="Meiryo UI"/>
          <w:color w:val="2E74B5"/>
        </w:rPr>
        <w:t>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ティッカー</w:t>
            </w:r>
          </w:p>
        </w:tc>
        <w:tc>
          <w:tcPr>
            <w:tcW w:type="dxa" w:w="4703"/>
          </w:tcPr>
          <w:p>
            <w:r>
              <w:rPr>
                <w:rFonts w:ascii="Meiryo UI" w:hAnsi="Meiryo UI"/>
                <w:sz w:val="18"/>
              </w:rPr>
              <w:t>9990（東証）</w:t>
            </w:r>
          </w:p>
        </w:tc>
      </w:tr>
      <w:tr>
        <w:tc>
          <w:tcPr>
            <w:tcW w:type="dxa" w:w="4703"/>
            <w:shd w:val="clear" w:color="auto" w:fill="DDEBF7"/>
          </w:tcPr>
          <w:p>
            <w:r>
              <w:rPr>
                <w:rFonts w:ascii="Meiryo UI" w:hAnsi="Meiryo UI"/>
                <w:sz w:val="18"/>
              </w:rPr>
              <w:t>銘柄名</w:t>
            </w:r>
          </w:p>
        </w:tc>
        <w:tc>
          <w:tcPr>
            <w:tcW w:type="dxa" w:w="4703"/>
            <w:shd w:val="clear" w:color="auto" w:fill="DDEBF7"/>
          </w:tcPr>
          <w:p>
            <w:r>
              <w:rPr>
                <w:rFonts w:ascii="Meiryo UI" w:hAnsi="Meiryo UI"/>
                <w:sz w:val="18"/>
              </w:rPr>
              <w:t>ワットマン</w:t>
            </w:r>
          </w:p>
        </w:tc>
      </w:tr>
      <w:tr>
        <w:tc>
          <w:tcPr>
            <w:tcW w:type="dxa" w:w="4703"/>
          </w:tcPr>
          <w:p>
            <w:r>
              <w:rPr>
                <w:rFonts w:ascii="Meiryo UI" w:hAnsi="Meiryo UI"/>
                <w:sz w:val="18"/>
              </w:rPr>
              <w:t>通貨</w:t>
            </w:r>
          </w:p>
        </w:tc>
        <w:tc>
          <w:tcPr>
            <w:tcW w:type="dxa" w:w="4703"/>
          </w:tcPr>
          <w:p>
            <w:r>
              <w:rPr>
                <w:rFonts w:ascii="Meiryo UI" w:hAnsi="Meiryo UI"/>
                <w:sz w:val="18"/>
              </w:rPr>
              <w:t>JPY</w:t>
            </w:r>
          </w:p>
        </w:tc>
      </w:tr>
      <w:tr>
        <w:tc>
          <w:tcPr>
            <w:tcW w:type="dxa" w:w="4703"/>
            <w:shd w:val="clear" w:color="auto" w:fill="DDEBF7"/>
          </w:tcPr>
          <w:p>
            <w:r>
              <w:rPr>
                <w:rFonts w:ascii="Meiryo UI" w:hAnsi="Meiryo UI"/>
                <w:sz w:val="18"/>
              </w:rPr>
              <w:t>分析日</w:t>
            </w:r>
          </w:p>
        </w:tc>
        <w:tc>
          <w:tcPr>
            <w:tcW w:type="dxa" w:w="4703"/>
            <w:shd w:val="clear" w:color="auto" w:fill="DDEBF7"/>
          </w:tcPr>
          <w:p>
            <w:r>
              <w:rPr>
                <w:rFonts w:ascii="Meiryo UI" w:hAnsi="Meiryo UI"/>
                <w:sz w:val="18"/>
              </w:rPr>
              <w:t>2026-04-04</w:t>
            </w:r>
          </w:p>
        </w:tc>
      </w:tr>
      <w:tr>
        <w:tc>
          <w:tcPr>
            <w:tcW w:type="dxa" w:w="4703"/>
          </w:tcPr>
          <w:p>
            <w:r>
              <w:rPr>
                <w:rFonts w:ascii="Meiryo UI" w:hAnsi="Meiryo UI"/>
                <w:sz w:val="18"/>
              </w:rPr>
              <w:t>現在株価（推定）</w:t>
            </w:r>
          </w:p>
        </w:tc>
        <w:tc>
          <w:tcPr>
            <w:tcW w:type="dxa" w:w="4703"/>
          </w:tcPr>
          <w:p>
            <w:r>
              <w:rPr>
                <w:rFonts w:ascii="Meiryo UI" w:hAnsi="Meiryo UI"/>
                <w:sz w:val="18"/>
              </w:rPr>
              <w:t>約940〜970円（TOB前後の市場実勢）</w:t>
            </w:r>
          </w:p>
        </w:tc>
      </w:tr>
      <w:tr>
        <w:tc>
          <w:tcPr>
            <w:tcW w:type="dxa" w:w="4703"/>
            <w:shd w:val="clear" w:color="auto" w:fill="DDEBF7"/>
          </w:tcPr>
          <w:p>
            <w:r>
              <w:rPr>
                <w:rFonts w:ascii="Meiryo UI" w:hAnsi="Meiryo UI"/>
                <w:sz w:val="18"/>
              </w:rPr>
              <w:t>TOB価格</w:t>
            </w:r>
          </w:p>
        </w:tc>
        <w:tc>
          <w:tcPr>
            <w:tcW w:type="dxa" w:w="4703"/>
            <w:shd w:val="clear" w:color="auto" w:fill="DDEBF7"/>
          </w:tcPr>
          <w:p>
            <w:r>
              <w:rPr>
                <w:rFonts w:ascii="Meiryo UI" w:hAnsi="Meiryo UI"/>
                <w:sz w:val="18"/>
              </w:rPr>
              <w:t>1,000円（IAPF3社によるTOB価格・推定）</w:t>
            </w:r>
          </w:p>
        </w:tc>
      </w:tr>
      <w:tr>
        <w:tc>
          <w:tcPr>
            <w:tcW w:type="dxa" w:w="4703"/>
          </w:tcPr>
          <w:p>
            <w:r>
              <w:rPr>
                <w:rFonts w:ascii="Meiryo UI" w:hAnsi="Meiryo UI"/>
                <w:sz w:val="18"/>
              </w:rPr>
              <w:t>深井理論株価レンジ</w:t>
            </w:r>
          </w:p>
        </w:tc>
        <w:tc>
          <w:tcPr>
            <w:tcW w:type="dxa" w:w="4703"/>
          </w:tcPr>
          <w:p>
            <w:r>
              <w:rPr>
                <w:rFonts w:ascii="Meiryo UI" w:hAnsi="Meiryo UI"/>
                <w:sz w:val="18"/>
              </w:rPr>
              <w:t>950〜1,020円</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買い（BUY） ⭐⭐⭐⭐</w:t>
            </w:r>
          </w:p>
        </w:tc>
      </w:tr>
      <w:tr>
        <w:tc>
          <w:tcPr>
            <w:tcW w:type="dxa" w:w="4703"/>
          </w:tcPr>
          <w:p>
            <w:r>
              <w:rPr>
                <w:rFonts w:ascii="Meiryo UI" w:hAnsi="Meiryo UI"/>
                <w:sz w:val="18"/>
              </w:rPr>
              <w:t>主要カタリスト</w:t>
            </w:r>
          </w:p>
        </w:tc>
        <w:tc>
          <w:tcPr>
            <w:tcW w:type="dxa" w:w="4703"/>
          </w:tcPr>
          <w:p>
            <w:r>
              <w:rPr>
                <w:rFonts w:ascii="Meiryo UI" w:hAnsi="Meiryo UI"/>
                <w:sz w:val="18"/>
              </w:rPr>
              <w:t>スクイーズアウト（全部取得条項付き株式／株式等売渡請求）</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1〜3ヶ月（スクイーズアウト完了まで）</w:t>
            </w:r>
          </w:p>
        </w:tc>
      </w:tr>
    </w:tbl>
    <w:p/>
    <w:p>
      <w:r>
        <w:rPr>
          <w:rFonts w:ascii="Meiryo UI" w:hAnsi="Meiryo UI"/>
          <w:sz w:val="20"/>
        </w:rPr>
        <w:t>一言要約:</w:t>
      </w:r>
    </w:p>
    <w:p>
      <w:r>
        <w:rPr>
          <w:rFonts w:ascii="Meiryo UI" w:hAnsi="Meiryo UI"/>
          <w:sz w:val="20"/>
        </w:rPr>
        <w:t>TOBは既に成立・親会社異動が確定。残存市場株価とTOB価格（1,000円）のさや寄せ+スクイーズアウトによる強制取得が次のイベント。裁定収益は限定的だが確実性が高く、下値リスクは明確に限定される局面。浅井速報の+70スコアは妥当。</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株式会社ワットマン</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東京証券取引所（スタンダード市場）</w:t>
            </w:r>
          </w:p>
        </w:tc>
      </w:tr>
      <w:tr>
        <w:tc>
          <w:tcPr>
            <w:tcW w:type="dxa" w:w="4703"/>
          </w:tcPr>
          <w:p>
            <w:r>
              <w:rPr>
                <w:rFonts w:ascii="Meiryo UI" w:hAnsi="Meiryo UI"/>
                <w:sz w:val="18"/>
              </w:rPr>
              <w:t>設立</w:t>
            </w:r>
          </w:p>
        </w:tc>
        <w:tc>
          <w:tcPr>
            <w:tcW w:type="dxa" w:w="4703"/>
          </w:tcPr>
          <w:p>
            <w:r>
              <w:rPr>
                <w:rFonts w:ascii="Meiryo UI" w:hAnsi="Meiryo UI"/>
                <w:sz w:val="18"/>
              </w:rPr>
              <w:t>1969年（推定）</w:t>
            </w:r>
          </w:p>
        </w:tc>
      </w:tr>
      <w:tr>
        <w:tc>
          <w:tcPr>
            <w:tcW w:type="dxa" w:w="4703"/>
            <w:shd w:val="clear" w:color="auto" w:fill="DDEBF7"/>
          </w:tcPr>
          <w:p>
            <w:r>
              <w:rPr>
                <w:rFonts w:ascii="Meiryo UI" w:hAnsi="Meiryo UI"/>
                <w:sz w:val="18"/>
              </w:rPr>
              <w:t>本社所在地</w:t>
            </w:r>
          </w:p>
        </w:tc>
        <w:tc>
          <w:tcPr>
            <w:tcW w:type="dxa" w:w="4703"/>
            <w:shd w:val="clear" w:color="auto" w:fill="DDEBF7"/>
          </w:tcPr>
          <w:p>
            <w:r>
              <w:rPr>
                <w:rFonts w:ascii="Meiryo UI" w:hAnsi="Meiryo UI"/>
                <w:sz w:val="18"/>
              </w:rPr>
              <w:t>神奈川県</w:t>
            </w:r>
          </w:p>
        </w:tc>
      </w:tr>
      <w:tr>
        <w:tc>
          <w:tcPr>
            <w:tcW w:type="dxa" w:w="4703"/>
          </w:tcPr>
          <w:p>
            <w:r>
              <w:rPr>
                <w:rFonts w:ascii="Meiryo UI" w:hAnsi="Meiryo UI"/>
                <w:sz w:val="18"/>
              </w:rPr>
              <w:t>事業ドメイン</w:t>
            </w:r>
          </w:p>
        </w:tc>
        <w:tc>
          <w:tcPr>
            <w:tcW w:type="dxa" w:w="4703"/>
          </w:tcPr>
          <w:p>
            <w:r>
              <w:rPr>
                <w:rFonts w:ascii="Meiryo UI" w:hAnsi="Meiryo UI"/>
                <w:sz w:val="18"/>
              </w:rPr>
              <w:t>リユース・リサイクル（中古品売買）／家電・ホビー・衣料</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約600〜800名（推定、パート含む）</w:t>
            </w:r>
          </w:p>
        </w:tc>
      </w:tr>
    </w:tbl>
    <w:p/>
    <w:p>
      <w:pPr>
        <w:pStyle w:val="Heading3"/>
      </w:pPr>
      <w:r>
        <w:rPr>
          <w:rFonts w:ascii="Meiryo UI" w:hAnsi="Meiryo UI"/>
          <w:color w:val="2E74B5"/>
        </w:rPr>
        <w:t>1-2. 事業セグメント構成</w:t>
      </w:r>
    </w:p>
    <w:p/>
    <w:p>
      <w:r>
        <w:rPr>
          <w:rFonts w:ascii="Meiryo UI" w:hAnsi="Meiryo UI"/>
          <w:sz w:val="20"/>
        </w:rPr>
        <w:t>ワットマンは神奈川県を地盤とするリユース専門チェーンである。主力業態は買取・販売型の中古品リテール。</w:t>
      </w:r>
    </w:p>
    <w:p/>
    <w:p>
      <w:pPr>
        <w:shd w:val="clear" w:color="auto" w:fill="F2F2F2"/>
      </w:pPr>
      <w:r>
        <w:rPr>
          <w:rFonts w:ascii="Courier New" w:hAnsi="Courier New"/>
          <w:sz w:val="16"/>
        </w:rPr>
        <w:t>【事業構造（推定）】</w:t>
        <w:br/>
        <w:t>─────────────────────────────────────</w:t>
        <w:br/>
        <w:t xml:space="preserve"> セグメント            売上構成比（推定）</w:t>
        <w:br/>
        <w:t>─────────────────────────────────────</w:t>
        <w:br/>
        <w:t xml:space="preserve"> 家電・デジタル機器    約35%</w:t>
        <w:br/>
        <w:t xml:space="preserve"> ホビー・フィギュア    約25%</w:t>
        <w:br/>
        <w:t xml:space="preserve"> 衣料・ブランド品      約20%</w:t>
        <w:br/>
        <w:t xml:space="preserve"> スポーツ・アウトドア  約10%</w:t>
        <w:br/>
        <w:t xml:space="preserve"> その他（書籍等）      約10%</w:t>
        <w:br/>
        <w:t>─────────────────────────────────────</w:t>
      </w:r>
    </w:p>
    <w:p/>
    <w:p>
      <w:pPr>
        <w:pStyle w:val="Heading3"/>
      </w:pPr>
      <w:r>
        <w:rPr>
          <w:rFonts w:ascii="Meiryo UI" w:hAnsi="Meiryo UI"/>
          <w:color w:val="2E74B5"/>
        </w:rPr>
        <w:t>1-3. プロダクト・競合優位性</w:t>
      </w:r>
    </w:p>
    <w:p/>
    <w:p>
      <w:r>
        <w:rPr>
          <w:rFonts w:ascii="Meiryo UI" w:hAnsi="Meiryo UI"/>
          <w:sz w:val="20"/>
        </w:rPr>
        <w:t>強み（Moat分析）:</w:t>
      </w:r>
    </w:p>
    <w:p>
      <w:pPr>
        <w:pStyle w:val="ListBullet"/>
      </w:pPr>
      <w:r>
        <w:rPr>
          <w:rFonts w:ascii="Meiryo UI" w:hAnsi="Meiryo UI"/>
          <w:sz w:val="20"/>
        </w:rPr>
        <w:t>神奈川県内における地域密着型の店舗ネットワーク（圧倒的な知名度）</w:t>
      </w:r>
    </w:p>
    <w:p>
      <w:pPr>
        <w:pStyle w:val="ListBullet"/>
      </w:pPr>
      <w:r>
        <w:rPr>
          <w:rFonts w:ascii="Meiryo UI" w:hAnsi="Meiryo UI"/>
          <w:sz w:val="20"/>
        </w:rPr>
        <w:t>長年の買取ノウハウによる適正査定力（回転率管理）</w:t>
      </w:r>
    </w:p>
    <w:p>
      <w:pPr>
        <w:pStyle w:val="ListBullet"/>
      </w:pPr>
      <w:r>
        <w:rPr>
          <w:rFonts w:ascii="Meiryo UI" w:hAnsi="Meiryo UI"/>
          <w:sz w:val="20"/>
        </w:rPr>
        <w:t>地域顧客とのリピート関係（買取→販売の循環モデル）</w:t>
      </w:r>
    </w:p>
    <w:p/>
    <w:p>
      <w:r>
        <w:rPr>
          <w:rFonts w:ascii="Meiryo UI" w:hAnsi="Meiryo UI"/>
          <w:sz w:val="20"/>
        </w:rPr>
        <w:t>弱み:</w:t>
      </w:r>
    </w:p>
    <w:p>
      <w:pPr>
        <w:pStyle w:val="ListBullet"/>
      </w:pPr>
      <w:r>
        <w:rPr>
          <w:rFonts w:ascii="Meiryo UI" w:hAnsi="Meiryo UI"/>
          <w:sz w:val="20"/>
        </w:rPr>
        <w:t>業態の地域限定性（首都圏外への拡張余地が限定的）</w:t>
      </w:r>
    </w:p>
    <w:p>
      <w:pPr>
        <w:pStyle w:val="ListBullet"/>
      </w:pPr>
      <w:r>
        <w:rPr>
          <w:rFonts w:ascii="Meiryo UI" w:hAnsi="Meiryo UI"/>
          <w:sz w:val="20"/>
        </w:rPr>
        <w:t>オンライン買取（メルカリ、ラクマ等）との競合激化</w:t>
      </w:r>
    </w:p>
    <w:p>
      <w:pPr>
        <w:pStyle w:val="ListBullet"/>
      </w:pPr>
      <w:r>
        <w:rPr>
          <w:rFonts w:ascii="Meiryo UI" w:hAnsi="Meiryo UI"/>
          <w:sz w:val="20"/>
        </w:rPr>
        <w:t>単独での規模拡大限界（→今回のTOBにより解消）</w:t>
      </w:r>
    </w:p>
    <w:p/>
    <w:p>
      <w:pPr>
        <w:pStyle w:val="Heading3"/>
      </w:pPr>
      <w:r>
        <w:rPr>
          <w:rFonts w:ascii="Meiryo UI" w:hAnsi="Meiryo UI"/>
          <w:color w:val="2E74B5"/>
        </w:rPr>
        <w:t>1-4. 直近カタリスト（最重要）</w:t>
      </w:r>
    </w:p>
    <w:p/>
    <w:p>
      <w:pPr>
        <w:shd w:val="clear" w:color="auto" w:fill="F2F2F2"/>
      </w:pPr>
      <w:r>
        <w:rPr>
          <w:rFonts w:ascii="Courier New" w:hAnsi="Courier New"/>
          <w:sz w:val="16"/>
        </w:rPr>
        <w:t>【イベントタイムライン】</w:t>
        <w:br/>
        <w:t>2025年後半    IAPFグループ3社がTOBを公表</w:t>
        <w:br/>
        <w:t>2026年初頭    TOB期間終了・成立確認</w:t>
        <w:br/>
        <w:t>2026年3月〜   親会社異動届出・株主構成変更確定</w:t>
        <w:br/>
        <w:t>2026年4月4日  ←本日（分析日）：残存公開株の市場流通</w:t>
        <w:br/>
        <w:t>近日中        スクイーズアウト（株式等売渡請求 or 特別支配株主制度）</w:t>
        <w:br/>
        <w:t xml:space="preserve">              ↓</w:t>
        <w:br/>
        <w:t xml:space="preserve">              全株主に対してTOB価格相当での強制取得</w:t>
      </w:r>
    </w:p>
    <w:p/>
    <w:p>
      <w:r>
        <w:rPr>
          <w:rFonts w:ascii="Meiryo UI" w:hAnsi="Meiryo UI"/>
          <w:sz w:val="20"/>
        </w:rPr>
        <w:t>スクイーズアウトのメカニズム:</w:t>
      </w:r>
    </w:p>
    <w:p>
      <w:pPr>
        <w:pStyle w:val="ListBullet"/>
      </w:pPr>
      <w:r>
        <w:rPr>
          <w:rFonts w:ascii="Meiryo UI" w:hAnsi="Meiryo UI"/>
          <w:sz w:val="20"/>
        </w:rPr>
        <w:t>特別支配株主（90%以上保有）による株式等売渡請求（会社法179条）</w:t>
      </w:r>
    </w:p>
    <w:p>
      <w:pPr>
        <w:pStyle w:val="ListBullet"/>
      </w:pPr>
      <w:r>
        <w:rPr>
          <w:rFonts w:ascii="Meiryo UI" w:hAnsi="Meiryo UI"/>
          <w:sz w:val="20"/>
        </w:rPr>
        <w:t>または全部取得条項付き種類株式を用いた取得</w:t>
      </w:r>
    </w:p>
    <w:p>
      <w:pPr>
        <w:pStyle w:val="ListBullet"/>
      </w:pPr>
      <w:r>
        <w:rPr>
          <w:rFonts w:ascii="Meiryo UI" w:hAnsi="Meiryo UI"/>
          <w:sz w:val="20"/>
        </w:rPr>
        <w:t>少数株主はTOB価格相当の対価を受領し強制退出</w:t>
      </w:r>
    </w:p>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リユース業界の市場環境</w:t>
      </w:r>
    </w:p>
    <w:p/>
    <w:p>
      <w:pPr>
        <w:shd w:val="clear" w:color="auto" w:fill="F2F2F2"/>
      </w:pPr>
      <w:r>
        <w:rPr>
          <w:rFonts w:ascii="Courier New" w:hAnsi="Courier New"/>
          <w:sz w:val="16"/>
        </w:rPr>
        <w:t>【国内リユース市場規模推移（推定）】</w:t>
        <w:br/>
        <w:t>2020年: 約2.9兆円</w:t>
        <w:br/>
        <w:t>2022年: 約3.3兆円</w:t>
        <w:br/>
        <w:t>2024年: 約3.8兆円（推定）</w:t>
        <w:br/>
        <w:t>2026年: 約4.2兆円（予測）</w:t>
        <w:br/>
        <w:t>CAGR: 約5〜7%</w:t>
      </w:r>
    </w:p>
    <w:p/>
    <w:p>
      <w:pPr>
        <w:pStyle w:val="Heading3"/>
      </w:pPr>
      <w:r>
        <w:rPr>
          <w:rFonts w:ascii="Meiryo UI" w:hAnsi="Meiryo UI"/>
          <w:color w:val="2E74B5"/>
        </w:rPr>
        <w:t>2-2. 主要競合比較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企業名</w:t>
            </w:r>
          </w:p>
        </w:tc>
        <w:tc>
          <w:tcPr>
            <w:tcW w:type="dxa" w:w="2351"/>
            <w:shd w:val="clear" w:color="auto" w:fill="2E74B5"/>
          </w:tcPr>
          <w:p>
            <w:r>
              <w:rPr>
                <w:rFonts w:ascii="Meiryo UI" w:hAnsi="Meiryo UI"/>
                <w:b/>
                <w:color w:val="FFFFFF"/>
                <w:sz w:val="18"/>
              </w:rPr>
              <w:t>上場</w:t>
            </w:r>
          </w:p>
        </w:tc>
        <w:tc>
          <w:tcPr>
            <w:tcW w:type="dxa" w:w="2351"/>
            <w:shd w:val="clear" w:color="auto" w:fill="2E74B5"/>
          </w:tcPr>
          <w:p>
            <w:r>
              <w:rPr>
                <w:rFonts w:ascii="Meiryo UI" w:hAnsi="Meiryo UI"/>
                <w:b/>
                <w:color w:val="FFFFFF"/>
                <w:sz w:val="18"/>
              </w:rPr>
              <w:t>特徴</w:t>
            </w:r>
          </w:p>
        </w:tc>
        <w:tc>
          <w:tcPr>
            <w:tcW w:type="dxa" w:w="2351"/>
            <w:shd w:val="clear" w:color="auto" w:fill="2E74B5"/>
          </w:tcPr>
          <w:p>
            <w:r>
              <w:rPr>
                <w:rFonts w:ascii="Meiryo UI" w:hAnsi="Meiryo UI"/>
                <w:b/>
                <w:color w:val="FFFFFF"/>
                <w:sz w:val="18"/>
              </w:rPr>
              <w:t>ワットマンとの差異</w:t>
            </w:r>
          </w:p>
        </w:tc>
      </w:tr>
      <w:tr>
        <w:tc>
          <w:tcPr>
            <w:tcW w:type="dxa" w:w="2351"/>
          </w:tcPr>
          <w:p>
            <w:r>
              <w:rPr>
                <w:rFonts w:ascii="Meiryo UI" w:hAnsi="Meiryo UI"/>
                <w:sz w:val="18"/>
              </w:rPr>
              <w:t>ハードオフコーポレーション</w:t>
            </w:r>
          </w:p>
        </w:tc>
        <w:tc>
          <w:tcPr>
            <w:tcW w:type="dxa" w:w="2351"/>
          </w:tcPr>
          <w:p>
            <w:r>
              <w:rPr>
                <w:rFonts w:ascii="Meiryo UI" w:hAnsi="Meiryo UI"/>
                <w:sz w:val="18"/>
              </w:rPr>
              <w:t>上場</w:t>
            </w:r>
          </w:p>
        </w:tc>
        <w:tc>
          <w:tcPr>
            <w:tcW w:type="dxa" w:w="2351"/>
          </w:tcPr>
          <w:p>
            <w:r>
              <w:rPr>
                <w:rFonts w:ascii="Meiryo UI" w:hAnsi="Meiryo UI"/>
                <w:sz w:val="18"/>
              </w:rPr>
              <w:t>全国FC展開</w:t>
            </w:r>
          </w:p>
        </w:tc>
        <w:tc>
          <w:tcPr>
            <w:tcW w:type="dxa" w:w="2351"/>
          </w:tcPr>
          <w:p>
            <w:r>
              <w:rPr>
                <w:rFonts w:ascii="Meiryo UI" w:hAnsi="Meiryo UI"/>
                <w:sz w:val="18"/>
              </w:rPr>
              <w:t>規模・全国展開で圧倒</w:t>
            </w:r>
          </w:p>
        </w:tc>
      </w:tr>
      <w:tr>
        <w:tc>
          <w:tcPr>
            <w:tcW w:type="dxa" w:w="2351"/>
            <w:shd w:val="clear" w:color="auto" w:fill="DDEBF7"/>
          </w:tcPr>
          <w:p>
            <w:r>
              <w:rPr>
                <w:rFonts w:ascii="Meiryo UI" w:hAnsi="Meiryo UI"/>
                <w:sz w:val="18"/>
              </w:rPr>
              <w:t>トレジャー・ファクトリー</w:t>
            </w:r>
          </w:p>
        </w:tc>
        <w:tc>
          <w:tcPr>
            <w:tcW w:type="dxa" w:w="2351"/>
            <w:shd w:val="clear" w:color="auto" w:fill="DDEBF7"/>
          </w:tcPr>
          <w:p>
            <w:r>
              <w:rPr>
                <w:rFonts w:ascii="Meiryo UI" w:hAnsi="Meiryo UI"/>
                <w:sz w:val="18"/>
              </w:rPr>
              <w:t>上場</w:t>
            </w:r>
          </w:p>
        </w:tc>
        <w:tc>
          <w:tcPr>
            <w:tcW w:type="dxa" w:w="2351"/>
            <w:shd w:val="clear" w:color="auto" w:fill="DDEBF7"/>
          </w:tcPr>
          <w:p>
            <w:r>
              <w:rPr>
                <w:rFonts w:ascii="Meiryo UI" w:hAnsi="Meiryo UI"/>
                <w:sz w:val="18"/>
              </w:rPr>
              <w:t>首都圏密度高</w:t>
            </w:r>
          </w:p>
        </w:tc>
        <w:tc>
          <w:tcPr>
            <w:tcW w:type="dxa" w:w="2351"/>
            <w:shd w:val="clear" w:color="auto" w:fill="DDEBF7"/>
          </w:tcPr>
          <w:p>
            <w:r>
              <w:rPr>
                <w:rFonts w:ascii="Meiryo UI" w:hAnsi="Meiryo UI"/>
                <w:sz w:val="18"/>
              </w:rPr>
              <w:t>都市型・衣料強み</w:t>
            </w:r>
          </w:p>
        </w:tc>
      </w:tr>
      <w:tr>
        <w:tc>
          <w:tcPr>
            <w:tcW w:type="dxa" w:w="2351"/>
          </w:tcPr>
          <w:p>
            <w:r>
              <w:rPr>
                <w:rFonts w:ascii="Meiryo UI" w:hAnsi="Meiryo UI"/>
                <w:sz w:val="18"/>
              </w:rPr>
              <w:t>ゲオホールディングス</w:t>
            </w:r>
          </w:p>
        </w:tc>
        <w:tc>
          <w:tcPr>
            <w:tcW w:type="dxa" w:w="2351"/>
          </w:tcPr>
          <w:p>
            <w:r>
              <w:rPr>
                <w:rFonts w:ascii="Meiryo UI" w:hAnsi="Meiryo UI"/>
                <w:sz w:val="18"/>
              </w:rPr>
              <w:t>上場</w:t>
            </w:r>
          </w:p>
        </w:tc>
        <w:tc>
          <w:tcPr>
            <w:tcW w:type="dxa" w:w="2351"/>
          </w:tcPr>
          <w:p>
            <w:r>
              <w:rPr>
                <w:rFonts w:ascii="Meiryo UI" w:hAnsi="Meiryo UI"/>
                <w:sz w:val="18"/>
              </w:rPr>
              <w:t>エンタメ特化</w:t>
            </w:r>
          </w:p>
        </w:tc>
        <w:tc>
          <w:tcPr>
            <w:tcW w:type="dxa" w:w="2351"/>
          </w:tcPr>
          <w:p>
            <w:r>
              <w:rPr>
                <w:rFonts w:ascii="Meiryo UI" w:hAnsi="Meiryo UI"/>
                <w:sz w:val="18"/>
              </w:rPr>
              <w:t>デジタルシフト先行</w:t>
            </w:r>
          </w:p>
        </w:tc>
      </w:tr>
      <w:tr>
        <w:tc>
          <w:tcPr>
            <w:tcW w:type="dxa" w:w="2351"/>
            <w:shd w:val="clear" w:color="auto" w:fill="DDEBF7"/>
          </w:tcPr>
          <w:p>
            <w:r>
              <w:rPr>
                <w:rFonts w:ascii="Meiryo UI" w:hAnsi="Meiryo UI"/>
                <w:sz w:val="18"/>
              </w:rPr>
              <w:t>ブックオフG</w:t>
            </w:r>
          </w:p>
        </w:tc>
        <w:tc>
          <w:tcPr>
            <w:tcW w:type="dxa" w:w="2351"/>
            <w:shd w:val="clear" w:color="auto" w:fill="DDEBF7"/>
          </w:tcPr>
          <w:p>
            <w:r>
              <w:rPr>
                <w:rFonts w:ascii="Meiryo UI" w:hAnsi="Meiryo UI"/>
                <w:sz w:val="18"/>
              </w:rPr>
              <w:t>上場</w:t>
            </w:r>
          </w:p>
        </w:tc>
        <w:tc>
          <w:tcPr>
            <w:tcW w:type="dxa" w:w="2351"/>
            <w:shd w:val="clear" w:color="auto" w:fill="DDEBF7"/>
          </w:tcPr>
          <w:p>
            <w:r>
              <w:rPr>
                <w:rFonts w:ascii="Meiryo UI" w:hAnsi="Meiryo UI"/>
                <w:sz w:val="18"/>
              </w:rPr>
              <w:t>書籍→総合化</w:t>
            </w:r>
          </w:p>
        </w:tc>
        <w:tc>
          <w:tcPr>
            <w:tcW w:type="dxa" w:w="2351"/>
            <w:shd w:val="clear" w:color="auto" w:fill="DDEBF7"/>
          </w:tcPr>
          <w:p>
            <w:r>
              <w:rPr>
                <w:rFonts w:ascii="Meiryo UI" w:hAnsi="Meiryo UI"/>
                <w:sz w:val="18"/>
              </w:rPr>
              <w:t>業態転換で競合化</w:t>
            </w:r>
          </w:p>
        </w:tc>
      </w:tr>
      <w:tr>
        <w:tc>
          <w:tcPr>
            <w:tcW w:type="dxa" w:w="2351"/>
          </w:tcPr>
          <w:p>
            <w:r>
              <w:rPr>
                <w:rFonts w:ascii="Meiryo UI" w:hAnsi="Meiryo UI"/>
                <w:sz w:val="18"/>
              </w:rPr>
              <w:t>メルカリ</w:t>
            </w:r>
          </w:p>
        </w:tc>
        <w:tc>
          <w:tcPr>
            <w:tcW w:type="dxa" w:w="2351"/>
          </w:tcPr>
          <w:p>
            <w:r>
              <w:rPr>
                <w:rFonts w:ascii="Meiryo UI" w:hAnsi="Meiryo UI"/>
                <w:sz w:val="18"/>
              </w:rPr>
              <w:t>上場</w:t>
            </w:r>
          </w:p>
        </w:tc>
        <w:tc>
          <w:tcPr>
            <w:tcW w:type="dxa" w:w="2351"/>
          </w:tcPr>
          <w:p>
            <w:r>
              <w:rPr>
                <w:rFonts w:ascii="Meiryo UI" w:hAnsi="Meiryo UI"/>
                <w:sz w:val="18"/>
              </w:rPr>
              <w:t>C2Cプラットフォーム</w:t>
            </w:r>
          </w:p>
        </w:tc>
        <w:tc>
          <w:tcPr>
            <w:tcW w:type="dxa" w:w="2351"/>
          </w:tcPr>
          <w:p>
            <w:r>
              <w:rPr>
                <w:rFonts w:ascii="Meiryo UI" w:hAnsi="Meiryo UI"/>
                <w:sz w:val="18"/>
              </w:rPr>
              <w:t>間接競合・代替脅威</w:t>
            </w:r>
          </w:p>
        </w:tc>
      </w:tr>
      <w:tr>
        <w:tc>
          <w:tcPr>
            <w:tcW w:type="dxa" w:w="2351"/>
            <w:shd w:val="clear" w:color="auto" w:fill="DDEBF7"/>
          </w:tcPr>
          <w:p>
            <w:r>
              <w:rPr>
                <w:rFonts w:ascii="Meiryo UI" w:hAnsi="Meiryo UI"/>
                <w:sz w:val="18"/>
              </w:rPr>
              <w:t>ワットマン</w:t>
            </w:r>
          </w:p>
        </w:tc>
        <w:tc>
          <w:tcPr>
            <w:tcW w:type="dxa" w:w="2351"/>
            <w:shd w:val="clear" w:color="auto" w:fill="DDEBF7"/>
          </w:tcPr>
          <w:p>
            <w:r>
              <w:rPr>
                <w:rFonts w:ascii="Meiryo UI" w:hAnsi="Meiryo UI"/>
                <w:sz w:val="18"/>
              </w:rPr>
              <w:t>上場（TOB後）</w:t>
            </w:r>
          </w:p>
        </w:tc>
        <w:tc>
          <w:tcPr>
            <w:tcW w:type="dxa" w:w="2351"/>
            <w:shd w:val="clear" w:color="auto" w:fill="DDEBF7"/>
          </w:tcPr>
          <w:p>
            <w:r>
              <w:rPr>
                <w:rFonts w:ascii="Meiryo UI" w:hAnsi="Meiryo UI"/>
                <w:sz w:val="18"/>
              </w:rPr>
              <w:t>神奈川地盤リユース</w:t>
            </w:r>
          </w:p>
        </w:tc>
        <w:tc>
          <w:tcPr>
            <w:tcW w:type="dxa" w:w="2351"/>
            <w:shd w:val="clear" w:color="auto" w:fill="DDEBF7"/>
          </w:tcPr>
          <w:p>
            <w:r>
              <w:rPr>
                <w:rFonts w:ascii="Meiryo UI" w:hAnsi="Meiryo UI"/>
                <w:sz w:val="18"/>
              </w:rPr>
              <w:t>地域特化・独自査定力</w:t>
            </w:r>
          </w:p>
        </w:tc>
      </w:tr>
    </w:tbl>
    <w:p/>
    <w:p>
      <w:pPr>
        <w:pStyle w:val="Heading3"/>
      </w:pPr>
      <w:r>
        <w:rPr>
          <w:rFonts w:ascii="Meiryo UI" w:hAnsi="Meiryo UI"/>
          <w:color w:val="2E74B5"/>
        </w:rPr>
        <w:t>2-3. TOB後の戦略的位置づけ</w:t>
      </w:r>
    </w:p>
    <w:p/>
    <w:p>
      <w:r>
        <w:rPr>
          <w:rFonts w:ascii="Meiryo UI" w:hAnsi="Meiryo UI"/>
          <w:sz w:val="20"/>
        </w:rPr>
        <w:t>IAPFグループ（推定：流通・リサイクル関連の投資ファンドまたは事業会社連合）によるTOBにより、ワットマンは：</w:t>
      </w:r>
    </w:p>
    <w:p>
      <w:pPr>
        <w:pStyle w:val="ListBullet"/>
      </w:pPr>
      <w:r>
        <w:rPr>
          <w:rFonts w:ascii="Meiryo UI" w:hAnsi="Meiryo UI"/>
          <w:sz w:val="20"/>
        </w:rPr>
        <w:t>独立上場廃止方向へ</w:t>
      </w:r>
    </w:p>
    <w:p>
      <w:pPr>
        <w:pStyle w:val="ListBullet"/>
      </w:pPr>
      <w:r>
        <w:rPr>
          <w:rFonts w:ascii="Meiryo UI" w:hAnsi="Meiryo UI"/>
          <w:sz w:val="20"/>
        </w:rPr>
        <w:t>非公開化後の事業再編・効率化が期待</w:t>
      </w:r>
    </w:p>
    <w:p>
      <w:pPr>
        <w:pStyle w:val="ListBullet"/>
      </w:pPr>
      <w:r>
        <w:rPr>
          <w:rFonts w:ascii="Meiryo UI" w:hAnsi="Meiryo UI"/>
          <w:sz w:val="20"/>
        </w:rPr>
        <w:t>バイアウト後の企業価値向上を目指す典型的なPE案件</w:t>
      </w:r>
    </w:p>
    <w:p/>
    <w:p>
      <w:r>
        <w:t>──────────────────────────────────────────────────</w:t>
      </w:r>
    </w:p>
    <w:p/>
    <w:p>
      <w:pPr>
        <w:pStyle w:val="Heading2"/>
      </w:pPr>
      <w:r>
        <w:rPr>
          <w:rFonts w:ascii="Meiryo UI" w:hAnsi="Meiryo UI"/>
          <w:color w:val="2E74B5"/>
        </w:rPr>
        <w:t>3. 財務ハイライト</w:t>
      </w:r>
    </w:p>
    <w:p/>
    <w:p>
      <w:r>
        <w:rPr>
          <w:rFonts w:ascii="Meiryo UI" w:hAnsi="Meiryo UI"/>
          <w:sz w:val="20"/>
        </w:rPr>
        <w:t>&gt; 注記: 以下は公開情報（有価証券報告書・決算短信）ベースの推計値。スタンダード市場・中堅リユース業として一般的な財務特性から補完している。</w:t>
      </w:r>
    </w:p>
    <w:p/>
    <w:p>
      <w:pPr>
        <w:pStyle w:val="Heading3"/>
      </w:pPr>
      <w:r>
        <w:rPr>
          <w:rFonts w:ascii="Meiryo UI" w:hAnsi="Meiryo UI"/>
          <w:color w:val="2E74B5"/>
        </w:rPr>
        <w:t>3-1. 直近FY実績（推定）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FY2024実績（推定）</w:t>
            </w:r>
          </w:p>
        </w:tc>
        <w:tc>
          <w:tcPr>
            <w:tcW w:type="dxa" w:w="2351"/>
            <w:shd w:val="clear" w:color="auto" w:fill="2E74B5"/>
          </w:tcPr>
          <w:p>
            <w:r>
              <w:rPr>
                <w:rFonts w:ascii="Meiryo UI" w:hAnsi="Meiryo UI"/>
                <w:b/>
                <w:color w:val="FFFFFF"/>
                <w:sz w:val="18"/>
              </w:rPr>
              <w:t>FY2023実績（推定）</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売上高</w:t>
            </w:r>
          </w:p>
        </w:tc>
        <w:tc>
          <w:tcPr>
            <w:tcW w:type="dxa" w:w="2351"/>
          </w:tcPr>
          <w:p>
            <w:r>
              <w:rPr>
                <w:rFonts w:ascii="Meiryo UI" w:hAnsi="Meiryo UI"/>
                <w:sz w:val="18"/>
              </w:rPr>
              <w:t>約120億円</w:t>
            </w:r>
          </w:p>
        </w:tc>
        <w:tc>
          <w:tcPr>
            <w:tcW w:type="dxa" w:w="2351"/>
          </w:tcPr>
          <w:p>
            <w:r>
              <w:rPr>
                <w:rFonts w:ascii="Meiryo UI" w:hAnsi="Meiryo UI"/>
                <w:sz w:val="18"/>
              </w:rPr>
              <w:t>約115億円</w:t>
            </w:r>
          </w:p>
        </w:tc>
        <w:tc>
          <w:tcPr>
            <w:tcW w:type="dxa" w:w="2351"/>
          </w:tcPr>
          <w:p>
            <w:r>
              <w:rPr>
                <w:rFonts w:ascii="Meiryo UI" w:hAnsi="Meiryo UI"/>
                <w:sz w:val="18"/>
              </w:rPr>
              <w:t>+4.3%</w:t>
            </w:r>
          </w:p>
        </w:tc>
      </w:tr>
      <w:tr>
        <w:tc>
          <w:tcPr>
            <w:tcW w:type="dxa" w:w="2351"/>
            <w:shd w:val="clear" w:color="auto" w:fill="DDEBF7"/>
          </w:tcPr>
          <w:p>
            <w:r>
              <w:rPr>
                <w:rFonts w:ascii="Meiryo UI" w:hAnsi="Meiryo UI"/>
                <w:sz w:val="18"/>
              </w:rPr>
              <w:t>売上総利益</w:t>
            </w:r>
          </w:p>
        </w:tc>
        <w:tc>
          <w:tcPr>
            <w:tcW w:type="dxa" w:w="2351"/>
            <w:shd w:val="clear" w:color="auto" w:fill="DDEBF7"/>
          </w:tcPr>
          <w:p>
            <w:r>
              <w:rPr>
                <w:rFonts w:ascii="Meiryo UI" w:hAnsi="Meiryo UI"/>
                <w:sz w:val="18"/>
              </w:rPr>
              <w:t>約42億円</w:t>
            </w:r>
          </w:p>
        </w:tc>
        <w:tc>
          <w:tcPr>
            <w:tcW w:type="dxa" w:w="2351"/>
            <w:shd w:val="clear" w:color="auto" w:fill="DDEBF7"/>
          </w:tcPr>
          <w:p>
            <w:r>
              <w:rPr>
                <w:rFonts w:ascii="Meiryo UI" w:hAnsi="Meiryo UI"/>
                <w:sz w:val="18"/>
              </w:rPr>
              <w:t>約40億円</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営業利益</w:t>
            </w:r>
          </w:p>
        </w:tc>
        <w:tc>
          <w:tcPr>
            <w:tcW w:type="dxa" w:w="2351"/>
          </w:tcPr>
          <w:p>
            <w:r>
              <w:rPr>
                <w:rFonts w:ascii="Meiryo UI" w:hAnsi="Meiryo UI"/>
                <w:sz w:val="18"/>
              </w:rPr>
              <w:t>約4.5億円</w:t>
            </w:r>
          </w:p>
        </w:tc>
        <w:tc>
          <w:tcPr>
            <w:tcW w:type="dxa" w:w="2351"/>
          </w:tcPr>
          <w:p>
            <w:r>
              <w:rPr>
                <w:rFonts w:ascii="Meiryo UI" w:hAnsi="Meiryo UI"/>
                <w:sz w:val="18"/>
              </w:rPr>
              <w:t>約4.0億円</w:t>
            </w:r>
          </w:p>
        </w:tc>
        <w:tc>
          <w:tcPr>
            <w:tcW w:type="dxa" w:w="2351"/>
          </w:tcPr>
          <w:p>
            <w:r>
              <w:rPr>
                <w:rFonts w:ascii="Meiryo UI" w:hAnsi="Meiryo UI"/>
                <w:sz w:val="18"/>
              </w:rPr>
              <w:t>+12.5%</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約3.8%</w:t>
            </w:r>
          </w:p>
        </w:tc>
        <w:tc>
          <w:tcPr>
            <w:tcW w:type="dxa" w:w="2351"/>
            <w:shd w:val="clear" w:color="auto" w:fill="DDEBF7"/>
          </w:tcPr>
          <w:p>
            <w:r>
              <w:rPr>
                <w:rFonts w:ascii="Meiryo UI" w:hAnsi="Meiryo UI"/>
                <w:sz w:val="18"/>
              </w:rPr>
              <w:t>約3.5%</w:t>
            </w:r>
          </w:p>
        </w:tc>
        <w:tc>
          <w:tcPr>
            <w:tcW w:type="dxa" w:w="2351"/>
            <w:shd w:val="clear" w:color="auto" w:fill="DDEBF7"/>
          </w:tcPr>
          <w:p>
            <w:r>
              <w:rPr>
                <w:rFonts w:ascii="Meiryo UI" w:hAnsi="Meiryo UI"/>
                <w:sz w:val="18"/>
              </w:rPr>
              <w:t>+0.3pp</w:t>
            </w:r>
          </w:p>
        </w:tc>
      </w:tr>
      <w:tr>
        <w:tc>
          <w:tcPr>
            <w:tcW w:type="dxa" w:w="2351"/>
          </w:tcPr>
          <w:p>
            <w:r>
              <w:rPr>
                <w:rFonts w:ascii="Meiryo UI" w:hAnsi="Meiryo UI"/>
                <w:sz w:val="18"/>
              </w:rPr>
              <w:t>経常利益</w:t>
            </w:r>
          </w:p>
        </w:tc>
        <w:tc>
          <w:tcPr>
            <w:tcW w:type="dxa" w:w="2351"/>
          </w:tcPr>
          <w:p>
            <w:r>
              <w:rPr>
                <w:rFonts w:ascii="Meiryo UI" w:hAnsi="Meiryo UI"/>
                <w:sz w:val="18"/>
              </w:rPr>
              <w:t>約4.8億円</w:t>
            </w:r>
          </w:p>
        </w:tc>
        <w:tc>
          <w:tcPr>
            <w:tcW w:type="dxa" w:w="2351"/>
          </w:tcPr>
          <w:p>
            <w:r>
              <w:rPr>
                <w:rFonts w:ascii="Meiryo UI" w:hAnsi="Meiryo UI"/>
                <w:sz w:val="18"/>
              </w:rPr>
              <w:t>約4.3億円</w:t>
            </w:r>
          </w:p>
        </w:tc>
        <w:tc>
          <w:tcPr>
            <w:tcW w:type="dxa" w:w="2351"/>
          </w:tcPr>
          <w:p>
            <w:r>
              <w:rPr>
                <w:rFonts w:ascii="Meiryo UI" w:hAnsi="Meiryo UI"/>
                <w:sz w:val="18"/>
              </w:rPr>
              <w:t>+11.6%</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約3.0億円</w:t>
            </w:r>
          </w:p>
        </w:tc>
        <w:tc>
          <w:tcPr>
            <w:tcW w:type="dxa" w:w="2351"/>
            <w:shd w:val="clear" w:color="auto" w:fill="DDEBF7"/>
          </w:tcPr>
          <w:p>
            <w:r>
              <w:rPr>
                <w:rFonts w:ascii="Meiryo UI" w:hAnsi="Meiryo UI"/>
                <w:sz w:val="18"/>
              </w:rPr>
              <w:t>約2.7億円</w:t>
            </w:r>
          </w:p>
        </w:tc>
        <w:tc>
          <w:tcPr>
            <w:tcW w:type="dxa" w:w="2351"/>
            <w:shd w:val="clear" w:color="auto" w:fill="DDEBF7"/>
          </w:tcPr>
          <w:p>
            <w:r>
              <w:rPr>
                <w:rFonts w:ascii="Meiryo UI" w:hAnsi="Meiryo UI"/>
                <w:sz w:val="18"/>
              </w:rPr>
              <w:t>+11.1%</w:t>
            </w:r>
          </w:p>
        </w:tc>
      </w:tr>
      <w:tr>
        <w:tc>
          <w:tcPr>
            <w:tcW w:type="dxa" w:w="2351"/>
          </w:tcPr>
          <w:p>
            <w:r>
              <w:rPr>
                <w:rFonts w:ascii="Meiryo UI" w:hAnsi="Meiryo UI"/>
                <w:sz w:val="18"/>
              </w:rPr>
              <w:t>EBITDA（推定）</w:t>
            </w:r>
          </w:p>
        </w:tc>
        <w:tc>
          <w:tcPr>
            <w:tcW w:type="dxa" w:w="2351"/>
          </w:tcPr>
          <w:p>
            <w:r>
              <w:rPr>
                <w:rFonts w:ascii="Meiryo UI" w:hAnsi="Meiryo UI"/>
                <w:sz w:val="18"/>
              </w:rPr>
              <w:t>約6.5億円</w:t>
            </w:r>
          </w:p>
        </w:tc>
        <w:tc>
          <w:tcPr>
            <w:tcW w:type="dxa" w:w="2351"/>
          </w:tcPr>
          <w:p>
            <w:r>
              <w:rPr>
                <w:rFonts w:ascii="Meiryo UI" w:hAnsi="Meiryo UI"/>
                <w:sz w:val="18"/>
              </w:rPr>
              <w:t>約6.0億円</w:t>
            </w:r>
          </w:p>
        </w:tc>
        <w:tc>
          <w:tcPr>
            <w:tcW w:type="dxa" w:w="2351"/>
          </w:tcPr>
          <w:p>
            <w:r>
              <w:rPr>
                <w:rFonts w:ascii="Meiryo UI" w:hAnsi="Meiryo UI"/>
                <w:sz w:val="18"/>
              </w:rPr>
              <w:t>+8.3%</w:t>
            </w:r>
          </w:p>
        </w:tc>
      </w:tr>
    </w:tbl>
    <w:p/>
    <w:p>
      <w:pPr>
        <w:pStyle w:val="Heading3"/>
      </w:pPr>
      <w:r>
        <w:rPr>
          <w:rFonts w:ascii="Meiryo UI" w:hAnsi="Meiryo UI"/>
          <w:color w:val="2E74B5"/>
        </w:rPr>
        <w:t>3-2. バランスシート概況（推定）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金額（推定）</w:t>
            </w:r>
          </w:p>
        </w:tc>
      </w:tr>
      <w:tr>
        <w:tc>
          <w:tcPr>
            <w:tcW w:type="dxa" w:w="4703"/>
          </w:tcPr>
          <w:p>
            <w:r>
              <w:rPr>
                <w:rFonts w:ascii="Meiryo UI" w:hAnsi="Meiryo UI"/>
                <w:sz w:val="18"/>
              </w:rPr>
              <w:t>総資産</w:t>
            </w:r>
          </w:p>
        </w:tc>
        <w:tc>
          <w:tcPr>
            <w:tcW w:type="dxa" w:w="4703"/>
          </w:tcPr>
          <w:p>
            <w:r>
              <w:rPr>
                <w:rFonts w:ascii="Meiryo UI" w:hAnsi="Meiryo UI"/>
                <w:sz w:val="18"/>
              </w:rPr>
              <w:t>約65億円</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約35億円</w:t>
            </w:r>
          </w:p>
        </w:tc>
      </w:tr>
      <w:tr>
        <w:tc>
          <w:tcPr>
            <w:tcW w:type="dxa" w:w="4703"/>
          </w:tcPr>
          <w:p>
            <w:r>
              <w:rPr>
                <w:rFonts w:ascii="Meiryo UI" w:hAnsi="Meiryo UI"/>
                <w:sz w:val="18"/>
              </w:rPr>
              <w:t>自己資本比率</w:t>
            </w:r>
          </w:p>
        </w:tc>
        <w:tc>
          <w:tcPr>
            <w:tcW w:type="dxa" w:w="4703"/>
          </w:tcPr>
          <w:p>
            <w:r>
              <w:rPr>
                <w:rFonts w:ascii="Meiryo UI" w:hAnsi="Meiryo UI"/>
                <w:sz w:val="18"/>
              </w:rPr>
              <w:t>約54%</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約8億円</w:t>
            </w:r>
          </w:p>
        </w:tc>
      </w:tr>
      <w:tr>
        <w:tc>
          <w:tcPr>
            <w:tcW w:type="dxa" w:w="4703"/>
          </w:tcPr>
          <w:p>
            <w:r>
              <w:rPr>
                <w:rFonts w:ascii="Meiryo UI" w:hAnsi="Meiryo UI"/>
                <w:sz w:val="18"/>
              </w:rPr>
              <w:t>現金・預金</w:t>
            </w:r>
          </w:p>
        </w:tc>
        <w:tc>
          <w:tcPr>
            <w:tcW w:type="dxa" w:w="4703"/>
          </w:tcPr>
          <w:p>
            <w:r>
              <w:rPr>
                <w:rFonts w:ascii="Meiryo UI" w:hAnsi="Meiryo UI"/>
                <w:sz w:val="18"/>
              </w:rPr>
              <w:t>約12億円</w:t>
            </w:r>
          </w:p>
        </w:tc>
      </w:tr>
      <w:tr>
        <w:tc>
          <w:tcPr>
            <w:tcW w:type="dxa" w:w="4703"/>
            <w:shd w:val="clear" w:color="auto" w:fill="DDEBF7"/>
          </w:tcPr>
          <w:p>
            <w:r>
              <w:rPr>
                <w:rFonts w:ascii="Meiryo UI" w:hAnsi="Meiryo UI"/>
                <w:sz w:val="18"/>
              </w:rPr>
              <w:t>ネット有利子負債</w:t>
            </w:r>
          </w:p>
        </w:tc>
        <w:tc>
          <w:tcPr>
            <w:tcW w:type="dxa" w:w="4703"/>
            <w:shd w:val="clear" w:color="auto" w:fill="DDEBF7"/>
          </w:tcPr>
          <w:p>
            <w:r>
              <w:rPr>
                <w:rFonts w:ascii="Meiryo UI" w:hAnsi="Meiryo UI"/>
                <w:sz w:val="18"/>
              </w:rPr>
              <w:t>▲4億円（実質ネットキャッシュ）</w:t>
            </w:r>
          </w:p>
        </w:tc>
      </w:tr>
    </w:tbl>
    <w:p/>
    <w:p>
      <w:pPr>
        <w:pStyle w:val="Heading3"/>
      </w:pPr>
      <w:r>
        <w:rPr>
          <w:rFonts w:ascii="Meiryo UI" w:hAnsi="Meiryo UI"/>
          <w:color w:val="2E74B5"/>
        </w:rPr>
        <w:t>3-3. キャッシュフロー（推定）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FY2024（推定）</w:t>
            </w:r>
          </w:p>
        </w:tc>
      </w:tr>
      <w:tr>
        <w:tc>
          <w:tcPr>
            <w:tcW w:type="dxa" w:w="4703"/>
          </w:tcPr>
          <w:p>
            <w:r>
              <w:rPr>
                <w:rFonts w:ascii="Meiryo UI" w:hAnsi="Meiryo UI"/>
                <w:sz w:val="18"/>
              </w:rPr>
              <w:t>営業CF</w:t>
            </w:r>
          </w:p>
        </w:tc>
        <w:tc>
          <w:tcPr>
            <w:tcW w:type="dxa" w:w="4703"/>
          </w:tcPr>
          <w:p>
            <w:r>
              <w:rPr>
                <w:rFonts w:ascii="Meiryo UI" w:hAnsi="Meiryo UI"/>
                <w:sz w:val="18"/>
              </w:rPr>
              <w:t>約5.5億円</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約▲2.0億円</w:t>
            </w:r>
          </w:p>
        </w:tc>
      </w:tr>
      <w:tr>
        <w:tc>
          <w:tcPr>
            <w:tcW w:type="dxa" w:w="4703"/>
          </w:tcPr>
          <w:p>
            <w:r>
              <w:rPr>
                <w:rFonts w:ascii="Meiryo UI" w:hAnsi="Meiryo UI"/>
                <w:sz w:val="18"/>
              </w:rPr>
              <w:t>FCF</w:t>
            </w:r>
          </w:p>
        </w:tc>
        <w:tc>
          <w:tcPr>
            <w:tcW w:type="dxa" w:w="4703"/>
          </w:tcPr>
          <w:p>
            <w:r>
              <w:rPr>
                <w:rFonts w:ascii="Meiryo UI" w:hAnsi="Meiryo UI"/>
                <w:sz w:val="18"/>
              </w:rPr>
              <w:t>約3.5億円</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約2.9%</w:t>
            </w:r>
          </w:p>
        </w:tc>
      </w:tr>
      <w:tr>
        <w:tc>
          <w:tcPr>
            <w:tcW w:type="dxa" w:w="4703"/>
          </w:tcPr>
          <w:p>
            <w:r>
              <w:rPr>
                <w:rFonts w:ascii="Meiryo UI" w:hAnsi="Meiryo UI"/>
                <w:sz w:val="18"/>
              </w:rPr>
              <w:t>設備投資/売上</w:t>
            </w:r>
          </w:p>
        </w:tc>
        <w:tc>
          <w:tcPr>
            <w:tcW w:type="dxa" w:w="4703"/>
          </w:tcPr>
          <w:p>
            <w:r>
              <w:rPr>
                <w:rFonts w:ascii="Meiryo UI" w:hAnsi="Meiryo UI"/>
                <w:sz w:val="18"/>
              </w:rPr>
              <w:t>約1.7%</w:t>
            </w:r>
          </w:p>
        </w:tc>
      </w:tr>
    </w:tbl>
    <w:p/>
    <w:p>
      <w:pPr>
        <w:pStyle w:val="Heading3"/>
      </w:pPr>
      <w:r>
        <w:rPr>
          <w:rFonts w:ascii="Meiryo UI" w:hAnsi="Meiryo UI"/>
          <w:color w:val="2E74B5"/>
        </w:rPr>
        <w:t>3-4. リユース特有指標</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水準（推定）</w:t>
            </w:r>
          </w:p>
        </w:tc>
      </w:tr>
      <w:tr>
        <w:tc>
          <w:tcPr>
            <w:tcW w:type="dxa" w:w="4703"/>
          </w:tcPr>
          <w:p>
            <w:r>
              <w:rPr>
                <w:rFonts w:ascii="Meiryo UI" w:hAnsi="Meiryo UI"/>
                <w:sz w:val="18"/>
              </w:rPr>
              <w:t>在庫回転率</w:t>
            </w:r>
          </w:p>
        </w:tc>
        <w:tc>
          <w:tcPr>
            <w:tcW w:type="dxa" w:w="4703"/>
          </w:tcPr>
          <w:p>
            <w:r>
              <w:rPr>
                <w:rFonts w:ascii="Meiryo UI" w:hAnsi="Meiryo UI"/>
                <w:sz w:val="18"/>
              </w:rPr>
              <w:t>約6〜8回転/年</w:t>
            </w:r>
          </w:p>
        </w:tc>
      </w:tr>
      <w:tr>
        <w:tc>
          <w:tcPr>
            <w:tcW w:type="dxa" w:w="4703"/>
            <w:shd w:val="clear" w:color="auto" w:fill="DDEBF7"/>
          </w:tcPr>
          <w:p>
            <w:r>
              <w:rPr>
                <w:rFonts w:ascii="Meiryo UI" w:hAnsi="Meiryo UI"/>
                <w:sz w:val="18"/>
              </w:rPr>
              <w:t>買取原価率</w:t>
            </w:r>
          </w:p>
        </w:tc>
        <w:tc>
          <w:tcPr>
            <w:tcW w:type="dxa" w:w="4703"/>
            <w:shd w:val="clear" w:color="auto" w:fill="DDEBF7"/>
          </w:tcPr>
          <w:p>
            <w:r>
              <w:rPr>
                <w:rFonts w:ascii="Meiryo UI" w:hAnsi="Meiryo UI"/>
                <w:sz w:val="18"/>
              </w:rPr>
              <w:t>約55〜60%</w:t>
            </w:r>
          </w:p>
        </w:tc>
      </w:tr>
      <w:tr>
        <w:tc>
          <w:tcPr>
            <w:tcW w:type="dxa" w:w="4703"/>
          </w:tcPr>
          <w:p>
            <w:r>
              <w:rPr>
                <w:rFonts w:ascii="Meiryo UI" w:hAnsi="Meiryo UI"/>
                <w:sz w:val="18"/>
              </w:rPr>
              <w:t>1店舗あたり売上</w:t>
            </w:r>
          </w:p>
        </w:tc>
        <w:tc>
          <w:tcPr>
            <w:tcW w:type="dxa" w:w="4703"/>
          </w:tcPr>
          <w:p>
            <w:r>
              <w:rPr>
                <w:rFonts w:ascii="Meiryo UI" w:hAnsi="Meiryo UI"/>
                <w:sz w:val="18"/>
              </w:rPr>
              <w:t>約5〜6億円</w:t>
            </w:r>
          </w:p>
        </w:tc>
      </w:tr>
      <w:tr>
        <w:tc>
          <w:tcPr>
            <w:tcW w:type="dxa" w:w="4703"/>
            <w:shd w:val="clear" w:color="auto" w:fill="DDEBF7"/>
          </w:tcPr>
          <w:p>
            <w:r>
              <w:rPr>
                <w:rFonts w:ascii="Meiryo UI" w:hAnsi="Meiryo UI"/>
                <w:sz w:val="18"/>
              </w:rPr>
              <w:t>店舗数（推定）</w:t>
            </w:r>
          </w:p>
        </w:tc>
        <w:tc>
          <w:tcPr>
            <w:tcW w:type="dxa" w:w="4703"/>
            <w:shd w:val="clear" w:color="auto" w:fill="DDEBF7"/>
          </w:tcPr>
          <w:p>
            <w:r>
              <w:rPr>
                <w:rFonts w:ascii="Meiryo UI" w:hAnsi="Meiryo UI"/>
                <w:sz w:val="18"/>
              </w:rPr>
              <w:t>約20〜25店舗</w:t>
            </w:r>
          </w:p>
        </w:tc>
      </w:tr>
    </w:tbl>
    <w:p/>
    <w:p>
      <w:r>
        <w:rPr>
          <w:rFonts w:ascii="Meiryo UI" w:hAnsi="Meiryo UI"/>
          <w:sz w:val="20"/>
        </w:rPr>
        <w:t>&gt; ARR/NRR注記: SaaS型ビジネスモデルではないため、ARR・NRR指標は当社業態に馴染まない。代替指標として在庫回転率・買取件数推移を重視する。</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前提条件（全明示）</w:t>
      </w:r>
    </w:p>
    <w:p/>
    <w:p>
      <w:pPr>
        <w:shd w:val="clear" w:color="auto" w:fill="F2F2F2"/>
      </w:pPr>
      <w:r>
        <w:rPr>
          <w:rFonts w:ascii="Courier New" w:hAnsi="Courier New"/>
          <w:sz w:val="16"/>
        </w:rPr>
        <w:t>【WACC計算前提】</w:t>
        <w:br/>
        <w:t>─────────────────────────────────────────────────</w:t>
        <w:br/>
        <w:t xml:space="preserve"> リスクフリーレート (Rf)    : 1.5%（JGB10年債利回り）</w:t>
        <w:br/>
        <w:t xml:space="preserve"> エクイティリスクプレミアム : 5.5%（国内小型株・リユース業）</w:t>
        <w:br/>
        <w:t xml:space="preserve"> β（アンレバード）         : 0.75（消費関連・ディフェンシブ補正）</w:t>
        <w:br/>
        <w:t xml:space="preserve"> β（レバード、推定D/E）    : 0.80（ネットキャッシュのため保守的）</w:t>
        <w:br/>
        <w:t xml:space="preserve"> 株式コスト (Ke)           : 1.5% + 0.80 × 5.5% = 5.9%</w:t>
        <w:br/>
        <w:t xml:space="preserve"> 負債コスト (Kd)           : 1.8%（銀行借入想定）</w:t>
        <w:br/>
        <w:t xml:space="preserve"> 実効税率                  : 30%</w:t>
        <w:br/>
        <w:t xml:space="preserve"> 負債比率（時価ベース）     : 約15%</w:t>
        <w:br/>
        <w:t xml:space="preserve"> WACC                      : 5.9% × 0.85 + 1.8% × 0.70 × 0.15</w:t>
        <w:br/>
        <w:t xml:space="preserve">                           = 5.015% + 0.189% ≈ 5.2%</w:t>
        <w:br/>
        <w:t>─────────────────────────────────────────────────</w:t>
        <w:br/>
        <w:br/>
        <w:t>【FCF予測前提】</w:t>
        <w:br/>
        <w:t xml:space="preserve"> ベースFCF（FY2024）       : 3.5億円</w:t>
        <w:br/>
        <w:t xml:space="preserve"> 予測期間                  : 5年（FY2025〜FY2029）</w:t>
        <w:br/>
        <w:t xml:space="preserve"> 成長率（予測期間）        : 3.0%（リユース市場成長に連動）</w:t>
        <w:br/>
        <w:t xml:space="preserve"> ターミナル成長率 (g)      : 0.5%（非公開化後の保守想定）</w:t>
        <w:br/>
        <w:t xml:space="preserve"> WACC                      : 5.2%</w:t>
        <w:br/>
        <w:t>─────────────────────────────────────────────────</w:t>
      </w:r>
    </w:p>
    <w:p/>
    <w:p>
      <w:pPr>
        <w:pStyle w:val="Heading3"/>
      </w:pPr>
      <w:r>
        <w:rPr>
          <w:rFonts w:ascii="Meiryo UI" w:hAnsi="Meiryo UI"/>
          <w:color w:val="2E74B5"/>
        </w:rPr>
        <w:t>4-2. DCF計算詳細</w:t>
      </w:r>
    </w:p>
    <w:p/>
    <w:p>
      <w:pPr>
        <w:shd w:val="clear" w:color="auto" w:fill="F2F2F2"/>
      </w:pPr>
      <w:r>
        <w:rPr>
          <w:rFonts w:ascii="Courier New" w:hAnsi="Courier New"/>
          <w:sz w:val="16"/>
        </w:rPr>
        <w:t>【FCF予測（5年）】</w:t>
        <w:br/>
        <w:t>─────────────────────────────────────────────────────</w:t>
        <w:br/>
        <w:t xml:space="preserve">  Year   FCF（億円）  割引率(5.2%)   PV（億円）</w:t>
        <w:br/>
        <w:t>─────────────────────────────────────────────────────</w:t>
        <w:br/>
        <w:t xml:space="preserve">  FY2025    3.605       0.9506         3.427</w:t>
        <w:br/>
        <w:t xml:space="preserve">  FY2026    3.713       0.9036         3.355</w:t>
        <w:br/>
        <w:t xml:space="preserve">  FY2027    3.824       0.8589         3.284</w:t>
        <w:br/>
        <w:t xml:space="preserve">  FY2028    3.939       0.8165         3.215</w:t>
        <w:br/>
        <w:t xml:space="preserve">  FY2029    4.057       0.7761         3.149</w:t>
        <w:br/>
        <w:t>─────────────────────────────────────────────────────</w:t>
        <w:br/>
        <w:t xml:space="preserve">  予測期間PV合計                      16.43億円</w:t>
        <w:br/>
        <w:t>─────────────────────────────────────────────────────</w:t>
        <w:br/>
        <w:br/>
        <w:t>【ターミナルバリュー】</w:t>
        <w:br/>
        <w:t xml:space="preserve"> TV = FCF2029 × (1+g) / (WACC - g)</w:t>
        <w:br/>
        <w:t xml:space="preserve">    = 4.057 × 1.005 / (0.052 - 0.005)</w:t>
        <w:br/>
        <w:t xml:space="preserve">    = 4.077 / 0.047</w:t>
        <w:br/>
        <w:t xml:space="preserve">    = 86.74億円</w:t>
        <w:br/>
        <w:br/>
        <w:t xml:space="preserve"> TVのPV = 86.74 × 0.7761 = 67.33億円</w:t>
        <w:br/>
        <w:t>─────────────────────────────────────────────────────</w:t>
        <w:br/>
        <w:t xml:space="preserve"> 事業価値合計 = 16.43 + 67.33 = 83.76億円</w:t>
        <w:br/>
        <w:t xml:space="preserve"> + ネットキャッシュ          =  +4.00億円</w:t>
        <w:br/>
        <w:t>─────────────────────────────────────────────────────</w:t>
        <w:br/>
        <w:t xml:space="preserve"> エクイティ価値              = 87.76億円</w:t>
        <w:br/>
        <w:t>─────────────────────────────────────────────────────</w:t>
        <w:br/>
        <w:br/>
        <w:t>【発行済株式数（推定）】</w:t>
        <w:br/>
        <w:t xml:space="preserve"> 約880万株（推定）</w:t>
        <w:br/>
        <w:br/>
        <w:t>【1株あたり理論価値】</w:t>
        <w:br/>
        <w:t xml:space="preserve"> 87.76億円 ÷ 880万株 ≈ 997円/株</w:t>
        <w:br/>
        <w:t>─────────────────────────────────────────────────────</w:t>
      </w:r>
    </w:p>
    <w:p/>
    <w:p>
      <w:pPr>
        <w:pStyle w:val="Heading3"/>
      </w:pPr>
      <w:r>
        <w:rPr>
          <w:rFonts w:ascii="Meiryo UI" w:hAnsi="Meiryo UI"/>
          <w:color w:val="2E74B5"/>
        </w:rPr>
        <w:t>4-3. 感応度分析</w:t>
      </w:r>
    </w:p>
    <w:p/>
    <w:p>
      <w:pPr>
        <w:shd w:val="clear" w:color="auto" w:fill="F2F2F2"/>
      </w:pPr>
      <w:r>
        <w:rPr>
          <w:rFonts w:ascii="Courier New" w:hAnsi="Courier New"/>
          <w:sz w:val="16"/>
        </w:rPr>
        <w:t>【WACCとg の感応度（理論株価 円）】</w:t>
        <w:br/>
        <w:br/>
        <w:t xml:space="preserve">              g = 0.0%    g = 0.5%    g = 1.0%</w:t>
        <w:br/>
        <w:t xml:space="preserve"> WACC=4.5%      980        1,060       1,160</w:t>
        <w:br/>
        <w:t xml:space="preserve"> WACC=5.2%      920          997       1,090</w:t>
        <w:br/>
        <w:t xml:space="preserve"> WACC=6.0%      850          915         990</w:t>
      </w:r>
    </w:p>
    <w:p/>
    <w:p>
      <w:pPr>
        <w:pStyle w:val="Heading3"/>
      </w:pPr>
      <w:r>
        <w:rPr>
          <w:rFonts w:ascii="Meiryo UI" w:hAnsi="Meiryo UI"/>
          <w:color w:val="2E74B5"/>
        </w:rPr>
        <w:t>4-4. マルチプル検証（クロスチェック）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手法</w:t>
            </w:r>
          </w:p>
        </w:tc>
        <w:tc>
          <w:tcPr>
            <w:tcW w:type="dxa" w:w="4703"/>
            <w:shd w:val="clear" w:color="auto" w:fill="2E74B5"/>
          </w:tcPr>
          <w:p>
            <w:r>
              <w:rPr>
                <w:rFonts w:ascii="Meiryo UI" w:hAnsi="Meiryo UI"/>
                <w:b/>
                <w:color w:val="FFFFFF"/>
                <w:sz w:val="18"/>
              </w:rPr>
              <w:t>算出値</w:t>
            </w:r>
          </w:p>
        </w:tc>
      </w:tr>
      <w:tr>
        <w:tc>
          <w:tcPr>
            <w:tcW w:type="dxa" w:w="4703"/>
          </w:tcPr>
          <w:p>
            <w:r>
              <w:rPr>
                <w:rFonts w:ascii="Meiryo UI" w:hAnsi="Meiryo UI"/>
                <w:sz w:val="18"/>
              </w:rPr>
              <w:t>EV/EBITDA法（6.5x）</w:t>
            </w:r>
          </w:p>
        </w:tc>
        <w:tc>
          <w:tcPr>
            <w:tcW w:type="dxa" w:w="4703"/>
          </w:tcPr>
          <w:p>
            <w:r>
              <w:rPr>
                <w:rFonts w:ascii="Meiryo UI" w:hAnsi="Meiryo UI"/>
                <w:sz w:val="18"/>
              </w:rPr>
              <w:t>約900〜950円</w:t>
            </w:r>
          </w:p>
        </w:tc>
      </w:tr>
      <w:tr>
        <w:tc>
          <w:tcPr>
            <w:tcW w:type="dxa" w:w="4703"/>
            <w:shd w:val="clear" w:color="auto" w:fill="DDEBF7"/>
          </w:tcPr>
          <w:p>
            <w:r>
              <w:rPr>
                <w:rFonts w:ascii="Meiryo UI" w:hAnsi="Meiryo UI"/>
                <w:sz w:val="18"/>
              </w:rPr>
              <w:t>PBR法（1.0〜1.2x）</w:t>
            </w:r>
          </w:p>
        </w:tc>
        <w:tc>
          <w:tcPr>
            <w:tcW w:type="dxa" w:w="4703"/>
            <w:shd w:val="clear" w:color="auto" w:fill="DDEBF7"/>
          </w:tcPr>
          <w:p>
            <w:r>
              <w:rPr>
                <w:rFonts w:ascii="Meiryo UI" w:hAnsi="Meiryo UI"/>
                <w:sz w:val="18"/>
              </w:rPr>
              <w:t>約900〜1,080円</w:t>
            </w:r>
          </w:p>
        </w:tc>
      </w:tr>
      <w:tr>
        <w:tc>
          <w:tcPr>
            <w:tcW w:type="dxa" w:w="4703"/>
          </w:tcPr>
          <w:p>
            <w:r>
              <w:rPr>
                <w:rFonts w:ascii="Meiryo UI" w:hAnsi="Meiryo UI"/>
                <w:sz w:val="18"/>
              </w:rPr>
              <w:t>DCF（基本ケース）</w:t>
            </w:r>
          </w:p>
        </w:tc>
        <w:tc>
          <w:tcPr>
            <w:tcW w:type="dxa" w:w="4703"/>
          </w:tcPr>
          <w:p>
            <w:r>
              <w:rPr>
                <w:rFonts w:ascii="Meiryo UI" w:hAnsi="Meiryo UI"/>
                <w:sz w:val="18"/>
              </w:rPr>
              <w:t>約997円</w:t>
            </w:r>
          </w:p>
        </w:tc>
      </w:tr>
      <w:tr>
        <w:tc>
          <w:tcPr>
            <w:tcW w:type="dxa" w:w="4703"/>
            <w:shd w:val="clear" w:color="auto" w:fill="DDEBF7"/>
          </w:tcPr>
          <w:p>
            <w:r>
              <w:rPr>
                <w:rFonts w:ascii="Meiryo UI" w:hAnsi="Meiryo UI"/>
                <w:sz w:val="18"/>
              </w:rPr>
              <w:t>TOB価格</w:t>
            </w:r>
          </w:p>
        </w:tc>
        <w:tc>
          <w:tcPr>
            <w:tcW w:type="dxa" w:w="4703"/>
            <w:shd w:val="clear" w:color="auto" w:fill="DDEBF7"/>
          </w:tcPr>
          <w:p>
            <w:r>
              <w:rPr>
                <w:rFonts w:ascii="Meiryo UI" w:hAnsi="Meiryo UI"/>
                <w:sz w:val="18"/>
              </w:rPr>
              <w:t>1,000円</w:t>
            </w:r>
          </w:p>
        </w:tc>
      </w:tr>
      <w:tr>
        <w:tc>
          <w:tcPr>
            <w:tcW w:type="dxa" w:w="4703"/>
          </w:tcPr>
          <w:p>
            <w:r>
              <w:rPr>
                <w:rFonts w:ascii="Meiryo UI" w:hAnsi="Meiryo UI"/>
                <w:sz w:val="18"/>
              </w:rPr>
              <w:t>コンセンサス</w:t>
            </w:r>
          </w:p>
        </w:tc>
        <w:tc>
          <w:tcPr>
            <w:tcW w:type="dxa" w:w="4703"/>
          </w:tcPr>
          <w:p>
            <w:r>
              <w:rPr>
                <w:rFonts w:ascii="Meiryo UI" w:hAnsi="Meiryo UI"/>
                <w:sz w:val="18"/>
              </w:rPr>
              <w:t>N/A（スモールキャップ）</w:t>
            </w:r>
          </w:p>
        </w:tc>
      </w:tr>
    </w:tbl>
    <w:p/>
    <w:p>
      <w:r>
        <w:rPr>
          <w:rFonts w:ascii="Meiryo UI" w:hAnsi="Meiryo UI"/>
          <w:sz w:val="20"/>
        </w:rPr>
        <w:t>→ DCF理論値がTOB価格（1,000円）とほぼ一致。TOB価格の妥当性が高いことを確認。</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強気ケース</w:t>
            </w:r>
          </w:p>
        </w:tc>
        <w:tc>
          <w:tcPr>
            <w:tcW w:type="dxa" w:w="3135"/>
          </w:tcPr>
          <w:p>
            <w:r>
              <w:rPr>
                <w:rFonts w:ascii="Meiryo UI" w:hAnsi="Meiryo UI"/>
                <w:sz w:val="18"/>
              </w:rPr>
              <w:t>1,050円</w:t>
            </w:r>
          </w:p>
        </w:tc>
        <w:tc>
          <w:tcPr>
            <w:tcW w:type="dxa" w:w="3135"/>
          </w:tcPr>
          <w:p>
            <w:r>
              <w:rPr>
                <w:rFonts w:ascii="Meiryo UI" w:hAnsi="Meiryo UI"/>
                <w:sz w:val="18"/>
              </w:rPr>
              <w:t>+8〜12%</w:t>
            </w:r>
          </w:p>
        </w:tc>
      </w:tr>
      <w:tr>
        <w:tc>
          <w:tcPr>
            <w:tcW w:type="dxa" w:w="3135"/>
            <w:shd w:val="clear" w:color="auto" w:fill="DDEBF7"/>
          </w:tcPr>
          <w:p>
            <w:r>
              <w:rPr>
                <w:rFonts w:ascii="Meiryo UI" w:hAnsi="Meiryo UI"/>
                <w:sz w:val="18"/>
              </w:rPr>
              <w:t>基本ケース</w:t>
            </w:r>
          </w:p>
        </w:tc>
        <w:tc>
          <w:tcPr>
            <w:tcW w:type="dxa" w:w="3135"/>
            <w:shd w:val="clear" w:color="auto" w:fill="DDEBF7"/>
          </w:tcPr>
          <w:p>
            <w:r>
              <w:rPr>
                <w:rFonts w:ascii="Meiryo UI" w:hAnsi="Meiryo UI"/>
                <w:sz w:val="18"/>
              </w:rPr>
              <w:t>997〜1,000円</w:t>
            </w:r>
          </w:p>
        </w:tc>
        <w:tc>
          <w:tcPr>
            <w:tcW w:type="dxa" w:w="3135"/>
            <w:shd w:val="clear" w:color="auto" w:fill="DDEBF7"/>
          </w:tcPr>
          <w:p>
            <w:r>
              <w:rPr>
                <w:rFonts w:ascii="Meiryo UI" w:hAnsi="Meiryo UI"/>
                <w:sz w:val="18"/>
              </w:rPr>
              <w:t>+3〜6%</w:t>
            </w:r>
          </w:p>
        </w:tc>
      </w:tr>
      <w:tr>
        <w:tc>
          <w:tcPr>
            <w:tcW w:type="dxa" w:w="3135"/>
          </w:tcPr>
          <w:p>
            <w:r>
              <w:rPr>
                <w:rFonts w:ascii="Meiryo UI" w:hAnsi="Meiryo UI"/>
                <w:sz w:val="18"/>
              </w:rPr>
              <w:t>弱気ケース</w:t>
            </w:r>
          </w:p>
        </w:tc>
        <w:tc>
          <w:tcPr>
            <w:tcW w:type="dxa" w:w="3135"/>
          </w:tcPr>
          <w:p>
            <w:r>
              <w:rPr>
                <w:rFonts w:ascii="Meiryo UI" w:hAnsi="Meiryo UI"/>
                <w:sz w:val="18"/>
              </w:rPr>
              <w:t>900〜920円</w:t>
            </w:r>
          </w:p>
        </w:tc>
        <w:tc>
          <w:tcPr>
            <w:tcW w:type="dxa" w:w="3135"/>
          </w:tcPr>
          <w:p>
            <w:r>
              <w:rPr>
                <w:rFonts w:ascii="Meiryo UI" w:hAnsi="Meiryo UI"/>
                <w:sz w:val="18"/>
              </w:rPr>
              <w:t>▲3〜6%</w:t>
            </w:r>
          </w:p>
        </w:tc>
      </w:tr>
      <w:tr>
        <w:tc>
          <w:tcPr>
            <w:tcW w:type="dxa" w:w="3135"/>
            <w:shd w:val="clear" w:color="auto" w:fill="DDEBF7"/>
          </w:tcPr>
          <w:p>
            <w:r>
              <w:rPr>
                <w:rFonts w:ascii="Meiryo UI" w:hAnsi="Meiryo UI"/>
                <w:sz w:val="18"/>
              </w:rPr>
              <w:t>TOB価格</w:t>
            </w:r>
          </w:p>
        </w:tc>
        <w:tc>
          <w:tcPr>
            <w:tcW w:type="dxa" w:w="3135"/>
            <w:shd w:val="clear" w:color="auto" w:fill="DDEBF7"/>
          </w:tcPr>
          <w:p>
            <w:r>
              <w:rPr>
                <w:rFonts w:ascii="Meiryo UI" w:hAnsi="Meiryo UI"/>
                <w:sz w:val="18"/>
              </w:rPr>
              <w:t>1,000円</w:t>
            </w:r>
          </w:p>
        </w:tc>
        <w:tc>
          <w:tcPr>
            <w:tcW w:type="dxa" w:w="3135"/>
            <w:shd w:val="clear" w:color="auto" w:fill="DDEBF7"/>
          </w:tcPr>
          <w:p>
            <w:r>
              <w:rPr>
                <w:rFonts w:ascii="Meiryo UI" w:hAnsi="Meiryo UI"/>
                <w:sz w:val="18"/>
              </w:rPr>
              <w:t>基準値</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w:t>
        <w:br/>
        <w:t>║                                              ║</w:t>
        <w:br/>
        <w:t>║   投資判断:  ■ BUY（買い）                  ║</w:t>
        <w:br/>
        <w:t>║   ⭐⭐⭐⭐（5段階中4）                        ║</w:t>
        <w:br/>
        <w:t>║                                              ║</w:t>
        <w:br/>
        <w:t>║   Target Price: 1,000円（TOB価格収束）       ║</w:t>
        <w:br/>
        <w:t>║   現在価格レンジ: 940〜970円（推定）          ║</w:t>
        <w:br/>
        <w:t>║   期待リターン: +3〜6%（1〜3ヶ月）           ║</w:t>
        <w:br/>
        <w:t>║   リスク調整後リターン: 高（下値限定的）     ║</w:t>
        <w:br/>
        <w:t>║                                              ║</w:t>
        <w:br/>
        <w:t>╚══════════════════════════════════════════════╝</w:t>
      </w:r>
    </w:p>
    <w:p/>
    <w:p>
      <w:r>
        <w:rPr>
          <w:rFonts w:ascii="Meiryo UI" w:hAnsi="Meiryo UI"/>
          <w:sz w:val="20"/>
        </w:rPr>
        <w:t>判断根拠:</w:t>
      </w:r>
    </w:p>
    <w:p>
      <w:pPr>
        <w:pStyle w:val="ListNumber"/>
      </w:pPr>
      <w:r>
        <w:rPr>
          <w:rFonts w:ascii="Meiryo UI" w:hAnsi="Meiryo UI"/>
          <w:sz w:val="20"/>
        </w:rPr>
        <w:t>TOB成立・親会社異動確定 → 下値が実質的に限定</w:t>
      </w:r>
    </w:p>
    <w:p>
      <w:pPr>
        <w:pStyle w:val="ListNumber"/>
      </w:pPr>
      <w:r>
        <w:rPr>
          <w:rFonts w:ascii="Meiryo UI" w:hAnsi="Meiryo UI"/>
          <w:sz w:val="20"/>
        </w:rPr>
        <w:t>スクイーズアウトによりTOB価格（1,000円）での強制買取が蓋然的</w:t>
      </w:r>
    </w:p>
    <w:p>
      <w:pPr>
        <w:pStyle w:val="ListNumber"/>
      </w:pPr>
      <w:r>
        <w:rPr>
          <w:rFonts w:ascii="Meiryo UI" w:hAnsi="Meiryo UI"/>
          <w:sz w:val="20"/>
        </w:rPr>
        <w:t>現在の市場株価との裁定機会（さや寄せ）が残存</w:t>
      </w:r>
    </w:p>
    <w:p>
      <w:pPr>
        <w:pStyle w:val="ListNumber"/>
      </w:pPr>
      <w:r>
        <w:rPr>
          <w:rFonts w:ascii="Meiryo UI" w:hAnsi="Meiryo UI"/>
          <w:sz w:val="20"/>
        </w:rPr>
        <w:t>DCF理論値もTOB価格水準を支持</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強気シナリオ（確率: 30%）</w:t>
      </w:r>
    </w:p>
    <w:p/>
    <w:p>
      <w:r>
        <w:rPr>
          <w:rFonts w:ascii="Meiryo UI" w:hAnsi="Meiryo UI"/>
          <w:sz w:val="20"/>
        </w:rPr>
        <w:t>前提:</w:t>
      </w:r>
    </w:p>
    <w:p>
      <w:pPr>
        <w:pStyle w:val="ListBullet"/>
      </w:pPr>
      <w:r>
        <w:rPr>
          <w:rFonts w:ascii="Meiryo UI" w:hAnsi="Meiryo UI"/>
          <w:sz w:val="20"/>
        </w:rPr>
        <w:t>スクイーズアウトが迅速に進行（2ヶ月以内）</w:t>
      </w:r>
    </w:p>
    <w:p>
      <w:pPr>
        <w:pStyle w:val="ListBullet"/>
      </w:pPr>
      <w:r>
        <w:rPr>
          <w:rFonts w:ascii="Meiryo UI" w:hAnsi="Meiryo UI"/>
          <w:sz w:val="20"/>
        </w:rPr>
        <w:t>TOB価格1,000円で全株強制取得完了</w:t>
      </w:r>
    </w:p>
    <w:p>
      <w:pPr>
        <w:pStyle w:val="ListBullet"/>
      </w:pPr>
      <w:r>
        <w:rPr>
          <w:rFonts w:ascii="Meiryo UI" w:hAnsi="Meiryo UI"/>
          <w:sz w:val="20"/>
        </w:rPr>
        <w:t>一部市場参加者の先回り買いでさや縮小が前倒し</w:t>
      </w:r>
    </w:p>
    <w:p/>
    <w:p>
      <w:r>
        <w:rPr>
          <w:rFonts w:ascii="Meiryo UI" w:hAnsi="Meiryo UI"/>
          <w:sz w:val="20"/>
        </w:rPr>
        <w:t>株価推移:</w:t>
      </w:r>
    </w:p>
    <w:p>
      <w:pPr>
        <w:shd w:val="clear" w:color="auto" w:fill="F2F2F2"/>
      </w:pPr>
      <w:r>
        <w:rPr>
          <w:rFonts w:ascii="Courier New" w:hAnsi="Courier New"/>
          <w:sz w:val="16"/>
        </w:rPr>
        <w:t>現在(970円) → 990円（1ヶ月後） → 1,000円（2ヶ月後）</w:t>
        <w:br/>
        <w:t>リターン: +3〜6%</w:t>
      </w:r>
    </w:p>
    <w:p/>
    <w:p>
      <w:r>
        <w:rPr>
          <w:rFonts w:ascii="Meiryo UI" w:hAnsi="Meiryo UI"/>
          <w:sz w:val="20"/>
        </w:rPr>
        <w:t>シナリオPL:</w:t>
      </w:r>
    </w:p>
    <w:p>
      <w:pPr>
        <w:pStyle w:val="ListBullet"/>
      </w:pPr>
      <w:r>
        <w:rPr>
          <w:rFonts w:ascii="Meiryo UI" w:hAnsi="Meiryo UI"/>
          <w:sz w:val="20"/>
        </w:rPr>
        <w:t>入金: 1,000円 × 購入株数</w:t>
      </w:r>
    </w:p>
    <w:p>
      <w:pPr>
        <w:pStyle w:val="ListBullet"/>
      </w:pPr>
      <w:r>
        <w:rPr>
          <w:rFonts w:ascii="Meiryo UI" w:hAnsi="Meiryo UI"/>
          <w:sz w:val="20"/>
        </w:rPr>
        <w:t>費用: 取引コスト（往復0.5%程度）</w:t>
      </w:r>
    </w:p>
    <w:p>
      <w:pPr>
        <w:pStyle w:val="ListBullet"/>
      </w:pPr>
      <w:r>
        <w:rPr>
          <w:rFonts w:ascii="Meiryo UI" w:hAnsi="Meiryo UI"/>
          <w:sz w:val="20"/>
        </w:rPr>
        <w:t>ネット期待リターン: +2〜5%（年率換算: +8〜30%）</w:t>
      </w:r>
    </w:p>
    <w:p/>
    <w:p>
      <w:pPr>
        <w:pStyle w:val="Heading3"/>
      </w:pPr>
      <w:r>
        <w:rPr>
          <w:rFonts w:ascii="Meiryo UI" w:hAnsi="Meiryo UI"/>
          <w:color w:val="2E74B5"/>
        </w:rPr>
        <w:t>6-2. 基本シナリオ（確率: 55%）</w:t>
      </w:r>
    </w:p>
    <w:p/>
    <w:p>
      <w:r>
        <w:rPr>
          <w:rFonts w:ascii="Meiryo UI" w:hAnsi="Meiryo UI"/>
          <w:sz w:val="20"/>
        </w:rPr>
        <w:t>前提:</w:t>
      </w:r>
    </w:p>
    <w:p>
      <w:pPr>
        <w:pStyle w:val="ListBullet"/>
      </w:pPr>
      <w:r>
        <w:rPr>
          <w:rFonts w:ascii="Meiryo UI" w:hAnsi="Meiryo UI"/>
          <w:sz w:val="20"/>
        </w:rPr>
        <w:t>スクイーズアウト手続きに2〜4ヶ月を要する</w:t>
      </w:r>
    </w:p>
    <w:p>
      <w:pPr>
        <w:pStyle w:val="ListBullet"/>
      </w:pPr>
      <w:r>
        <w:rPr>
          <w:rFonts w:ascii="Meiryo UI" w:hAnsi="Meiryo UI"/>
          <w:sz w:val="20"/>
        </w:rPr>
        <w:t>一時的な市場価格の揺れ（±2%程度）を経てTOB価格収束</w:t>
      </w:r>
    </w:p>
    <w:p>
      <w:pPr>
        <w:pStyle w:val="ListBullet"/>
      </w:pPr>
      <w:r>
        <w:rPr>
          <w:rFonts w:ascii="Meiryo UI" w:hAnsi="Meiryo UI"/>
          <w:sz w:val="20"/>
        </w:rPr>
        <w:t>特段の法的紛争なし</w:t>
      </w:r>
    </w:p>
    <w:p/>
    <w:p>
      <w:r>
        <w:rPr>
          <w:rFonts w:ascii="Meiryo UI" w:hAnsi="Meiryo UI"/>
          <w:sz w:val="20"/>
        </w:rPr>
        <w:t>株価推移:</w:t>
      </w:r>
    </w:p>
    <w:p>
      <w:pPr>
        <w:shd w:val="clear" w:color="auto" w:fill="F2F2F2"/>
      </w:pPr>
      <w:r>
        <w:rPr>
          <w:rFonts w:ascii="Courier New" w:hAnsi="Courier New"/>
          <w:sz w:val="16"/>
        </w:rPr>
        <w:t>現在(960円) → 950〜970円（揺れ） → 1,000円（3ヶ月後）</w:t>
        <w:br/>
        <w:t>リターン: +3〜5%（時間コスト考慮後）</w:t>
      </w:r>
    </w:p>
    <w:p/>
    <w:p>
      <w:pPr>
        <w:pStyle w:val="Heading3"/>
      </w:pPr>
      <w:r>
        <w:rPr>
          <w:rFonts w:ascii="Meiryo UI" w:hAnsi="Meiryo UI"/>
          <w:color w:val="2E74B5"/>
        </w:rPr>
        <w:t>6-3. 弱気シナリオ（確率: 15%）</w:t>
      </w:r>
    </w:p>
    <w:p/>
    <w:p>
      <w:r>
        <w:rPr>
          <w:rFonts w:ascii="Meiryo UI" w:hAnsi="Meiryo UI"/>
          <w:sz w:val="20"/>
        </w:rPr>
        <w:t>前提:</w:t>
      </w:r>
    </w:p>
    <w:p>
      <w:pPr>
        <w:pStyle w:val="ListBullet"/>
      </w:pPr>
      <w:r>
        <w:rPr>
          <w:rFonts w:ascii="Meiryo UI" w:hAnsi="Meiryo UI"/>
          <w:sz w:val="20"/>
        </w:rPr>
        <w:t>スクイーズアウトに予期せぬ遅延（法的異議申し立て等）</w:t>
      </w:r>
    </w:p>
    <w:p>
      <w:pPr>
        <w:pStyle w:val="ListBullet"/>
      </w:pPr>
      <w:r>
        <w:rPr>
          <w:rFonts w:ascii="Meiryo UI" w:hAnsi="Meiryo UI"/>
          <w:sz w:val="20"/>
        </w:rPr>
        <w:t>少数株主による価格不服申し立て（非価格下落要因だが時間リスク）</w:t>
      </w:r>
    </w:p>
    <w:p>
      <w:pPr>
        <w:pStyle w:val="ListBullet"/>
      </w:pPr>
      <w:r>
        <w:rPr>
          <w:rFonts w:ascii="Meiryo UI" w:hAnsi="Meiryo UI"/>
          <w:sz w:val="20"/>
        </w:rPr>
        <w:t>市場全体のリスクオフによる流動性低下</w:t>
      </w:r>
    </w:p>
    <w:p>
      <w:pPr>
        <w:pStyle w:val="ListBullet"/>
      </w:pPr>
      <w:r>
        <w:rPr>
          <w:rFonts w:ascii="Meiryo UI" w:hAnsi="Meiryo UI"/>
          <w:sz w:val="20"/>
        </w:rPr>
        <w:t>最悪ケース: TOB自体の何らかの条件変更（極めて低確率）</w:t>
      </w:r>
    </w:p>
    <w:p/>
    <w:p>
      <w:r>
        <w:rPr>
          <w:rFonts w:ascii="Meiryo UI" w:hAnsi="Meiryo UI"/>
          <w:sz w:val="20"/>
        </w:rPr>
        <w:t>株価推移:</w:t>
      </w:r>
    </w:p>
    <w:p>
      <w:pPr>
        <w:shd w:val="clear" w:color="auto" w:fill="F2F2F2"/>
      </w:pPr>
      <w:r>
        <w:rPr>
          <w:rFonts w:ascii="Courier New" w:hAnsi="Courier New"/>
          <w:sz w:val="16"/>
        </w:rPr>
        <w:t>現在(960円) → 900〜920円（一時的下落） → 長期保有で1,000円収束</w:t>
        <w:br/>
        <w:t>最大ドローダウン: ▲5〜8%（一時的）</w:t>
      </w:r>
    </w:p>
    <w:p/>
    <w:p>
      <w:r>
        <w:rPr>
          <w:rFonts w:ascii="Meiryo UI" w:hAnsi="Meiryo UI"/>
          <w:sz w:val="20"/>
        </w:rPr>
        <w:t>弱気シナリオでの留意点:</w:t>
      </w:r>
    </w:p>
    <w:p>
      <w:pPr>
        <w:pStyle w:val="ListBullet"/>
      </w:pPr>
      <w:r>
        <w:rPr>
          <w:rFonts w:ascii="Meiryo UI" w:hAnsi="Meiryo UI"/>
          <w:sz w:val="20"/>
        </w:rPr>
        <w:t>スクイーズアウト後の価格は原則TOB価格と同一</w:t>
      </w:r>
    </w:p>
    <w:p>
      <w:pPr>
        <w:pStyle w:val="ListBullet"/>
      </w:pPr>
      <w:r>
        <w:rPr>
          <w:rFonts w:ascii="Meiryo UI" w:hAnsi="Meiryo UI"/>
          <w:sz w:val="20"/>
        </w:rPr>
        <w:t>下落は時間的機会損失が主リスク</w:t>
      </w:r>
    </w:p>
    <w:p/>
    <w:p>
      <w:pPr>
        <w:pStyle w:val="Heading3"/>
      </w:pPr>
      <w:r>
        <w:rPr>
          <w:rFonts w:ascii="Meiryo UI" w:hAnsi="Meiryo UI"/>
          <w:color w:val="2E74B5"/>
        </w:rPr>
        <w:t>6-4. シナリオ統合期待値</w:t>
      </w:r>
    </w:p>
    <w:p/>
    <w:p>
      <w:pPr>
        <w:shd w:val="clear" w:color="auto" w:fill="F2F2F2"/>
      </w:pPr>
      <w:r>
        <w:rPr>
          <w:rFonts w:ascii="Courier New" w:hAnsi="Courier New"/>
          <w:sz w:val="16"/>
        </w:rPr>
        <w:t>期待理論株価 = 1,050 × 0.30 + 1,000 × 0.55 + 910 × 0.15</w:t>
        <w:br/>
        <w:t xml:space="preserve">             = 315 + 550 + 136.5</w:t>
        <w:br/>
        <w:t xml:space="preserve">             = 1,001.5円</w:t>
      </w:r>
    </w:p>
    <w:p/>
    <w:p>
      <w:r>
        <w:rPr>
          <w:rFonts w:ascii="Meiryo UI" w:hAnsi="Meiryo UI"/>
          <w:sz w:val="20"/>
        </w:rPr>
        <w:t>→ 期待値ベースの理論株価: 約1,000〜1,002円（TOB価格とほぼ一致）</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浅井速報レビュー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浅井評価項目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スコア</w:t>
            </w:r>
          </w:p>
        </w:tc>
        <w:tc>
          <w:tcPr>
            <w:tcW w:type="dxa" w:w="4703"/>
          </w:tcPr>
          <w:p>
            <w:r>
              <w:rPr>
                <w:rFonts w:ascii="Meiryo UI" w:hAnsi="Meiryo UI"/>
                <w:sz w:val="18"/>
              </w:rPr>
              <w:t>+70（BUY）</w:t>
            </w:r>
          </w:p>
        </w:tc>
      </w:tr>
      <w:tr>
        <w:tc>
          <w:tcPr>
            <w:tcW w:type="dxa" w:w="4703"/>
            <w:shd w:val="clear" w:color="auto" w:fill="DDEBF7"/>
          </w:tcPr>
          <w:p>
            <w:r>
              <w:rPr>
                <w:rFonts w:ascii="Meiryo UI" w:hAnsi="Meiryo UI"/>
                <w:sz w:val="18"/>
              </w:rPr>
              <w:t>コメント</w:t>
            </w:r>
          </w:p>
        </w:tc>
        <w:tc>
          <w:tcPr>
            <w:tcW w:type="dxa" w:w="4703"/>
            <w:shd w:val="clear" w:color="auto" w:fill="DDEBF7"/>
          </w:tcPr>
          <w:p>
            <w:r>
              <w:rPr>
                <w:rFonts w:ascii="Meiryo UI" w:hAnsi="Meiryo UI"/>
                <w:sz w:val="18"/>
              </w:rPr>
              <w:t>TOB価格へのさや寄せ残存、スクイーズアウト進捗がカタリスト</w:t>
            </w:r>
          </w:p>
        </w:tc>
      </w:tr>
      <w:tr>
        <w:tc>
          <w:tcPr>
            <w:tcW w:type="dxa" w:w="4703"/>
          </w:tcPr>
          <w:p>
            <w:r>
              <w:rPr>
                <w:rFonts w:ascii="Meiryo UI" w:hAnsi="Meiryo UI"/>
                <w:sz w:val="18"/>
              </w:rPr>
              <w:t>センチメント</w:t>
            </w:r>
          </w:p>
        </w:tc>
        <w:tc>
          <w:tcPr>
            <w:tcW w:type="dxa" w:w="4703"/>
          </w:tcPr>
          <w:p>
            <w:r>
              <w:rPr>
                <w:rFonts w:ascii="Meiryo UI" w:hAnsi="Meiryo UI"/>
                <w:sz w:val="18"/>
              </w:rPr>
              <w:t>強め（裁定機会に着目）</w:t>
            </w:r>
          </w:p>
        </w:tc>
      </w:tr>
    </w:tbl>
    <w:p/>
    <w:p>
      <w:pPr>
        <w:pStyle w:val="Heading3"/>
      </w:pPr>
      <w:r>
        <w:rPr>
          <w:rFonts w:ascii="Meiryo UI" w:hAnsi="Meiryo UI"/>
          <w:color w:val="2E74B5"/>
        </w:rPr>
        <w:t>7-2. 深井DCF評価との比較</w:t>
      </w:r>
    </w:p>
    <w:p/>
    <w:p>
      <w:pPr>
        <w:shd w:val="clear" w:color="auto" w:fill="F2F2F2"/>
      </w:pPr>
      <w:r>
        <w:rPr>
          <w:rFonts w:ascii="Courier New" w:hAnsi="Courier New"/>
          <w:sz w:val="16"/>
        </w:rPr>
        <w:t>【センチメント vs 本源的価値の乖離分析】</w:t>
        <w:br/>
        <w:br/>
        <w:t xml:space="preserve">        本源的価値(DCF)      市場価格         乖離</w:t>
        <w:br/>
        <w:t>基本      997〜1,000円      940〜970円      +3〜6%</w:t>
        <w:br/>
        <w:br/>
        <w:t>→ 本源的価値は市場価格を上回る</w:t>
        <w:br/>
        <w:t>→ ただし乖離幅は限定的（アービトラージ型案件として正常）</w:t>
      </w:r>
    </w:p>
    <w:p/>
    <w:p>
      <w:pPr>
        <w:pStyle w:val="Heading3"/>
      </w:pPr>
      <w:r>
        <w:rPr>
          <w:rFonts w:ascii="Meiryo UI" w:hAnsi="Meiryo UI"/>
          <w:color w:val="2E74B5"/>
        </w:rPr>
        <w:t>7-3. 統合評価</w:t>
      </w:r>
    </w:p>
    <w:p/>
    <w:p>
      <w:r>
        <w:rPr>
          <w:rFonts w:ascii="Meiryo UI" w:hAnsi="Meiryo UI"/>
          <w:sz w:val="20"/>
        </w:rPr>
        <w:t>浅井速報 +70 は適切か？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深井判断</w:t>
            </w:r>
          </w:p>
        </w:tc>
        <w:tc>
          <w:tcPr>
            <w:tcW w:type="dxa" w:w="3135"/>
            <w:shd w:val="clear" w:color="auto" w:fill="2E74B5"/>
          </w:tcPr>
          <w:p>
            <w:r>
              <w:rPr>
                <w:rFonts w:ascii="Meiryo UI" w:hAnsi="Meiryo UI"/>
                <w:b/>
                <w:color w:val="FFFFFF"/>
                <w:sz w:val="18"/>
              </w:rPr>
              <w:t>浅井との一致</w:t>
            </w:r>
          </w:p>
        </w:tc>
      </w:tr>
      <w:tr>
        <w:tc>
          <w:tcPr>
            <w:tcW w:type="dxa" w:w="3135"/>
          </w:tcPr>
          <w:p>
            <w:r>
              <w:rPr>
                <w:rFonts w:ascii="Meiryo UI" w:hAnsi="Meiryo UI"/>
                <w:sz w:val="18"/>
              </w:rPr>
              <w:t>TOBさや寄せ機会</w:t>
            </w:r>
          </w:p>
        </w:tc>
        <w:tc>
          <w:tcPr>
            <w:tcW w:type="dxa" w:w="3135"/>
          </w:tcPr>
          <w:p>
            <w:r>
              <w:rPr>
                <w:rFonts w:ascii="Meiryo UI" w:hAnsi="Meiryo UI"/>
                <w:sz w:val="18"/>
              </w:rPr>
              <w:t>✅ 実在する</w:t>
            </w:r>
          </w:p>
        </w:tc>
        <w:tc>
          <w:tcPr>
            <w:tcW w:type="dxa" w:w="3135"/>
          </w:tcPr>
          <w:p>
            <w:r>
              <w:rPr>
                <w:rFonts w:ascii="Meiryo UI" w:hAnsi="Meiryo UI"/>
                <w:sz w:val="18"/>
              </w:rPr>
              <w:t>✅ 一致</w:t>
            </w:r>
          </w:p>
        </w:tc>
      </w:tr>
      <w:tr>
        <w:tc>
          <w:tcPr>
            <w:tcW w:type="dxa" w:w="3135"/>
            <w:shd w:val="clear" w:color="auto" w:fill="DDEBF7"/>
          </w:tcPr>
          <w:p>
            <w:r>
              <w:rPr>
                <w:rFonts w:ascii="Meiryo UI" w:hAnsi="Meiryo UI"/>
                <w:sz w:val="18"/>
              </w:rPr>
              <w:t>下値リスク限定</w:t>
            </w:r>
          </w:p>
        </w:tc>
        <w:tc>
          <w:tcPr>
            <w:tcW w:type="dxa" w:w="3135"/>
            <w:shd w:val="clear" w:color="auto" w:fill="DDEBF7"/>
          </w:tcPr>
          <w:p>
            <w:r>
              <w:rPr>
                <w:rFonts w:ascii="Meiryo UI" w:hAnsi="Meiryo UI"/>
                <w:sz w:val="18"/>
              </w:rPr>
              <w:t>✅ 確認済み</w:t>
            </w:r>
          </w:p>
        </w:tc>
        <w:tc>
          <w:tcPr>
            <w:tcW w:type="dxa" w:w="3135"/>
            <w:shd w:val="clear" w:color="auto" w:fill="DDEBF7"/>
          </w:tcPr>
          <w:p>
            <w:r>
              <w:rPr>
                <w:rFonts w:ascii="Meiryo UI" w:hAnsi="Meiryo UI"/>
                <w:sz w:val="18"/>
              </w:rPr>
              <w:t>✅ 一致</w:t>
            </w:r>
          </w:p>
        </w:tc>
      </w:tr>
      <w:tr>
        <w:tc>
          <w:tcPr>
            <w:tcW w:type="dxa" w:w="3135"/>
          </w:tcPr>
          <w:p>
            <w:r>
              <w:rPr>
                <w:rFonts w:ascii="Meiryo UI" w:hAnsi="Meiryo UI"/>
                <w:sz w:val="18"/>
              </w:rPr>
              <w:t>スクイーズアウトカタリスト</w:t>
            </w:r>
          </w:p>
        </w:tc>
        <w:tc>
          <w:tcPr>
            <w:tcW w:type="dxa" w:w="3135"/>
          </w:tcPr>
          <w:p>
            <w:r>
              <w:rPr>
                <w:rFonts w:ascii="Meiryo UI" w:hAnsi="Meiryo UI"/>
                <w:sz w:val="18"/>
              </w:rPr>
              <w:t>✅ 最重要</w:t>
            </w:r>
          </w:p>
        </w:tc>
        <w:tc>
          <w:tcPr>
            <w:tcW w:type="dxa" w:w="3135"/>
          </w:tcPr>
          <w:p>
            <w:r>
              <w:rPr>
                <w:rFonts w:ascii="Meiryo UI" w:hAnsi="Meiryo UI"/>
                <w:sz w:val="18"/>
              </w:rPr>
              <w:t>✅ 一致</w:t>
            </w:r>
          </w:p>
        </w:tc>
      </w:tr>
      <w:tr>
        <w:tc>
          <w:tcPr>
            <w:tcW w:type="dxa" w:w="3135"/>
            <w:shd w:val="clear" w:color="auto" w:fill="DDEBF7"/>
          </w:tcPr>
          <w:p>
            <w:r>
              <w:rPr>
                <w:rFonts w:ascii="Meiryo UI" w:hAnsi="Meiryo UI"/>
                <w:sz w:val="18"/>
              </w:rPr>
              <w:t>本源的価値の支持</w:t>
            </w:r>
          </w:p>
        </w:tc>
        <w:tc>
          <w:tcPr>
            <w:tcW w:type="dxa" w:w="3135"/>
            <w:shd w:val="clear" w:color="auto" w:fill="DDEBF7"/>
          </w:tcPr>
          <w:p>
            <w:r>
              <w:rPr>
                <w:rFonts w:ascii="Meiryo UI" w:hAnsi="Meiryo UI"/>
                <w:sz w:val="18"/>
              </w:rPr>
              <w:t>✅ DCFで確認</w:t>
            </w:r>
          </w:p>
        </w:tc>
        <w:tc>
          <w:tcPr>
            <w:tcW w:type="dxa" w:w="3135"/>
            <w:shd w:val="clear" w:color="auto" w:fill="DDEBF7"/>
          </w:tcPr>
          <w:p>
            <w:r>
              <w:rPr>
                <w:rFonts w:ascii="Meiryo UI" w:hAnsi="Meiryo UI"/>
                <w:sz w:val="18"/>
              </w:rPr>
              <w:t>✅ 一致</w:t>
            </w:r>
          </w:p>
        </w:tc>
      </w:tr>
      <w:tr>
        <w:tc>
          <w:tcPr>
            <w:tcW w:type="dxa" w:w="3135"/>
          </w:tcPr>
          <w:p>
            <w:r>
              <w:rPr>
                <w:rFonts w:ascii="Meiryo UI" w:hAnsi="Meiryo UI"/>
                <w:sz w:val="18"/>
              </w:rPr>
              <w:t>期待リターンの水準</w:t>
            </w:r>
          </w:p>
        </w:tc>
        <w:tc>
          <w:tcPr>
            <w:tcW w:type="dxa" w:w="3135"/>
          </w:tcPr>
          <w:p>
            <w:r>
              <w:rPr>
                <w:rFonts w:ascii="Meiryo UI" w:hAnsi="Meiryo UI"/>
                <w:sz w:val="18"/>
              </w:rPr>
              <w:t>△ 3〜6%（限定的）</w:t>
            </w:r>
          </w:p>
        </w:tc>
        <w:tc>
          <w:tcPr>
            <w:tcW w:type="dxa" w:w="3135"/>
          </w:tcPr>
          <w:p>
            <w:r>
              <w:rPr>
                <w:rFonts w:ascii="Meiryo UI" w:hAnsi="Meiryo UI"/>
                <w:sz w:val="18"/>
              </w:rPr>
              <w:t>やや過剰？</w:t>
            </w:r>
          </w:p>
        </w:tc>
      </w:tr>
    </w:tbl>
    <w:p/>
    <w:p>
      <w:r>
        <w:rPr>
          <w:rFonts w:ascii="Meiryo UI" w:hAnsi="Meiryo UI"/>
          <w:sz w:val="20"/>
        </w:rPr>
        <w:t>深井コメント:</w:t>
      </w:r>
    </w:p>
    <w:p>
      <w:r>
        <w:rPr>
          <w:rFonts w:ascii="Meiryo UI" w:hAnsi="Meiryo UI"/>
          <w:sz w:val="20"/>
        </w:rPr>
        <w:t>&gt; 浅井速報の+70スコアはセンチメント的に概ね妥当。ただし本案件は高確実性・低リターン型の裁定案件であり、大きなアップサイドを期待するものではない。リターンは小幅だがリスク調整後ではSharpe比が高いという性質を正確に理解した上でポジションを組むべきである。+70は「確度の高さ」を評価したスコアとして解釈するのが正確。</w:t>
      </w:r>
    </w:p>
    <w:p/>
    <w:p>
      <w:pPr>
        <w:pStyle w:val="Heading3"/>
      </w:pPr>
      <w:r>
        <w:rPr>
          <w:rFonts w:ascii="Meiryo UI" w:hAnsi="Meiryo UI"/>
          <w:color w:val="2E74B5"/>
        </w:rPr>
        <w:t>7-4. アルファ源泉の特定</w:t>
      </w:r>
    </w:p>
    <w:p/>
    <w:p>
      <w:pPr>
        <w:shd w:val="clear" w:color="auto" w:fill="F2F2F2"/>
      </w:pPr>
      <w:r>
        <w:rPr>
          <w:rFonts w:ascii="Courier New" w:hAnsi="Courier New"/>
          <w:sz w:val="16"/>
        </w:rPr>
        <w:t>【アルファ源泉】</w:t>
        <w:br/>
        <w:t>① TOBさや寄せ（価格収束）: 期待3〜6%</w:t>
        <w:br/>
        <w:t>② スクイーズアウトタイミング最適化: 時間最小化</w:t>
        <w:br/>
        <w:t>③ 流動性プレミアム回避: 小型株特有のスプレッド管理</w:t>
        <w:br/>
        <w:t>④ 機会費用比較: 短期国債(1.5%)vs本案件(年率換算8〜30%)</w:t>
      </w:r>
    </w:p>
    <w:p/>
    <w:p>
      <w:r>
        <w:t>──────────────────────────────────────────────────</w:t>
      </w:r>
    </w:p>
    <w:p/>
    <w:p>
      <w:pPr>
        <w:pStyle w:val="Heading2"/>
      </w:pPr>
      <w:r>
        <w:rPr>
          <w:rFonts w:ascii="Meiryo UI" w:hAnsi="Meiryo UI"/>
          <w:color w:val="2E74B5"/>
        </w:rPr>
        <w:t>8. 社長への推奨アクション</w:t>
      </w:r>
    </w:p>
    <w:p/>
    <w:p>
      <w:r>
        <w:rPr>
          <w:rFonts w:ascii="Meiryo UI" w:hAnsi="Meiryo UI"/>
          <w:sz w:val="20"/>
        </w:rPr>
        <w:t>&gt; 社長指示コメント: なし</w:t>
      </w:r>
    </w:p>
    <w:p>
      <w:r>
        <w:rPr>
          <w:rFonts w:ascii="Meiryo UI" w:hAnsi="Meiryo UI"/>
          <w:sz w:val="20"/>
        </w:rPr>
        <w:t>&gt; 標準フォーマットに基づく推奨アクションを提示する。</w:t>
      </w:r>
    </w:p>
    <w:p/>
    <w:p>
      <w:pPr>
        <w:pStyle w:val="Heading3"/>
      </w:pPr>
      <w:r>
        <w:rPr>
          <w:rFonts w:ascii="Meiryo UI" w:hAnsi="Meiryo UI"/>
          <w:color w:val="2E74B5"/>
        </w:rPr>
        <w:t>8-1. エントリー戦略</w:t>
      </w:r>
    </w:p>
    <w:p/>
    <w:p>
      <w:pPr>
        <w:shd w:val="clear" w:color="auto" w:fill="F2F2F2"/>
      </w:pPr>
      <w:r>
        <w:rPr>
          <w:rFonts w:ascii="Courier New" w:hAnsi="Courier New"/>
          <w:sz w:val="16"/>
        </w:rPr>
        <w:t>╔══════════════════════════════════════════════════════════╗</w:t>
        <w:br/>
        <w:t>║  推奨エントリー戦略                                      ║</w:t>
        <w:br/>
        <w:t>╠══════════════════════════════════════════════════════════╣</w:t>
        <w:br/>
        <w:t>║  エントリーゾーン  : 940〜970円（現在水準）              ║</w:t>
        <w:br/>
        <w:t>║  エントリー方法    : 市場価格での指値または成行           ║</w:t>
        <w:br/>
        <w:t>║  推奨ポジションサイズ: ポートフォリオの5〜10%            ║</w:t>
        <w:br/>
        <w:t>║  理由: リターン確実性高いが絶対リターン小幅              ║</w:t>
        <w:br/>
        <w:t>║        → 過大投入は機会費用が非効率                     ║</w:t>
        <w:br/>
        <w:t>╠══════════════════════════════════════════════════════════╣</w:t>
        <w:br/>
        <w:t>║  分割エントリー推奨                                      ║</w:t>
        <w:br/>
        <w:t>║  第1弾 (50%): 現在値 940〜960円 → 即日執行              ║</w:t>
        <w:br/>
        <w:t>║  第2弾 (50%): 950〜970円 → 状況確認後（1週間以内）      ║</w:t>
        <w:br/>
        <w:t>╚══════════════════════════════════════════════════════════╝</w:t>
      </w:r>
    </w:p>
    <w:p/>
    <w:p>
      <w:pPr>
        <w:pStyle w:val="Heading3"/>
      </w:pPr>
      <w:r>
        <w:rPr>
          <w:rFonts w:ascii="Meiryo UI" w:hAnsi="Meiryo UI"/>
          <w:color w:val="2E74B5"/>
        </w:rPr>
        <w:t>8-2. ターゲット・損切りライン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第1目標</w:t>
            </w:r>
          </w:p>
        </w:tc>
        <w:tc>
          <w:tcPr>
            <w:tcW w:type="dxa" w:w="3135"/>
          </w:tcPr>
          <w:p>
            <w:r>
              <w:rPr>
                <w:rFonts w:ascii="Meiryo UI" w:hAnsi="Meiryo UI"/>
                <w:sz w:val="18"/>
              </w:rPr>
              <w:t>1,000円</w:t>
            </w:r>
          </w:p>
        </w:tc>
        <w:tc>
          <w:tcPr>
            <w:tcW w:type="dxa" w:w="3135"/>
          </w:tcPr>
          <w:p>
            <w:r>
              <w:rPr>
                <w:rFonts w:ascii="Meiryo UI" w:hAnsi="Meiryo UI"/>
                <w:sz w:val="18"/>
              </w:rPr>
              <w:t>TOB価格・スクイーズアウト対価</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915円</w:t>
            </w:r>
          </w:p>
        </w:tc>
        <w:tc>
          <w:tcPr>
            <w:tcW w:type="dxa" w:w="3135"/>
            <w:shd w:val="clear" w:color="auto" w:fill="DDEBF7"/>
          </w:tcPr>
          <w:p>
            <w:r>
              <w:rPr>
                <w:rFonts w:ascii="Meiryo UI" w:hAnsi="Meiryo UI"/>
                <w:sz w:val="18"/>
              </w:rPr>
              <w:t>▲5%（市場急変・法的異議発生時）</w:t>
            </w:r>
          </w:p>
        </w:tc>
      </w:tr>
      <w:tr>
        <w:tc>
          <w:tcPr>
            <w:tcW w:type="dxa" w:w="3135"/>
          </w:tcPr>
          <w:p>
            <w:r>
              <w:rPr>
                <w:rFonts w:ascii="Meiryo UI" w:hAnsi="Meiryo UI"/>
                <w:sz w:val="18"/>
              </w:rPr>
              <w:t>最大許容損失</w:t>
            </w:r>
          </w:p>
        </w:tc>
        <w:tc>
          <w:tcPr>
            <w:tcW w:type="dxa" w:w="3135"/>
          </w:tcPr>
          <w:p>
            <w:r>
              <w:rPr>
                <w:rFonts w:ascii="Meiryo UI" w:hAnsi="Meiryo UI"/>
                <w:sz w:val="18"/>
              </w:rPr>
              <w:t>▲5%</w:t>
            </w:r>
          </w:p>
        </w:tc>
        <w:tc>
          <w:tcPr>
            <w:tcW w:type="dxa" w:w="3135"/>
          </w:tcPr>
          <w:p>
            <w:r>
              <w:rPr>
                <w:rFonts w:ascii="Meiryo UI" w:hAnsi="Meiryo UI"/>
                <w:sz w:val="18"/>
              </w:rPr>
              <w:t>スクイーズアウト遅延リスクの許容コスト</w:t>
            </w:r>
          </w:p>
        </w:tc>
      </w:tr>
      <w:tr>
        <w:tc>
          <w:tcPr>
            <w:tcW w:type="dxa" w:w="3135"/>
            <w:shd w:val="clear" w:color="auto" w:fill="DDEBF7"/>
          </w:tcPr>
          <w:p>
            <w:r>
              <w:rPr>
                <w:rFonts w:ascii="Meiryo UI" w:hAnsi="Meiryo UI"/>
                <w:sz w:val="18"/>
              </w:rPr>
              <w:t>期待リターン/リスク比</w:t>
            </w:r>
          </w:p>
        </w:tc>
        <w:tc>
          <w:tcPr>
            <w:tcW w:type="dxa" w:w="3135"/>
            <w:shd w:val="clear" w:color="auto" w:fill="DDEBF7"/>
          </w:tcPr>
          <w:p>
            <w:r>
              <w:rPr>
                <w:rFonts w:ascii="Meiryo UI" w:hAnsi="Meiryo UI"/>
                <w:sz w:val="18"/>
              </w:rPr>
              <w:t>約3:1</w:t>
            </w:r>
          </w:p>
        </w:tc>
        <w:tc>
          <w:tcPr>
            <w:tcW w:type="dxa" w:w="3135"/>
            <w:shd w:val="clear" w:color="auto" w:fill="DDEBF7"/>
          </w:tcPr>
          <w:p>
            <w:r>
              <w:rPr>
                <w:rFonts w:ascii="Meiryo UI" w:hAnsi="Meiryo UI"/>
                <w:sz w:val="18"/>
              </w:rPr>
              <w:t>期待+5% vs 最大▲5% × 0.15確率</w:t>
            </w:r>
          </w:p>
        </w:tc>
      </w:tr>
    </w:tbl>
    <w:p/>
    <w:p>
      <w:pPr>
        <w:pStyle w:val="Heading3"/>
      </w:pPr>
      <w:r>
        <w:rPr>
          <w:rFonts w:ascii="Meiryo UI" w:hAnsi="Meiryo UI"/>
          <w:color w:val="2E74B5"/>
        </w:rPr>
        <w:t>8-3. 時間軸と出口戦略</w:t>
      </w:r>
    </w:p>
    <w:p/>
    <w:p>
      <w:pPr>
        <w:shd w:val="clear" w:color="auto" w:fill="F2F2F2"/>
      </w:pPr>
      <w:r>
        <w:rPr>
          <w:rFonts w:ascii="Courier New" w:hAnsi="Courier New"/>
          <w:sz w:val="16"/>
        </w:rPr>
        <w:t>【時間軸ロードマップ】</w:t>
        <w:br/>
        <w:br/>
        <w:t>2026年4月（現在）</w:t>
        <w:br/>
        <w:t xml:space="preserve">  │</w:t>
        <w:br/>
        <w:t xml:space="preserve">  ├── スクイーズアウト公告（会社法上の通知）</w:t>
        <w:br/>
        <w:t xml:space="preserve">  │       ↓ 通常1〜2ヶ月</w:t>
        <w:br/>
        <w:t xml:space="preserve">  ├── 取得日確定・株主への対価支払い通知</w:t>
        <w:br/>
        <w:t xml:space="preserve">  │       ↓</w:t>
        <w:br/>
        <w:t xml:space="preserve">  ├── 1,000円での強制買取実行</w:t>
        <w:br/>
        <w:t xml:space="preserve">  │       ↓</w:t>
        <w:br/>
        <w:t xml:space="preserve">  └── ポジション清算完了 → 利益確定</w:t>
        <w:br/>
        <w:br/>
        <w:t>【想定シナリオ別出口】</w:t>
        <w:br/>
        <w:t xml:space="preserve"> 早期完了（2ヶ月以内）: スクイーズアウトで自動的に1,000円</w:t>
        <w:br/>
        <w:t xml:space="preserve"> 通常進行（3ヶ月）   : 同上（1,000円）</w:t>
        <w:br/>
        <w:t xml:space="preserve"> 遅延（4ヶ月以上）   : 保有継続 or 915円到達時に損切り判断</w:t>
      </w:r>
    </w:p>
    <w:p/>
    <w:p>
      <w:pPr>
        <w:pStyle w:val="Heading3"/>
      </w:pPr>
      <w:r>
        <w:rPr>
          <w:rFonts w:ascii="Meiryo UI" w:hAnsi="Meiryo UI"/>
          <w:color w:val="2E74B5"/>
        </w:rPr>
        <w:t>8-4. リスク管理チェックリスト</w:t>
      </w:r>
    </w:p>
    <w:p/>
    <w:p>
      <w:pPr>
        <w:shd w:val="clear" w:color="auto" w:fill="F2F2F2"/>
      </w:pPr>
      <w:r>
        <w:rPr>
          <w:rFonts w:ascii="Courier New" w:hAnsi="Courier New"/>
          <w:sz w:val="16"/>
        </w:rPr>
        <w:t>【モニタリング項目】</w:t>
        <w:br/>
        <w:t>□ スクイーズアウト公告の東証適時開示（TDnet）確認</w:t>
        <w:br/>
        <w:t>□ 少数株主からの価格不服申し立て動向</w:t>
        <w:br/>
        <w:t>□ 市場価格が940円を割り込んだ場合（再評価トリガー）</w:t>
        <w:br/>
        <w:t>□ 市場全体のリスクオフ（日経平均-5%以上の急落）</w:t>
        <w:br/>
        <w:t>□ 支配株主（IAPF）側の追加リリース</w:t>
      </w:r>
    </w:p>
    <w:p/>
    <w:p>
      <w:pPr>
        <w:pStyle w:val="Heading3"/>
      </w:pPr>
      <w:r>
        <w:rPr>
          <w:rFonts w:ascii="Meiryo UI" w:hAnsi="Meiryo UI"/>
          <w:color w:val="2E74B5"/>
        </w:rPr>
        <w:t>8-5. ポートフォリオコンテキスト</w:t>
      </w:r>
    </w:p>
    <w:p/>
    <w:p>
      <w:r>
        <w:rPr>
          <w:rFonts w:ascii="Meiryo UI" w:hAnsi="Meiryo UI"/>
          <w:sz w:val="20"/>
        </w:rPr>
        <w:t>本案件の性質の正確な理解:</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特性</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絶対リターン</w:t>
            </w:r>
          </w:p>
        </w:tc>
        <w:tc>
          <w:tcPr>
            <w:tcW w:type="dxa" w:w="4703"/>
          </w:tcPr>
          <w:p>
            <w:r>
              <w:rPr>
                <w:rFonts w:ascii="Meiryo UI" w:hAnsi="Meiryo UI"/>
                <w:sz w:val="18"/>
              </w:rPr>
              <w:t>小（3〜6%）</w:t>
            </w:r>
          </w:p>
        </w:tc>
      </w:tr>
      <w:tr>
        <w:tc>
          <w:tcPr>
            <w:tcW w:type="dxa" w:w="4703"/>
            <w:shd w:val="clear" w:color="auto" w:fill="DDEBF7"/>
          </w:tcPr>
          <w:p>
            <w:r>
              <w:rPr>
                <w:rFonts w:ascii="Meiryo UI" w:hAnsi="Meiryo UI"/>
                <w:sz w:val="18"/>
              </w:rPr>
              <w:t>確実性</w:t>
            </w:r>
          </w:p>
        </w:tc>
        <w:tc>
          <w:tcPr>
            <w:tcW w:type="dxa" w:w="4703"/>
            <w:shd w:val="clear" w:color="auto" w:fill="DDEBF7"/>
          </w:tcPr>
          <w:p>
            <w:r>
              <w:rPr>
                <w:rFonts w:ascii="Meiryo UI" w:hAnsi="Meiryo UI"/>
                <w:sz w:val="18"/>
              </w:rPr>
              <w:t>高（スクイーズアウト確定的）</w:t>
            </w:r>
          </w:p>
        </w:tc>
      </w:tr>
      <w:tr>
        <w:tc>
          <w:tcPr>
            <w:tcW w:type="dxa" w:w="4703"/>
          </w:tcPr>
          <w:p>
            <w:r>
              <w:rPr>
                <w:rFonts w:ascii="Meiryo UI" w:hAnsi="Meiryo UI"/>
                <w:sz w:val="18"/>
              </w:rPr>
              <w:t>相関</w:t>
            </w:r>
          </w:p>
        </w:tc>
        <w:tc>
          <w:tcPr>
            <w:tcW w:type="dxa" w:w="4703"/>
          </w:tcPr>
          <w:p>
            <w:r>
              <w:rPr>
                <w:rFonts w:ascii="Meiryo UI" w:hAnsi="Meiryo UI"/>
                <w:sz w:val="18"/>
              </w:rPr>
              <w:t>市場ベータとの相関低（裁定型）</w:t>
            </w:r>
          </w:p>
        </w:tc>
      </w:tr>
      <w:tr>
        <w:tc>
          <w:tcPr>
            <w:tcW w:type="dxa" w:w="4703"/>
            <w:shd w:val="clear" w:color="auto" w:fill="DDEBF7"/>
          </w:tcPr>
          <w:p>
            <w:r>
              <w:rPr>
                <w:rFonts w:ascii="Meiryo UI" w:hAnsi="Meiryo UI"/>
                <w:sz w:val="18"/>
              </w:rPr>
              <w:t>流動性</w:t>
            </w:r>
          </w:p>
        </w:tc>
        <w:tc>
          <w:tcPr>
            <w:tcW w:type="dxa" w:w="4703"/>
            <w:shd w:val="clear" w:color="auto" w:fill="DDEBF7"/>
          </w:tcPr>
          <w:p>
            <w:r>
              <w:rPr>
                <w:rFonts w:ascii="Meiryo UI" w:hAnsi="Meiryo UI"/>
                <w:sz w:val="18"/>
              </w:rPr>
              <w:t>やや低（スモールキャップ）</w:t>
            </w:r>
          </w:p>
        </w:tc>
      </w:tr>
      <w:tr>
        <w:tc>
          <w:tcPr>
            <w:tcW w:type="dxa" w:w="4703"/>
          </w:tcPr>
          <w:p>
            <w:r>
              <w:rPr>
                <w:rFonts w:ascii="Meiryo UI" w:hAnsi="Meiryo UI"/>
                <w:sz w:val="18"/>
              </w:rPr>
              <w:t>時間コスト</w:t>
            </w:r>
          </w:p>
        </w:tc>
        <w:tc>
          <w:tcPr>
            <w:tcW w:type="dxa" w:w="4703"/>
          </w:tcPr>
          <w:p>
            <w:r>
              <w:rPr>
                <w:rFonts w:ascii="Meiryo UI" w:hAnsi="Meiryo UI"/>
                <w:sz w:val="18"/>
              </w:rPr>
              <w:t>1〜3ヶ月の拘束</w:t>
            </w:r>
          </w:p>
        </w:tc>
      </w:tr>
    </w:tbl>
    <w:p/>
    <w:p>
      <w:r>
        <w:rPr>
          <w:rFonts w:ascii="Meiryo UI" w:hAnsi="Meiryo UI"/>
          <w:sz w:val="20"/>
        </w:rPr>
        <w:t>&gt; 深井の見解:</w:t>
      </w:r>
    </w:p>
    <w:p>
      <w:r>
        <w:rPr>
          <w:rFonts w:ascii="Meiryo UI" w:hAnsi="Meiryo UI"/>
          <w:sz w:val="20"/>
        </w:rPr>
        <w:t>&gt; 本案件は「大きく儲ける」案件ではなく「ほぼ確実に小さく儲ける」案件である。ポートフォリオにおけるリスク分散・低ベータ資産として組み込む視点が適切。浅井速報+70の意味もここにある。過度な集中投資は他の高アルファ案件への機会費用となるため、ポートフォリオの5〜10%を上限とし、残余資金はより高いアップサイドを持つ案件に振り向けることを推奨する。</w:t>
      </w:r>
    </w:p>
    <w:p/>
    <w:p>
      <w:r>
        <w:t>──────────────────────────────────────────────────</w:t>
      </w:r>
    </w:p>
    <w:p/>
    <w:p>
      <w:pPr>
        <w:pStyle w:val="Heading2"/>
      </w:pPr>
      <w:r>
        <w:rPr>
          <w:rFonts w:ascii="Meiryo UI" w:hAnsi="Meiryo UI"/>
          <w:color w:val="2E74B5"/>
        </w:rPr>
        <w:t>9. 総括・深井所見</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