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[AVGO] ブロードコム（Broadcom）</w:t>
      </w:r>
    </w:p>
    <w:p/>
    <w:p/>
    <w:p>
      <w:pPr>
        <w:jc w:val="center"/>
      </w:pPr>
      <w:r>
        <w:rPr>
          <w:rFonts w:ascii="Meiryo UI" w:hAnsi="Meiryo UI"/>
          <w:sz w:val="24"/>
        </w:rPr>
        <w:t>アナリスト：深井</w:t>
      </w:r>
    </w:p>
    <w:p>
      <w:pPr>
        <w:jc w:val="center"/>
      </w:pPr>
      <w:r>
        <w:rPr>
          <w:rFonts w:ascii="Meiryo UI" w:hAnsi="Meiryo UI"/>
          <w:sz w:val="24"/>
        </w:rPr>
        <w:t>分析日：2026-04-08</w:t>
      </w:r>
    </w:p>
    <w:p>
      <w:r>
        <w:br w:type="page"/>
      </w:r>
    </w:p>
    <w:p>
      <w:pPr>
        <w:pStyle w:val="Heading1"/>
      </w:pPr>
      <w:r>
        <w:rPr>
          <w:rFonts w:ascii="Meiryo UI" w:hAnsi="Meiryo UI"/>
          <w:color w:val="1F3864"/>
        </w:rPr>
        <w:t>深井 DeepResearchレポート — [AVGO] ブロードコム（Broadcom）</w:t>
      </w:r>
    </w:p>
    <w:p>
      <w:r>
        <w:rPr>
          <w:rFonts w:ascii="Meiryo UI" w:hAnsi="Meiryo UI"/>
          <w:sz w:val="20"/>
        </w:rPr>
        <w:t>作成日: 2026-04-08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 DeepResearch レポート</w:t>
      </w:r>
    </w:p>
    <w:p>
      <w:pPr>
        <w:pStyle w:val="Heading2"/>
      </w:pPr>
      <w:r>
        <w:rPr>
          <w:rFonts w:ascii="Meiryo UI" w:hAnsi="Meiryo UI"/>
          <w:color w:val="2E74B5"/>
        </w:rPr>
        <w:t>AVGO（Broadcom Inc.）— カスタムASIC×VMware×AI三軸分析</w:t>
      </w:r>
    </w:p>
    <w:p/>
    <w:p>
      <w:r>
        <w:t>──────────────────────────────────────────────────</w:t>
      </w:r>
    </w:p>
    <w:p/>
    <w:p>
      <w:r>
        <w:rPr>
          <w:rFonts w:ascii="Meiryo UI" w:hAnsi="Meiryo UI"/>
          <w:sz w:val="20"/>
        </w:rPr>
        <w:t>作成者: 深井（財務諸表・DCFバリュエーション担当アナリスト）</w:t>
      </w:r>
    </w:p>
    <w:p>
      <w:r>
        <w:rPr>
          <w:rFonts w:ascii="Meiryo UI" w:hAnsi="Meiryo UI"/>
          <w:sz w:val="20"/>
        </w:rPr>
        <w:t>分析日: 2026年4月8日</w:t>
      </w:r>
    </w:p>
    <w:p>
      <w:r>
        <w:rPr>
          <w:rFonts w:ascii="Meiryo UI" w:hAnsi="Meiryo UI"/>
          <w:sz w:val="20"/>
        </w:rPr>
        <w:t>現在株価: $334（2026-04-08 07:53 JST / Yahoo Finance）</w:t>
      </w:r>
    </w:p>
    <w:p>
      <w:r>
        <w:rPr>
          <w:rFonts w:ascii="Meiryo UI" w:hAnsi="Meiryo UI"/>
          <w:sz w:val="20"/>
        </w:rPr>
        <w:t>優先度: 社長指示 優先度2</w:t>
      </w:r>
    </w:p>
    <w:p>
      <w:r>
        <w:rPr>
          <w:rFonts w:ascii="Meiryo UI" w:hAnsi="Meiryo UI"/>
          <w:sz w:val="20"/>
        </w:rPr>
        <w:t>レーティング: 🟡 条件付き買い（Conditional BUY）</w:t>
      </w:r>
    </w:p>
    <w:p/>
    <w:p>
      <w:r>
        <w:rPr>
          <w:rFonts w:ascii="Meiryo UI" w:hAnsi="Meiryo UI"/>
          <w:sz w:val="20"/>
        </w:rPr>
        <w:t>&gt; ⚠️ 財務指標確認済み（リアルタイム取得値使用）</w:t>
      </w:r>
    </w:p>
    <w:p>
      <w:r>
        <w:rPr>
          <w:rFonts w:ascii="Meiryo UI" w:hAnsi="Meiryo UI"/>
          <w:sz w:val="20"/>
        </w:rPr>
        <w:t>&gt; PBR: 19.80倍 / BPS: $17 / ROE: 33.4% / PER: 65.1倍 / EPS: $5</w:t>
      </w:r>
    </w:p>
    <w:p>
      <w:r>
        <w:rPr>
          <w:rFonts w:ascii="Meiryo UI" w:hAnsi="Meiryo UI"/>
          <w:sz w:val="20"/>
        </w:rPr>
        <w:t>&gt; Rf = 4.300%（US10Y参考値）/ 現在株価: $334</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社長指示重点分析（①〜⑧）</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Pr>
        <w:pStyle w:val="ListNumber"/>
      </w:pPr>
      <w:r>
        <w:rPr>
          <w:rFonts w:ascii="Meiryo UI" w:hAnsi="Meiryo UI"/>
          <w:sz w:val="20"/>
        </w:rPr>
        <w:t>付録：USD/JPY感応度</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Broadcom Inc.</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1991年（Avago Technologies→Broadcom）</w:t>
            </w:r>
          </w:p>
        </w:tc>
      </w:tr>
      <w:tr>
        <w:tc>
          <w:tcPr>
            <w:tcW w:type="dxa" w:w="4703"/>
          </w:tcPr>
          <w:p>
            <w:r>
              <w:rPr>
                <w:rFonts w:ascii="Meiryo UI" w:hAnsi="Meiryo UI"/>
                <w:sz w:val="18"/>
              </w:rPr>
              <w:t>本社</w:t>
            </w:r>
          </w:p>
        </w:tc>
        <w:tc>
          <w:tcPr>
            <w:tcW w:type="dxa" w:w="4703"/>
          </w:tcPr>
          <w:p>
            <w:r>
              <w:rPr>
                <w:rFonts w:ascii="Meiryo UI" w:hAnsi="Meiryo UI"/>
                <w:sz w:val="18"/>
              </w:rPr>
              <w:t>Palo Alto, CA / San Jose, CA</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NASDAQ（AVGO）</w:t>
            </w:r>
          </w:p>
        </w:tc>
      </w:tr>
      <w:tr>
        <w:tc>
          <w:tcPr>
            <w:tcW w:type="dxa" w:w="4703"/>
          </w:tcPr>
          <w:p>
            <w:r>
              <w:rPr>
                <w:rFonts w:ascii="Meiryo UI" w:hAnsi="Meiryo UI"/>
                <w:sz w:val="18"/>
              </w:rPr>
              <w:t>時価総額</w:t>
            </w:r>
          </w:p>
        </w:tc>
        <w:tc>
          <w:tcPr>
            <w:tcW w:type="dxa" w:w="4703"/>
          </w:tcPr>
          <w:p>
            <w:r>
              <w:rPr>
                <w:rFonts w:ascii="Meiryo UI" w:hAnsi="Meiryo UI"/>
                <w:sz w:val="18"/>
              </w:rPr>
              <w:t>約$1.55兆（$334 × 約46.4億株）</w:t>
            </w:r>
          </w:p>
        </w:tc>
      </w:tr>
      <w:tr>
        <w:tc>
          <w:tcPr>
            <w:tcW w:type="dxa" w:w="4703"/>
            <w:shd w:val="clear" w:color="auto" w:fill="DDEBF7"/>
          </w:tcPr>
          <w:p>
            <w:r>
              <w:rPr>
                <w:rFonts w:ascii="Meiryo UI" w:hAnsi="Meiryo UI"/>
                <w:sz w:val="18"/>
              </w:rPr>
              <w:t>事業年度</w:t>
            </w:r>
          </w:p>
        </w:tc>
        <w:tc>
          <w:tcPr>
            <w:tcW w:type="dxa" w:w="4703"/>
            <w:shd w:val="clear" w:color="auto" w:fill="DDEBF7"/>
          </w:tcPr>
          <w:p>
            <w:r>
              <w:rPr>
                <w:rFonts w:ascii="Meiryo UI" w:hAnsi="Meiryo UI"/>
                <w:sz w:val="18"/>
              </w:rPr>
              <w:t>10月末締め（FY2025 = 2024年11月〜2025年10月）</w:t>
            </w:r>
          </w:p>
        </w:tc>
      </w:tr>
      <w:tr>
        <w:tc>
          <w:tcPr>
            <w:tcW w:type="dxa" w:w="4703"/>
          </w:tcPr>
          <w:p>
            <w:r>
              <w:rPr>
                <w:rFonts w:ascii="Meiryo UI" w:hAnsi="Meiryo UI"/>
                <w:sz w:val="18"/>
              </w:rPr>
              <w:t>CEO</w:t>
            </w:r>
          </w:p>
        </w:tc>
        <w:tc>
          <w:tcPr>
            <w:tcW w:type="dxa" w:w="4703"/>
          </w:tcPr>
          <w:p>
            <w:r>
              <w:rPr>
                <w:rFonts w:ascii="Meiryo UI" w:hAnsi="Meiryo UI"/>
                <w:sz w:val="18"/>
              </w:rPr>
              <w:t>Hock Tan</w:t>
            </w:r>
          </w:p>
        </w:tc>
      </w:tr>
      <w:tr>
        <w:tc>
          <w:tcPr>
            <w:tcW w:type="dxa" w:w="4703"/>
            <w:shd w:val="clear" w:color="auto" w:fill="DDEBF7"/>
          </w:tcPr>
          <w:p>
            <w:r>
              <w:rPr>
                <w:rFonts w:ascii="Meiryo UI" w:hAnsi="Meiryo UI"/>
                <w:sz w:val="18"/>
              </w:rPr>
              <w:t>主要事業</w:t>
            </w:r>
          </w:p>
        </w:tc>
        <w:tc>
          <w:tcPr>
            <w:tcW w:type="dxa" w:w="4703"/>
            <w:shd w:val="clear" w:color="auto" w:fill="DDEBF7"/>
          </w:tcPr>
          <w:p>
            <w:r>
              <w:rPr>
                <w:rFonts w:ascii="Meiryo UI" w:hAnsi="Meiryo UI"/>
                <w:sz w:val="18"/>
              </w:rPr>
              <w:t>半導体・インフラソフトウェア</w:t>
            </w:r>
          </w:p>
        </w:tc>
      </w:tr>
    </w:tbl>
    <w:p/>
    <w:p>
      <w:r>
        <w:t>──────────────────────────────────────────────────</w:t>
      </w:r>
    </w:p>
    <w:p/>
    <w:p>
      <w:pPr>
        <w:pStyle w:val="Heading3"/>
      </w:pPr>
      <w:r>
        <w:rPr>
          <w:rFonts w:ascii="Meiryo UI" w:hAnsi="Meiryo UI"/>
          <w:color w:val="2E74B5"/>
        </w:rPr>
        <w:t>1-2. セグメント構成（FY2025実績ベース推計）</w:t>
      </w:r>
    </w:p>
    <w:p/>
    <w:p>
      <w:pPr>
        <w:shd w:val="clear" w:color="auto" w:fill="F2F2F2"/>
      </w:pPr>
      <w:r>
        <w:rPr>
          <w:rFonts w:ascii="Courier New" w:hAnsi="Courier New"/>
          <w:sz w:val="16"/>
        </w:rPr>
        <w:t>売上高構成（推計：FY2025）</w:t>
        <w:br/>
        <w:t>━━━━━━━━━━━━━━━━━━━━━━━━━━━━━━━━━━━━━</w:t>
        <w:br/>
        <w:t>■ 半導体ソリューション                      約58%  ≈ $24.4B</w:t>
        <w:br/>
        <w:t xml:space="preserve">  ├─ カスタムASIC / XPU（AI向け）           約24%  ≈ $10.1B ★急成長</w:t>
        <w:br/>
        <w:t xml:space="preserve">  ├─ ネットワーキングチップ（Tomahawk等）    約14%  ≈  $5.9B</w:t>
        <w:br/>
        <w:t xml:space="preserve">  ├─ ブロードバンド・ストレージ・無線        約20%  ≈  $8.4B</w:t>
        <w:br/>
        <w:t xml:space="preserve">  └─ iPhone向けRF/ワイヤレス部品           ※無線に含む（Apple契約）</w:t>
        <w:br/>
        <w:br/>
        <w:t>■ インフラソフトウェア（VMware統合後）      約42%  ≈ $17.6B</w:t>
        <w:br/>
        <w:t xml:space="preserve">  ├─ VMware Cloud Foundation               主力</w:t>
        <w:br/>
        <w:t xml:space="preserve">  ├─ Carbon Black（セキュリティ）</w:t>
        <w:br/>
        <w:t xml:space="preserve">  ├─ Symantec（エンタープライズセキュリティ）</w:t>
        <w:br/>
        <w:t xml:space="preserve">  └─ CA Technologies（エンタープライズIT）</w:t>
        <w:br/>
        <w:t>━━━━━━━━━━━━━━━━━━━━━━━━━━━━━━━━━━━━━</w:t>
        <w:br/>
        <w:t>合計（FY2025推計）                          ≈ $42.0B</w:t>
      </w:r>
    </w:p>
    <w:p/>
    <w:p>
      <w:r>
        <w:rPr>
          <w:rFonts w:ascii="Meiryo UI" w:hAnsi="Meiryo UI"/>
          <w:sz w:val="20"/>
        </w:rPr>
        <w:t>&gt; 注：VMware買収（$690億、2023年11月完了）により、ソフトウェア比率が急拡大。FY2024実績ベース売上高$51.6Bをもとにした公開情報から、FY2025は$42〜$47B水準（内部確認中）。本レポートでは$42Bをベースケースとして使用。</w:t>
      </w:r>
    </w:p>
    <w:p/>
    <w:p>
      <w:r>
        <w:t>──────────────────────────────────────────────────</w:t>
      </w:r>
    </w:p>
    <w:p/>
    <w:p>
      <w:pPr>
        <w:pStyle w:val="Heading3"/>
      </w:pPr>
      <w:r>
        <w:rPr>
          <w:rFonts w:ascii="Meiryo UI" w:hAnsi="Meiryo UI"/>
          <w:color w:val="2E74B5"/>
        </w:rPr>
        <w:t>1-3. 競合優位性（Economic Moat分析）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Moat要因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カスタムASIC設計ノウハウ</w:t>
            </w:r>
          </w:p>
        </w:tc>
        <w:tc>
          <w:tcPr>
            <w:tcW w:type="dxa" w:w="3135"/>
          </w:tcPr>
          <w:p>
            <w:r>
              <w:rPr>
                <w:rFonts w:ascii="Meiryo UI" w:hAnsi="Meiryo UI"/>
                <w:sz w:val="18"/>
              </w:rPr>
              <w:t>★★★★★</w:t>
            </w:r>
          </w:p>
        </w:tc>
        <w:tc>
          <w:tcPr>
            <w:tcW w:type="dxa" w:w="3135"/>
          </w:tcPr>
          <w:p>
            <w:r>
              <w:rPr>
                <w:rFonts w:ascii="Meiryo UI" w:hAnsi="Meiryo UI"/>
                <w:sz w:val="18"/>
              </w:rPr>
              <w:t>20年以上のASIC実績。顧客ごとのチップ設計チームが競合参入を阻止</w:t>
            </w:r>
          </w:p>
        </w:tc>
      </w:tr>
      <w:tr>
        <w:tc>
          <w:tcPr>
            <w:tcW w:type="dxa" w:w="3135"/>
            <w:shd w:val="clear" w:color="auto" w:fill="DDEBF7"/>
          </w:tcPr>
          <w:p>
            <w:r>
              <w:rPr>
                <w:rFonts w:ascii="Meiryo UI" w:hAnsi="Meiryo UI"/>
                <w:sz w:val="18"/>
              </w:rPr>
              <w:t>ハイパースケーラー依存関係</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Google・Meta・Appleとのマルチ年契約。スイッチングコスト極めて高</w:t>
            </w:r>
          </w:p>
        </w:tc>
      </w:tr>
      <w:tr>
        <w:tc>
          <w:tcPr>
            <w:tcW w:type="dxa" w:w="3135"/>
          </w:tcPr>
          <w:p>
            <w:r>
              <w:rPr>
                <w:rFonts w:ascii="Meiryo UI" w:hAnsi="Meiryo UI"/>
                <w:sz w:val="18"/>
              </w:rPr>
              <w:t>ネットワーキング市場独占</w:t>
            </w:r>
          </w:p>
        </w:tc>
        <w:tc>
          <w:tcPr>
            <w:tcW w:type="dxa" w:w="3135"/>
          </w:tcPr>
          <w:p>
            <w:r>
              <w:rPr>
                <w:rFonts w:ascii="Meiryo UI" w:hAnsi="Meiryo UI"/>
                <w:sz w:val="18"/>
              </w:rPr>
              <w:t>★★★★☆</w:t>
            </w:r>
          </w:p>
        </w:tc>
        <w:tc>
          <w:tcPr>
            <w:tcW w:type="dxa" w:w="3135"/>
          </w:tcPr>
          <w:p>
            <w:r>
              <w:rPr>
                <w:rFonts w:ascii="Meiryo UI" w:hAnsi="Meiryo UI"/>
                <w:sz w:val="18"/>
              </w:rPr>
              <w:t>Tomahawk/Jericho シリーズでデータセンターネットワーク市場支配</w:t>
            </w:r>
          </w:p>
        </w:tc>
      </w:tr>
      <w:tr>
        <w:tc>
          <w:tcPr>
            <w:tcW w:type="dxa" w:w="3135"/>
            <w:shd w:val="clear" w:color="auto" w:fill="DDEBF7"/>
          </w:tcPr>
          <w:p>
            <w:r>
              <w:rPr>
                <w:rFonts w:ascii="Meiryo UI" w:hAnsi="Meiryo UI"/>
                <w:sz w:val="18"/>
              </w:rPr>
              <w:t>VMwareソフトウェアの粘着性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エンタープライズ顧客のミッションクリティカル仮想化基盤</w:t>
            </w:r>
          </w:p>
        </w:tc>
      </w:tr>
      <w:tr>
        <w:tc>
          <w:tcPr>
            <w:tcW w:type="dxa" w:w="3135"/>
          </w:tcPr>
          <w:p>
            <w:r>
              <w:rPr>
                <w:rFonts w:ascii="Meiryo UI" w:hAnsi="Meiryo UI"/>
                <w:sz w:val="18"/>
              </w:rPr>
              <w:t>Hock Tan流M&amp;A経営</w:t>
            </w:r>
          </w:p>
        </w:tc>
        <w:tc>
          <w:tcPr>
            <w:tcW w:type="dxa" w:w="3135"/>
          </w:tcPr>
          <w:p>
            <w:r>
              <w:rPr>
                <w:rFonts w:ascii="Meiryo UI" w:hAnsi="Meiryo UI"/>
                <w:sz w:val="18"/>
              </w:rPr>
              <w:t>★★★★☆</w:t>
            </w:r>
          </w:p>
        </w:tc>
        <w:tc>
          <w:tcPr>
            <w:tcW w:type="dxa" w:w="3135"/>
          </w:tcPr>
          <w:p>
            <w:r>
              <w:rPr>
                <w:rFonts w:ascii="Meiryo UI" w:hAnsi="Meiryo UI"/>
                <w:sz w:val="18"/>
              </w:rPr>
              <w:t>買収後の利益率最大化（コスト削減＋サブスクリプション転換）実績</w:t>
            </w:r>
          </w:p>
        </w:tc>
      </w:tr>
      <w:tr>
        <w:tc>
          <w:tcPr>
            <w:tcW w:type="dxa" w:w="3135"/>
            <w:shd w:val="clear" w:color="auto" w:fill="DDEBF7"/>
          </w:tcPr>
          <w:p>
            <w:r>
              <w:rPr>
                <w:rFonts w:ascii="Meiryo UI" w:hAnsi="Meiryo UI"/>
                <w:sz w:val="18"/>
              </w:rPr>
              <w:t>TSMCとの優先製造契約</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3nm/2nmプロセス優先アクセス権（NVIDA・Appleと並列）</w:t>
            </w:r>
          </w:p>
        </w:tc>
      </w:tr>
    </w:tbl>
    <w:p/>
    <w:p>
      <w:r>
        <w:t>──────────────────────────────────────────────────</w:t>
      </w:r>
    </w:p>
    <w:p/>
    <w:p>
      <w:pPr>
        <w:pStyle w:val="Heading3"/>
      </w:pPr>
      <w:r>
        <w:rPr>
          <w:rFonts w:ascii="Meiryo UI" w:hAnsi="Meiryo UI"/>
          <w:color w:val="2E74B5"/>
        </w:rPr>
        <w:t>1-4. 直近カタリスト</w:t>
      </w:r>
    </w:p>
    <w:p/>
    <w:p>
      <w:pPr>
        <w:shd w:val="clear" w:color="auto" w:fill="F2F2F2"/>
      </w:pPr>
      <w:r>
        <w:rPr>
          <w:rFonts w:ascii="Courier New" w:hAnsi="Courier New"/>
          <w:sz w:val="16"/>
        </w:rPr>
        <w:t>📌 最重要カタリスト（2026年Q1-Q2）</w:t>
        <w:br/>
        <w:t>━━━━━━━━━━━━━━━━━━━━━━━━━━━━━━━━━━━━</w:t>
        <w:br/>
        <w:t>✅ Anthropic×Google×Broadcom提携確認（2026-04-07）</w:t>
        <w:br/>
        <w:t xml:space="preserve">   → 年率$300億コンピュート投資、2027年複数GW TPU稼働確定</w:t>
        <w:br/>
        <w:br/>
        <w:t>✅ カスタムXPUのTAM拡大：$60-90Bの市場機会（2025-2027）</w:t>
        <w:br/>
        <w:t xml:space="preserve">   → AVGOがNVIDIA対抗軸として3大ハイパースケーラーを独占</w:t>
        <w:br/>
        <w:br/>
        <w:t>✅ VMware FCF貢献：サブスクリプション転換率が85%超に到達</w:t>
        <w:br/>
        <w:t xml:space="preserve">   → FY2025 ソフトウェア営業利益率 70%超を目標</w:t>
        <w:br/>
        <w:br/>
        <w:t>✅ Apple次世代Neural Engine（A20/M5チップ）設計参画継続</w:t>
        <w:br/>
        <w:t xml:space="preserve">   → FY2026のApple売上は$3-4B規模と推計</w:t>
        <w:br/>
        <w:br/>
        <w:t>✅ PANWのAI×セキュリティ急伸がBroadcomのネットワークチップ需要を刺激</w:t>
        <w:br/>
        <w:t>━━━━━━━━━━━━━━━━━━━━━━━━━━━━━━━━━━━━</w:t>
      </w:r>
    </w:p>
    <w:p/>
    <w:p>
      <w:r>
        <w:t>──────────────────────────────────────────────────</w:t>
      </w:r>
    </w:p>
    <w:p/>
    <w:p>
      <w:pPr>
        <w:pStyle w:val="Heading2"/>
      </w:pPr>
      <w:r>
        <w:rPr>
          <w:rFonts w:ascii="Meiryo UI" w:hAnsi="Meiryo UI"/>
          <w:color w:val="2E74B5"/>
        </w:rPr>
        <w:t>2. 社長指示重点分析（最優先）</w:t>
      </w:r>
    </w:p>
    <w:p/>
    <w:p>
      <w:pPr>
        <w:pStyle w:val="Heading3"/>
      </w:pPr>
      <w:r>
        <w:rPr>
          <w:rFonts w:ascii="Meiryo UI" w:hAnsi="Meiryo UI"/>
          <w:color w:val="2E74B5"/>
        </w:rPr>
        <w:t>① カスタムASIC（XPU）ビジネスの実態</w:t>
      </w:r>
    </w:p>
    <w:p/>
    <w:p>
      <w:pPr>
        <w:pStyle w:val="Heading4"/>
      </w:pPr>
      <w:r>
        <w:rPr>
          <w:rFonts w:ascii="Meiryo UI" w:hAnsi="Meiryo UI"/>
          <w:color w:val="2E74B5"/>
        </w:rPr>
        <w:t>主要顧客と受注規模推計</w:t>
      </w:r>
    </w:p>
    <w:p/>
    <w:p>
      <w:pPr>
        <w:shd w:val="clear" w:color="auto" w:fill="F2F2F2"/>
      </w:pPr>
      <w:r>
        <w:rPr>
          <w:rFonts w:ascii="Courier New" w:hAnsi="Courier New"/>
          <w:sz w:val="16"/>
        </w:rPr>
        <w:t>━━━━━━━━━━━━━━━━━━━━━━━━━━━━━━━━━━━━━━━━━━━━</w:t>
        <w:br/>
        <w:t>顧客              チップ名          受注規模（年率推計）    依存度</w:t>
        <w:br/>
        <w:t>━━━━━━━━━━━━━━━━━━━━━━━━━━━━━━━━━━━━━━━━━━━━</w:t>
        <w:br/>
        <w:t>Google            TPU v5/v6/v7      $4.0-5.5B/年          最大顧客 ★★★</w:t>
        <w:br/>
        <w:t>Meta              MTIA              $1.5-2.5B/年          急成長中 ★★</w:t>
        <w:br/>
        <w:t>Apple             Neural Engine     $1.0-1.5B/年（RF含む） 安定受注 ★★</w:t>
        <w:br/>
        <w:t>ByteDance         カスタムAI推論チップ $0.5-1.0B/年        地政学リスクあり ★</w:t>
        <w:br/>
        <w:t>（その他）        新規ハイパースケーラー $0.5-1.0B/年      2027年以降拡大</w:t>
        <w:br/>
        <w:t>━━━━━━━━━━━━━━━━━━━━━━━━━━━━━━━━━━━━━━━━━━━━</w:t>
        <w:br/>
        <w:t>合計XPU売上推計   FY2025≈$7.5-10B → FY2026≈$12-16B → FY2027≈$18-25B</w:t>
        <w:br/>
        <w:t>━━━━━━━━━━━━━━━━━━━━━━━━━━━━━━━━━━━━━━━━━━━━</w:t>
      </w:r>
    </w:p>
    <w:p/>
    <w:p>
      <w:pPr>
        <w:pStyle w:val="Heading4"/>
      </w:pPr>
      <w:r>
        <w:rPr>
          <w:rFonts w:ascii="Meiryo UI" w:hAnsi="Meiryo UI"/>
          <w:color w:val="2E74B5"/>
        </w:rPr>
        <w:t>3年収益貢献試算（XPUセグメント単体）</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XPU売上推計</w:t>
            </w:r>
          </w:p>
        </w:tc>
        <w:tc>
          <w:tcPr>
            <w:tcW w:type="dxa" w:w="1881"/>
            <w:shd w:val="clear" w:color="auto" w:fill="2E74B5"/>
          </w:tcPr>
          <w:p>
            <w:r>
              <w:rPr>
                <w:rFonts w:ascii="Meiryo UI" w:hAnsi="Meiryo UI"/>
                <w:b/>
                <w:color w:val="FFFFFF"/>
                <w:sz w:val="18"/>
              </w:rPr>
              <w:t>営業利益率</w:t>
            </w:r>
          </w:p>
        </w:tc>
        <w:tc>
          <w:tcPr>
            <w:tcW w:type="dxa" w:w="1881"/>
            <w:shd w:val="clear" w:color="auto" w:fill="2E74B5"/>
          </w:tcPr>
          <w:p>
            <w:r>
              <w:rPr>
                <w:rFonts w:ascii="Meiryo UI" w:hAnsi="Meiryo UI"/>
                <w:b/>
                <w:color w:val="FFFFFF"/>
                <w:sz w:val="18"/>
              </w:rPr>
              <w:t>XPU営業利益</w:t>
            </w:r>
          </w:p>
        </w:tc>
        <w:tc>
          <w:tcPr>
            <w:tcW w:type="dxa" w:w="1881"/>
            <w:shd w:val="clear" w:color="auto" w:fill="2E74B5"/>
          </w:tcPr>
          <w:p>
            <w:r>
              <w:rPr>
                <w:rFonts w:ascii="Meiryo UI" w:hAnsi="Meiryo UI"/>
                <w:b/>
                <w:color w:val="FFFFFF"/>
                <w:sz w:val="18"/>
              </w:rPr>
              <w:t>AVGO全社売上比</w:t>
            </w:r>
          </w:p>
        </w:tc>
      </w:tr>
      <w:tr>
        <w:tc>
          <w:tcPr>
            <w:tcW w:type="dxa" w:w="1881"/>
          </w:tcPr>
          <w:p>
            <w:r>
              <w:rPr>
                <w:rFonts w:ascii="Meiryo UI" w:hAnsi="Meiryo UI"/>
                <w:sz w:val="18"/>
              </w:rPr>
              <w:t>FY2025</w:t>
            </w:r>
          </w:p>
        </w:tc>
        <w:tc>
          <w:tcPr>
            <w:tcW w:type="dxa" w:w="1881"/>
          </w:tcPr>
          <w:p>
            <w:r>
              <w:rPr>
                <w:rFonts w:ascii="Meiryo UI" w:hAnsi="Meiryo UI"/>
                <w:sz w:val="18"/>
              </w:rPr>
              <w:t>$8.5B</w:t>
            </w:r>
          </w:p>
        </w:tc>
        <w:tc>
          <w:tcPr>
            <w:tcW w:type="dxa" w:w="1881"/>
          </w:tcPr>
          <w:p>
            <w:r>
              <w:rPr>
                <w:rFonts w:ascii="Meiryo UI" w:hAnsi="Meiryo UI"/>
                <w:sz w:val="18"/>
              </w:rPr>
              <w:t>55%</w:t>
            </w:r>
          </w:p>
        </w:tc>
        <w:tc>
          <w:tcPr>
            <w:tcW w:type="dxa" w:w="1881"/>
          </w:tcPr>
          <w:p>
            <w:r>
              <w:rPr>
                <w:rFonts w:ascii="Meiryo UI" w:hAnsi="Meiryo UI"/>
                <w:sz w:val="18"/>
              </w:rPr>
              <w:t>$4.7B</w:t>
            </w:r>
          </w:p>
        </w:tc>
        <w:tc>
          <w:tcPr>
            <w:tcW w:type="dxa" w:w="1881"/>
          </w:tcPr>
          <w:p>
            <w:r>
              <w:rPr>
                <w:rFonts w:ascii="Meiryo UI" w:hAnsi="Meiryo UI"/>
                <w:sz w:val="18"/>
              </w:rPr>
              <w:t>約20%</w:t>
            </w:r>
          </w:p>
        </w:tc>
      </w:tr>
      <w:tr>
        <w:tc>
          <w:tcPr>
            <w:tcW w:type="dxa" w:w="1881"/>
            <w:shd w:val="clear" w:color="auto" w:fill="DDEBF7"/>
          </w:tcPr>
          <w:p>
            <w:r>
              <w:rPr>
                <w:rFonts w:ascii="Meiryo UI" w:hAnsi="Meiryo UI"/>
                <w:sz w:val="18"/>
              </w:rPr>
              <w:t>FY2026</w:t>
            </w:r>
          </w:p>
        </w:tc>
        <w:tc>
          <w:tcPr>
            <w:tcW w:type="dxa" w:w="1881"/>
            <w:shd w:val="clear" w:color="auto" w:fill="DDEBF7"/>
          </w:tcPr>
          <w:p>
            <w:r>
              <w:rPr>
                <w:rFonts w:ascii="Meiryo UI" w:hAnsi="Meiryo UI"/>
                <w:sz w:val="18"/>
              </w:rPr>
              <w:t>$14.0B</w:t>
            </w:r>
          </w:p>
        </w:tc>
        <w:tc>
          <w:tcPr>
            <w:tcW w:type="dxa" w:w="1881"/>
            <w:shd w:val="clear" w:color="auto" w:fill="DDEBF7"/>
          </w:tcPr>
          <w:p>
            <w:r>
              <w:rPr>
                <w:rFonts w:ascii="Meiryo UI" w:hAnsi="Meiryo UI"/>
                <w:sz w:val="18"/>
              </w:rPr>
              <w:t>58%</w:t>
            </w:r>
          </w:p>
        </w:tc>
        <w:tc>
          <w:tcPr>
            <w:tcW w:type="dxa" w:w="1881"/>
            <w:shd w:val="clear" w:color="auto" w:fill="DDEBF7"/>
          </w:tcPr>
          <w:p>
            <w:r>
              <w:rPr>
                <w:rFonts w:ascii="Meiryo UI" w:hAnsi="Meiryo UI"/>
                <w:sz w:val="18"/>
              </w:rPr>
              <w:t>$8.1B</w:t>
            </w:r>
          </w:p>
        </w:tc>
        <w:tc>
          <w:tcPr>
            <w:tcW w:type="dxa" w:w="1881"/>
            <w:shd w:val="clear" w:color="auto" w:fill="DDEBF7"/>
          </w:tcPr>
          <w:p>
            <w:r>
              <w:rPr>
                <w:rFonts w:ascii="Meiryo UI" w:hAnsi="Meiryo UI"/>
                <w:sz w:val="18"/>
              </w:rPr>
              <w:t>約28%</w:t>
            </w:r>
          </w:p>
        </w:tc>
      </w:tr>
      <w:tr>
        <w:tc>
          <w:tcPr>
            <w:tcW w:type="dxa" w:w="1881"/>
          </w:tcPr>
          <w:p>
            <w:r>
              <w:rPr>
                <w:rFonts w:ascii="Meiryo UI" w:hAnsi="Meiryo UI"/>
                <w:sz w:val="18"/>
              </w:rPr>
              <w:t>FY2027</w:t>
            </w:r>
          </w:p>
        </w:tc>
        <w:tc>
          <w:tcPr>
            <w:tcW w:type="dxa" w:w="1881"/>
          </w:tcPr>
          <w:p>
            <w:r>
              <w:rPr>
                <w:rFonts w:ascii="Meiryo UI" w:hAnsi="Meiryo UI"/>
                <w:sz w:val="18"/>
              </w:rPr>
              <w:t>$22.0B</w:t>
            </w:r>
          </w:p>
        </w:tc>
        <w:tc>
          <w:tcPr>
            <w:tcW w:type="dxa" w:w="1881"/>
          </w:tcPr>
          <w:p>
            <w:r>
              <w:rPr>
                <w:rFonts w:ascii="Meiryo UI" w:hAnsi="Meiryo UI"/>
                <w:sz w:val="18"/>
              </w:rPr>
              <w:t>60%</w:t>
            </w:r>
          </w:p>
        </w:tc>
        <w:tc>
          <w:tcPr>
            <w:tcW w:type="dxa" w:w="1881"/>
          </w:tcPr>
          <w:p>
            <w:r>
              <w:rPr>
                <w:rFonts w:ascii="Meiryo UI" w:hAnsi="Meiryo UI"/>
                <w:sz w:val="18"/>
              </w:rPr>
              <w:t>$13.2B</w:t>
            </w:r>
          </w:p>
        </w:tc>
        <w:tc>
          <w:tcPr>
            <w:tcW w:type="dxa" w:w="1881"/>
          </w:tcPr>
          <w:p>
            <w:r>
              <w:rPr>
                <w:rFonts w:ascii="Meiryo UI" w:hAnsi="Meiryo UI"/>
                <w:sz w:val="18"/>
              </w:rPr>
              <w:t>約35%+</w:t>
            </w:r>
          </w:p>
        </w:tc>
      </w:tr>
    </w:tbl>
    <w:p/>
    <w:p>
      <w:r>
        <w:rPr>
          <w:rFonts w:ascii="Meiryo UI" w:hAnsi="Meiryo UI"/>
          <w:sz w:val="20"/>
        </w:rPr>
        <w:t>&gt; 成長ドライバー： 2027年複数GWのTPUクラスター稼働確定→チップ供給量が現在の3倍以上に拡大。AVGOはチップ設計のみならずパッケージング・インターコネクト（PCIe/CXL）も受注し、単価上昇が継続。</w:t>
      </w:r>
    </w:p>
    <w:p/>
    <w:p>
      <w:pPr>
        <w:pStyle w:val="Heading4"/>
      </w:pPr>
      <w:r>
        <w:rPr>
          <w:rFonts w:ascii="Meiryo UI" w:hAnsi="Meiryo UI"/>
          <w:color w:val="2E74B5"/>
        </w:rPr>
        <w:t>NVIDIAとの競合 vs 補完関係</w:t>
      </w:r>
    </w:p>
    <w:p/>
    <w:p>
      <w:pPr>
        <w:shd w:val="clear" w:color="auto" w:fill="F2F2F2"/>
      </w:pPr>
      <w:r>
        <w:rPr>
          <w:rFonts w:ascii="Courier New" w:hAnsi="Courier New"/>
          <w:sz w:val="16"/>
        </w:rPr>
        <w:t>【競合関係】</w:t>
        <w:br/>
        <w:t>▶ 訓練ワークロード一部（大規模LLM pre-training）でTPU vs H100/B200</w:t>
        <w:br/>
        <w:t xml:space="preserve">  → Google社内ではTPUシェア拡大中（コスト効率でNVIDIAの40%コスト削減実現）</w:t>
        <w:br/>
        <w:t>▶ 推論ワークロード（Meta MTIA）でカスタムASICがA100を代替</w:t>
        <w:br/>
        <w:br/>
        <w:t>【補完関係】</w:t>
        <w:br/>
        <w:t>▶ NVDIA GPUクラスターのネットワーク基盤にBroadcomのTomahawk/Jericho採用</w:t>
        <w:br/>
        <w:t xml:space="preserve">  → NVIDIAが売れるほどBroadcomのネットワークチップ需要も増加（WIN-WIN）</w:t>
        <w:br/>
        <w:t>▶ 大規模訓練（NVIDIA）＋推論最適化（AVGO ASIC）の役割分担が定着</w:t>
        <w:br/>
        <w:br/>
        <w:t>【結論】</w:t>
        <w:br/>
        <w:t xml:space="preserve">  NVIDIAは訓練市場で圧倒的（H100/B200/B300）</w:t>
        <w:br/>
        <w:t xml:space="preserve">  AVGOはハイパースケーラー向け「推論特化＋コスト最適化」でニッチを制覇</w:t>
        <w:br/>
        <w:t xml:space="preserve">  → 競合より補完が実態。両社が同時に恩恵を受けるAI需要爆発の構造</w:t>
      </w:r>
    </w:p>
    <w:p/>
    <w:p>
      <w:r>
        <w:t>──────────────────────────────────────────────────</w:t>
      </w:r>
    </w:p>
    <w:p/>
    <w:p>
      <w:pPr>
        <w:pStyle w:val="Heading3"/>
      </w:pPr>
      <w:r>
        <w:rPr>
          <w:rFonts w:ascii="Meiryo UI" w:hAnsi="Meiryo UI"/>
          <w:color w:val="2E74B5"/>
        </w:rPr>
        <w:t>② VMware買収（$690億）統合進捗分析</w:t>
      </w:r>
    </w:p>
    <w:p/>
    <w:p>
      <w:pPr>
        <w:pStyle w:val="Heading4"/>
      </w:pPr>
      <w:r>
        <w:rPr>
          <w:rFonts w:ascii="Meiryo UI" w:hAnsi="Meiryo UI"/>
          <w:color w:val="2E74B5"/>
        </w:rPr>
        <w:t>サブスクリプション転換の進捗</w:t>
      </w:r>
    </w:p>
    <w:p/>
    <w:p>
      <w:pPr>
        <w:shd w:val="clear" w:color="auto" w:fill="F2F2F2"/>
      </w:pPr>
      <w:r>
        <w:rPr>
          <w:rFonts w:ascii="Courier New" w:hAnsi="Courier New"/>
          <w:sz w:val="16"/>
        </w:rPr>
        <w:t>VMware統合タイムライン（2023年11月〜2026年4月現在）</w:t>
        <w:br/>
        <w:t>━━━━━━━━━━━━━━━━━━━━━━━━━━━━━━━━━━━━</w:t>
        <w:br/>
        <w:t>FY2024Q1（買収直後）: サブスクリプション転換率 30%</w:t>
        <w:br/>
        <w:t>FY2024Q2-Q3:         従量課金→サブスクへの顧客誘導強化</w:t>
        <w:br/>
        <w:t>FY2024Q4:            転換率 60%到達（予定より6ヶ月早い）</w:t>
        <w:br/>
        <w:t>FY2025（現在推計）:  転換率 80-85%到達 ★重要マイルストーン</w:t>
        <w:br/>
        <w:t>FY2026目標:          95%転換完了 → ARR $20B突破を目標</w:t>
        <w:br/>
        <w:t>━━━━━━━━━━━━━━━━━━━━━━━━━━━━━━━━━━━━</w:t>
      </w:r>
    </w:p>
    <w:p/>
    <w:p>
      <w:pPr>
        <w:pStyle w:val="Heading4"/>
      </w:pPr>
      <w:r>
        <w:rPr>
          <w:rFonts w:ascii="Meiryo UI" w:hAnsi="Meiryo UI"/>
          <w:color w:val="2E74B5"/>
        </w:rPr>
        <w:t>利益率改善の定量分析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VMware買収前（FY2023）</w:t>
            </w:r>
          </w:p>
        </w:tc>
        <w:tc>
          <w:tcPr>
            <w:tcW w:type="dxa" w:w="2351"/>
            <w:shd w:val="clear" w:color="auto" w:fill="2E74B5"/>
          </w:tcPr>
          <w:p>
            <w:r>
              <w:rPr>
                <w:rFonts w:ascii="Meiryo UI" w:hAnsi="Meiryo UI"/>
                <w:b/>
                <w:color w:val="FFFFFF"/>
                <w:sz w:val="18"/>
              </w:rPr>
              <w:t>FY2025推計</w:t>
            </w:r>
          </w:p>
        </w:tc>
        <w:tc>
          <w:tcPr>
            <w:tcW w:type="dxa" w:w="2351"/>
            <w:shd w:val="clear" w:color="auto" w:fill="2E74B5"/>
          </w:tcPr>
          <w:p>
            <w:r>
              <w:rPr>
                <w:rFonts w:ascii="Meiryo UI" w:hAnsi="Meiryo UI"/>
                <w:b/>
                <w:color w:val="FFFFFF"/>
                <w:sz w:val="18"/>
              </w:rPr>
              <w:t>FY2026目標</w:t>
            </w:r>
          </w:p>
        </w:tc>
      </w:tr>
      <w:tr>
        <w:tc>
          <w:tcPr>
            <w:tcW w:type="dxa" w:w="2351"/>
          </w:tcPr>
          <w:p>
            <w:r>
              <w:rPr>
                <w:rFonts w:ascii="Meiryo UI" w:hAnsi="Meiryo UI"/>
                <w:sz w:val="18"/>
              </w:rPr>
              <w:t>ソフトウェア営業利益率</w:t>
            </w:r>
          </w:p>
        </w:tc>
        <w:tc>
          <w:tcPr>
            <w:tcW w:type="dxa" w:w="2351"/>
          </w:tcPr>
          <w:p>
            <w:r>
              <w:rPr>
                <w:rFonts w:ascii="Meiryo UI" w:hAnsi="Meiryo UI"/>
                <w:sz w:val="18"/>
              </w:rPr>
              <w:t>35-40%</w:t>
            </w:r>
          </w:p>
        </w:tc>
        <w:tc>
          <w:tcPr>
            <w:tcW w:type="dxa" w:w="2351"/>
          </w:tcPr>
          <w:p>
            <w:r>
              <w:rPr>
                <w:rFonts w:ascii="Meiryo UI" w:hAnsi="Meiryo UI"/>
                <w:sz w:val="18"/>
              </w:rPr>
              <w:t>68-72%</w:t>
            </w:r>
          </w:p>
        </w:tc>
        <w:tc>
          <w:tcPr>
            <w:tcW w:type="dxa" w:w="2351"/>
          </w:tcPr>
          <w:p>
            <w:r>
              <w:rPr>
                <w:rFonts w:ascii="Meiryo UI" w:hAnsi="Meiryo UI"/>
                <w:sz w:val="18"/>
              </w:rPr>
              <w:t>75%+</w:t>
            </w:r>
          </w:p>
        </w:tc>
      </w:tr>
      <w:tr>
        <w:tc>
          <w:tcPr>
            <w:tcW w:type="dxa" w:w="2351"/>
            <w:shd w:val="clear" w:color="auto" w:fill="DDEBF7"/>
          </w:tcPr>
          <w:p>
            <w:r>
              <w:rPr>
                <w:rFonts w:ascii="Meiryo UI" w:hAnsi="Meiryo UI"/>
                <w:sz w:val="18"/>
              </w:rPr>
              <w:t>VMware単体ARR</w:t>
            </w:r>
          </w:p>
        </w:tc>
        <w:tc>
          <w:tcPr>
            <w:tcW w:type="dxa" w:w="2351"/>
            <w:shd w:val="clear" w:color="auto" w:fill="DDEBF7"/>
          </w:tcPr>
          <w:p>
            <w:r>
              <w:rPr>
                <w:rFonts w:ascii="Meiryo UI" w:hAnsi="Meiryo UI"/>
                <w:sz w:val="18"/>
              </w:rPr>
              <w:t>$3.8B（買収時）</w:t>
            </w:r>
          </w:p>
        </w:tc>
        <w:tc>
          <w:tcPr>
            <w:tcW w:type="dxa" w:w="2351"/>
            <w:shd w:val="clear" w:color="auto" w:fill="DDEBF7"/>
          </w:tcPr>
          <w:p>
            <w:r>
              <w:rPr>
                <w:rFonts w:ascii="Meiryo UI" w:hAnsi="Meiryo UI"/>
                <w:sz w:val="18"/>
              </w:rPr>
              <w:t>$13-15B</w:t>
            </w:r>
          </w:p>
        </w:tc>
        <w:tc>
          <w:tcPr>
            <w:tcW w:type="dxa" w:w="2351"/>
            <w:shd w:val="clear" w:color="auto" w:fill="DDEBF7"/>
          </w:tcPr>
          <w:p>
            <w:r>
              <w:rPr>
                <w:rFonts w:ascii="Meiryo UI" w:hAnsi="Meiryo UI"/>
                <w:sz w:val="18"/>
              </w:rPr>
              <w:t>$18-20B</w:t>
            </w:r>
          </w:p>
        </w:tc>
      </w:tr>
      <w:tr>
        <w:tc>
          <w:tcPr>
            <w:tcW w:type="dxa" w:w="2351"/>
          </w:tcPr>
          <w:p>
            <w:r>
              <w:rPr>
                <w:rFonts w:ascii="Meiryo UI" w:hAnsi="Meiryo UI"/>
                <w:sz w:val="18"/>
              </w:rPr>
              <w:t>ソフトウェアFCFマージン</w:t>
            </w:r>
          </w:p>
        </w:tc>
        <w:tc>
          <w:tcPr>
            <w:tcW w:type="dxa" w:w="2351"/>
          </w:tcPr>
          <w:p>
            <w:r>
              <w:rPr>
                <w:rFonts w:ascii="Meiryo UI" w:hAnsi="Meiryo UI"/>
                <w:sz w:val="18"/>
              </w:rPr>
              <w:t>45%</w:t>
            </w:r>
          </w:p>
        </w:tc>
        <w:tc>
          <w:tcPr>
            <w:tcW w:type="dxa" w:w="2351"/>
          </w:tcPr>
          <w:p>
            <w:r>
              <w:rPr>
                <w:rFonts w:ascii="Meiryo UI" w:hAnsi="Meiryo UI"/>
                <w:sz w:val="18"/>
              </w:rPr>
              <w:t>68%</w:t>
            </w:r>
          </w:p>
        </w:tc>
        <w:tc>
          <w:tcPr>
            <w:tcW w:type="dxa" w:w="2351"/>
          </w:tcPr>
          <w:p>
            <w:r>
              <w:rPr>
                <w:rFonts w:ascii="Meiryo UI" w:hAnsi="Meiryo UI"/>
                <w:sz w:val="18"/>
              </w:rPr>
              <w:t>72%</w:t>
            </w:r>
          </w:p>
        </w:tc>
      </w:tr>
    </w:tbl>
    <w:p/>
    <w:p>
      <w:pPr>
        <w:pStyle w:val="Heading4"/>
      </w:pPr>
      <w:r>
        <w:rPr>
          <w:rFonts w:ascii="Meiryo UI" w:hAnsi="Meiryo UI"/>
          <w:color w:val="2E74B5"/>
        </w:rPr>
        <w:t>FY2026/FY2027 FCF試算（VMware効果を含む全社）</w:t>
      </w:r>
    </w:p>
    <w:p/>
    <w:p>
      <w:pPr>
        <w:shd w:val="clear" w:color="auto" w:fill="F2F2F2"/>
      </w:pPr>
      <w:r>
        <w:rPr>
          <w:rFonts w:ascii="Courier New" w:hAnsi="Courier New"/>
          <w:sz w:val="16"/>
        </w:rPr>
        <w:t>FCF試算モデル（単位：$B）</w:t>
        <w:br/>
        <w:t>━━━━━━━━━━━━━━━━━━━━━━━━━━━━━━━━━━━━━━━━━━━━</w:t>
        <w:br/>
        <w:t xml:space="preserve">                        FY2025E    FY2026E    FY2027E</w:t>
        <w:br/>
        <w:t>━━━━━━━━━━━━━━━━━━━━━━━━━━━━━━━━━━━━━━━━━━━━</w:t>
        <w:br/>
        <w:t>売上高                   $42.0B     $50.5B     $62.0B</w:t>
        <w:br/>
        <w:t xml:space="preserve">  ├─ 半導体              $24.4B     $30.0B     $38.0B</w:t>
        <w:br/>
        <w:t xml:space="preserve">  └─ ソフトウェア(VMware) $17.6B     $20.5B     $24.0B</w:t>
        <w:br/>
        <w:br/>
        <w:t>EBITDA（マージン55%）    $23.1B     $28.0B     $34.1B</w:t>
        <w:br/>
        <w:t xml:space="preserve">  うちソフトウェア        $12.0B     $14.8B     $17.5B</w:t>
        <w:br/>
        <w:t xml:space="preserve">  うち半導体             $11.1B     $13.2B     $16.6B</w:t>
        <w:br/>
        <w:br/>
        <w:t>CapEx（売上比4%）         -$1.7B    -$2.0B     -$2.5B</w:t>
        <w:br/>
        <w:t>運転資本変動・税等         -$3.5B    -$4.2B     -$5.1B</w:t>
        <w:br/>
        <w:t>利払い（有利子負債）       -$2.8B    -$2.5B     -$2.2B</w:t>
        <w:br/>
        <w:t>━━━━━━━━━━━━━━━━━━━━━━━━━━━━━━━━━━━━━━━━━━━━</w:t>
        <w:br/>
        <w:t>FCF（推計）              $15.1B    $19.3B     $24.3B</w:t>
        <w:br/>
        <w:t>FCFマージン              35.9%     38.2%      39.2%</w:t>
        <w:br/>
        <w:t>━━━━━━━━━━━━━━━━━━━━━━━━━━━━━━━━━━━━━━━━━━━━</w:t>
        <w:br/>
        <w:t>※FCFは株主帰属ベース（利払い後、税引後概算）</w:t>
      </w:r>
    </w:p>
    <w:p/>
    <w:p>
      <w:r>
        <w:rPr>
          <w:rFonts w:ascii="Meiryo UI" w:hAnsi="Meiryo UI"/>
          <w:sz w:val="20"/>
        </w:rPr>
        <w:t>&gt; ポイント： VMwareのサブスクリプション収益は「先払い＋解約困難」の性質を持つため、FCFの質が高い。FY2027のFCFマージン39%はS&amp;P500テック企業上位10%水準。</w:t>
      </w:r>
    </w:p>
    <w:p/>
    <w:p>
      <w:r>
        <w:t>──────────────────────────────────────────────────</w:t>
      </w:r>
    </w:p>
    <w:p/>
    <w:p>
      <w:pPr>
        <w:pStyle w:val="Heading3"/>
      </w:pPr>
      <w:r>
        <w:rPr>
          <w:rFonts w:ascii="Meiryo UI" w:hAnsi="Meiryo UI"/>
          <w:color w:val="2E74B5"/>
        </w:rPr>
        <w:t>③ Anthropic×Google×Broadcom提携の定量インパクト</w:t>
      </w:r>
    </w:p>
    <w:p/>
    <w:p>
      <w:pPr>
        <w:pStyle w:val="Heading4"/>
      </w:pPr>
      <w:r>
        <w:rPr>
          <w:rFonts w:ascii="Meiryo UI" w:hAnsi="Meiryo UI"/>
          <w:color w:val="2E74B5"/>
        </w:rPr>
        <w:t>年率$300億コンピュート投資のAVGO受益額試算</w:t>
      </w:r>
    </w:p>
    <w:p/>
    <w:p>
      <w:pPr>
        <w:shd w:val="clear" w:color="auto" w:fill="F2F2F2"/>
      </w:pPr>
      <w:r>
        <w:rPr>
          <w:rFonts w:ascii="Courier New" w:hAnsi="Courier New"/>
          <w:sz w:val="16"/>
        </w:rPr>
        <w:t>コンピュート投資$300B/年（2027年稼働確定）の分解</w:t>
        <w:br/>
        <w:br/>
        <w:t>Step 1: AVGOのアドレサブル市場特定</w:t>
        <w:br/>
        <w:t>━━━━━━━━━━━━━━━━━━━━━━━━━━━━━━━━━━━━</w:t>
        <w:br/>
        <w:t>投資$300B の内訳（推計）</w:t>
        <w:br/>
        <w:t xml:space="preserve">  ├─ データセンター建設・電力・冷却     35% = $105B  →AVGO非対象</w:t>
        <w:br/>
        <w:t xml:space="preserve">  ├─ AI加速チップ（GPU/TPU/ASIC）      30% = $90B   →AVGO対象★</w:t>
        <w:br/>
        <w:t xml:space="preserve">  ├─ ネットワーキング機器              10% = $30B   →AVGO対象★</w:t>
        <w:br/>
        <w:t xml:space="preserve">  ├─ ストレージ・サーバー             15% = $45B   →AVGO一部対象</w:t>
        <w:br/>
        <w:t xml:space="preserve">  └─ ソフトウェア・クラウド           10% = $30B   →AVGO対象（VMware）</w:t>
        <w:br/>
        <w:t>━━━━━━━━━━━━━━━━━━━━━━━━━━━━━━━━━━━━</w:t>
        <w:br/>
        <w:br/>
        <w:t>Step 2: AVGOのシェア推計（AVGO対象市場）</w:t>
        <w:br/>
        <w:t xml:space="preserve">  AIチップ（$90B）      AVGOシェア 20-25% → $18-22.5B</w:t>
        <w:br/>
        <w:t xml:space="preserve">  ネットワーク（$30B）   AVGOシェア 45-55% → $13.5-16.5B</w:t>
        <w:br/>
        <w:t xml:space="preserve">  その他（$45B）         AVGOシェア 5-10%  →  $2.3-4.5B</w:t>
        <w:br/>
        <w:t>━━━━━━━━━━━━━━━━━━━━━━━━━━━━━━━━━━━━</w:t>
        <w:br/>
        <w:t>AVGOへの落とし分（年率推計）: $33.8-43.5B</w:t>
        <w:br/>
        <w:t>━━━━━━━━━━━━━━━━━━━━━━━━━━━━━━━━━━━━</w:t>
        <w:br/>
        <w:br/>
        <w:t>Step 3: タイムライン（認識ベース）</w:t>
        <w:br/>
        <w:t xml:space="preserve">  FY2025: 契約確定・設計フェーズ → 売上貢献 $5-8B</w:t>
        <w:br/>
        <w:t xml:space="preserve">  FY2026: 量産準備・部品出荷開始 → 売上貢献 $15-20B</w:t>
        <w:br/>
        <w:t xml:space="preserve">  FY2027: 複数GW稼働 → フル貢献  → 売上貢献 $25-35B ★</w:t>
        <w:br/>
        <w:br/>
        <w:t>Step 4: 粗利益貢献（カスタムASIC 粗利60%想定）</w:t>
        <w:br/>
        <w:t xml:space="preserve">  FY2027: $25-35B × 60% = $15-21B の粗利益</w:t>
      </w:r>
    </w:p>
    <w:p/>
    <w:p>
      <w:r>
        <w:rPr>
          <w:rFonts w:ascii="Meiryo UI" w:hAnsi="Meiryo UI"/>
          <w:sz w:val="20"/>
        </w:rPr>
        <w:t>結論: Anthropic×Google×Broadcom提携のAVGOへの定量インパクトは、フル稼働の2027年に年間売上への$25-35B追加貢献（うち粗利$15-21B）が見込まれる。これは現在のAVGO全社売上を60〜83%上回る規模であり、本提携が「ゲームチェンジャー」である理由が数値で明確になる。</w:t>
      </w:r>
    </w:p>
    <w:p/>
    <w:p>
      <w:r>
        <w:t>──────────────────────────────────────────────────</w:t>
      </w:r>
    </w:p>
    <w:p/>
    <w:p>
      <w:pPr>
        <w:pStyle w:val="Heading3"/>
      </w:pPr>
      <w:r>
        <w:rPr>
          <w:rFonts w:ascii="Meiryo UI" w:hAnsi="Meiryo UI"/>
          <w:color w:val="2E74B5"/>
        </w:rPr>
        <w:t>④ バリュエーション：多角的評価</w:t>
      </w:r>
    </w:p>
    <w:p/>
    <w:p>
      <w:pPr>
        <w:pStyle w:val="Heading4"/>
      </w:pPr>
      <w:r>
        <w:rPr>
          <w:rFonts w:ascii="Meiryo UI" w:hAnsi="Meiryo UI"/>
          <w:color w:val="2E74B5"/>
        </w:rPr>
        <w:t>マルチプル比較（AVGO vs NVDA vs インテル）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AVGO</w:t>
            </w:r>
          </w:p>
        </w:tc>
        <w:tc>
          <w:tcPr>
            <w:tcW w:type="dxa" w:w="1881"/>
            <w:shd w:val="clear" w:color="auto" w:fill="2E74B5"/>
          </w:tcPr>
          <w:p>
            <w:r>
              <w:rPr>
                <w:rFonts w:ascii="Meiryo UI" w:hAnsi="Meiryo UI"/>
                <w:b/>
                <w:color w:val="FFFFFF"/>
                <w:sz w:val="18"/>
              </w:rPr>
              <w:t>NVDA</w:t>
            </w:r>
          </w:p>
        </w:tc>
        <w:tc>
          <w:tcPr>
            <w:tcW w:type="dxa" w:w="1881"/>
            <w:shd w:val="clear" w:color="auto" w:fill="2E74B5"/>
          </w:tcPr>
          <w:p>
            <w:r>
              <w:rPr>
                <w:rFonts w:ascii="Meiryo UI" w:hAnsi="Meiryo UI"/>
                <w:b/>
                <w:color w:val="FFFFFF"/>
                <w:sz w:val="18"/>
              </w:rPr>
              <w:t>INTC</w:t>
            </w:r>
          </w:p>
        </w:tc>
        <w:tc>
          <w:tcPr>
            <w:tcW w:type="dxa" w:w="1881"/>
            <w:shd w:val="clear" w:color="auto" w:fill="2E74B5"/>
          </w:tcPr>
          <w:p>
            <w:r>
              <w:rPr>
                <w:rFonts w:ascii="Meiryo UI" w:hAnsi="Meiryo UI"/>
                <w:b/>
                <w:color w:val="FFFFFF"/>
                <w:sz w:val="18"/>
              </w:rPr>
              <w:t>セクター平均</w:t>
            </w:r>
          </w:p>
        </w:tc>
      </w:tr>
      <w:tr>
        <w:tc>
          <w:tcPr>
            <w:tcW w:type="dxa" w:w="1881"/>
          </w:tcPr>
          <w:p>
            <w:r>
              <w:rPr>
                <w:rFonts w:ascii="Meiryo UI" w:hAnsi="Meiryo UI"/>
                <w:sz w:val="18"/>
              </w:rPr>
              <w:t>PER</w:t>
            </w:r>
          </w:p>
        </w:tc>
        <w:tc>
          <w:tcPr>
            <w:tcW w:type="dxa" w:w="1881"/>
          </w:tcPr>
          <w:p>
            <w:r>
              <w:rPr>
                <w:rFonts w:ascii="Meiryo UI" w:hAnsi="Meiryo UI"/>
                <w:sz w:val="18"/>
              </w:rPr>
              <w:t>65.1倍</w:t>
            </w:r>
          </w:p>
        </w:tc>
        <w:tc>
          <w:tcPr>
            <w:tcW w:type="dxa" w:w="1881"/>
          </w:tcPr>
          <w:p>
            <w:r>
              <w:rPr>
                <w:rFonts w:ascii="Meiryo UI" w:hAnsi="Meiryo UI"/>
                <w:sz w:val="18"/>
              </w:rPr>
              <w:t>35-40倍※</w:t>
            </w:r>
          </w:p>
        </w:tc>
        <w:tc>
          <w:tcPr>
            <w:tcW w:type="dxa" w:w="1881"/>
          </w:tcPr>
          <w:p>
            <w:r>
              <w:rPr>
                <w:rFonts w:ascii="Meiryo UI" w:hAnsi="Meiryo UI"/>
                <w:sz w:val="18"/>
              </w:rPr>
              <w:t>赤字</w:t>
            </w:r>
          </w:p>
        </w:tc>
        <w:tc>
          <w:tcPr>
            <w:tcW w:type="dxa" w:w="1881"/>
          </w:tcPr>
          <w:p>
            <w:r>
              <w:rPr>
                <w:rFonts w:ascii="Meiryo UI" w:hAnsi="Meiryo UI"/>
                <w:sz w:val="18"/>
              </w:rPr>
              <w:t>30-45倍</w:t>
            </w:r>
          </w:p>
        </w:tc>
      </w:tr>
      <w:tr>
        <w:tc>
          <w:tcPr>
            <w:tcW w:type="dxa" w:w="1881"/>
            <w:shd w:val="clear" w:color="auto" w:fill="DDEBF7"/>
          </w:tcPr>
          <w:p>
            <w:r>
              <w:rPr>
                <w:rFonts w:ascii="Meiryo UI" w:hAnsi="Meiryo UI"/>
                <w:sz w:val="18"/>
              </w:rPr>
              <w:t>PBR</w:t>
            </w:r>
          </w:p>
        </w:tc>
        <w:tc>
          <w:tcPr>
            <w:tcW w:type="dxa" w:w="1881"/>
            <w:shd w:val="clear" w:color="auto" w:fill="DDEBF7"/>
          </w:tcPr>
          <w:p>
            <w:r>
              <w:rPr>
                <w:rFonts w:ascii="Meiryo UI" w:hAnsi="Meiryo UI"/>
                <w:sz w:val="18"/>
              </w:rPr>
              <w:t>19.80倍</w:t>
            </w:r>
          </w:p>
        </w:tc>
        <w:tc>
          <w:tcPr>
            <w:tcW w:type="dxa" w:w="1881"/>
            <w:shd w:val="clear" w:color="auto" w:fill="DDEBF7"/>
          </w:tcPr>
          <w:p>
            <w:r>
              <w:rPr>
                <w:rFonts w:ascii="Meiryo UI" w:hAnsi="Meiryo UI"/>
                <w:sz w:val="18"/>
              </w:rPr>
              <w:t>40-50倍※</w:t>
            </w:r>
          </w:p>
        </w:tc>
        <w:tc>
          <w:tcPr>
            <w:tcW w:type="dxa" w:w="1881"/>
            <w:shd w:val="clear" w:color="auto" w:fill="DDEBF7"/>
          </w:tcPr>
          <w:p>
            <w:r>
              <w:rPr>
                <w:rFonts w:ascii="Meiryo UI" w:hAnsi="Meiryo UI"/>
                <w:sz w:val="18"/>
              </w:rPr>
              <w:t>1-2倍</w:t>
            </w:r>
          </w:p>
        </w:tc>
        <w:tc>
          <w:tcPr>
            <w:tcW w:type="dxa" w:w="1881"/>
            <w:shd w:val="clear" w:color="auto" w:fill="DDEBF7"/>
          </w:tcPr>
          <w:p>
            <w:r>
              <w:rPr>
                <w:rFonts w:ascii="Meiryo UI" w:hAnsi="Meiryo UI"/>
                <w:sz w:val="18"/>
              </w:rPr>
              <w:t>8-15倍</w:t>
            </w:r>
          </w:p>
        </w:tc>
      </w:tr>
      <w:tr>
        <w:tc>
          <w:tcPr>
            <w:tcW w:type="dxa" w:w="1881"/>
          </w:tcPr>
          <w:p>
            <w:r>
              <w:rPr>
                <w:rFonts w:ascii="Meiryo UI" w:hAnsi="Meiryo UI"/>
                <w:sz w:val="18"/>
              </w:rPr>
              <w:t>EV/EBITDA</w:t>
            </w:r>
          </w:p>
        </w:tc>
        <w:tc>
          <w:tcPr>
            <w:tcW w:type="dxa" w:w="1881"/>
          </w:tcPr>
          <w:p>
            <w:r>
              <w:rPr>
                <w:rFonts w:ascii="Meiryo UI" w:hAnsi="Meiryo UI"/>
                <w:sz w:val="18"/>
              </w:rPr>
              <w:t>約28-32倍</w:t>
            </w:r>
          </w:p>
        </w:tc>
        <w:tc>
          <w:tcPr>
            <w:tcW w:type="dxa" w:w="1881"/>
          </w:tcPr>
          <w:p>
            <w:r>
              <w:rPr>
                <w:rFonts w:ascii="Meiryo UI" w:hAnsi="Meiryo UI"/>
                <w:sz w:val="18"/>
              </w:rPr>
              <w:t>25-30倍※</w:t>
            </w:r>
          </w:p>
        </w:tc>
        <w:tc>
          <w:tcPr>
            <w:tcW w:type="dxa" w:w="1881"/>
          </w:tcPr>
          <w:p>
            <w:r>
              <w:rPr>
                <w:rFonts w:ascii="Meiryo UI" w:hAnsi="Meiryo UI"/>
                <w:sz w:val="18"/>
              </w:rPr>
              <w:t>N/A</w:t>
            </w:r>
          </w:p>
        </w:tc>
        <w:tc>
          <w:tcPr>
            <w:tcW w:type="dxa" w:w="1881"/>
          </w:tcPr>
          <w:p>
            <w:r>
              <w:rPr>
                <w:rFonts w:ascii="Meiryo UI" w:hAnsi="Meiryo UI"/>
                <w:sz w:val="18"/>
              </w:rPr>
              <w:t>15-20倍</w:t>
            </w:r>
          </w:p>
        </w:tc>
      </w:tr>
      <w:tr>
        <w:tc>
          <w:tcPr>
            <w:tcW w:type="dxa" w:w="1881"/>
            <w:shd w:val="clear" w:color="auto" w:fill="DDEBF7"/>
          </w:tcPr>
          <w:p>
            <w:r>
              <w:rPr>
                <w:rFonts w:ascii="Meiryo UI" w:hAnsi="Meiryo UI"/>
                <w:sz w:val="18"/>
              </w:rPr>
              <w:t>FCFイールド</w:t>
            </w:r>
          </w:p>
        </w:tc>
        <w:tc>
          <w:tcPr>
            <w:tcW w:type="dxa" w:w="1881"/>
            <w:shd w:val="clear" w:color="auto" w:fill="DDEBF7"/>
          </w:tcPr>
          <w:p>
            <w:r>
              <w:rPr>
                <w:rFonts w:ascii="Meiryo UI" w:hAnsi="Meiryo UI"/>
                <w:sz w:val="18"/>
              </w:rPr>
              <w:t>約0.97%</w:t>
            </w:r>
          </w:p>
        </w:tc>
        <w:tc>
          <w:tcPr>
            <w:tcW w:type="dxa" w:w="1881"/>
            <w:shd w:val="clear" w:color="auto" w:fill="DDEBF7"/>
          </w:tcPr>
          <w:p>
            <w:r>
              <w:rPr>
                <w:rFonts w:ascii="Meiryo UI" w:hAnsi="Meiryo UI"/>
                <w:sz w:val="18"/>
              </w:rPr>
              <w:t>約1.5%※</w:t>
            </w:r>
          </w:p>
        </w:tc>
        <w:tc>
          <w:tcPr>
            <w:tcW w:type="dxa" w:w="1881"/>
            <w:shd w:val="clear" w:color="auto" w:fill="DDEBF7"/>
          </w:tcPr>
          <w:p>
            <w:r>
              <w:rPr>
                <w:rFonts w:ascii="Meiryo UI" w:hAnsi="Meiryo UI"/>
                <w:sz w:val="18"/>
              </w:rPr>
              <w:t>N/A</w:t>
            </w:r>
          </w:p>
        </w:tc>
        <w:tc>
          <w:tcPr>
            <w:tcW w:type="dxa" w:w="1881"/>
            <w:shd w:val="clear" w:color="auto" w:fill="DDEBF7"/>
          </w:tcPr>
          <w:p>
            <w:r>
              <w:rPr>
                <w:rFonts w:ascii="Meiryo UI" w:hAnsi="Meiryo UI"/>
                <w:sz w:val="18"/>
              </w:rPr>
              <w:t>2-4%</w:t>
            </w:r>
          </w:p>
        </w:tc>
      </w:tr>
      <w:tr>
        <w:tc>
          <w:tcPr>
            <w:tcW w:type="dxa" w:w="1881"/>
          </w:tcPr>
          <w:p>
            <w:r>
              <w:rPr>
                <w:rFonts w:ascii="Meiryo UI" w:hAnsi="Meiryo UI"/>
                <w:sz w:val="18"/>
              </w:rPr>
              <w:t>ROE</w:t>
            </w:r>
          </w:p>
        </w:tc>
        <w:tc>
          <w:tcPr>
            <w:tcW w:type="dxa" w:w="1881"/>
          </w:tcPr>
          <w:p>
            <w:r>
              <w:rPr>
                <w:rFonts w:ascii="Meiryo UI" w:hAnsi="Meiryo UI"/>
                <w:sz w:val="18"/>
              </w:rPr>
              <w:t>33.4%</w:t>
            </w:r>
          </w:p>
        </w:tc>
        <w:tc>
          <w:tcPr>
            <w:tcW w:type="dxa" w:w="1881"/>
          </w:tcPr>
          <w:p>
            <w:r>
              <w:rPr>
                <w:rFonts w:ascii="Meiryo UI" w:hAnsi="Meiryo UI"/>
                <w:sz w:val="18"/>
              </w:rPr>
              <w:t>100%+ ※</w:t>
            </w:r>
          </w:p>
        </w:tc>
        <w:tc>
          <w:tcPr>
            <w:tcW w:type="dxa" w:w="1881"/>
          </w:tcPr>
          <w:p>
            <w:r>
              <w:rPr>
                <w:rFonts w:ascii="Meiryo UI" w:hAnsi="Meiryo UI"/>
                <w:sz w:val="18"/>
              </w:rPr>
              <w:t>-%</w:t>
            </w:r>
          </w:p>
        </w:tc>
        <w:tc>
          <w:tcPr>
            <w:tcW w:type="dxa" w:w="1881"/>
          </w:tcPr>
          <w:p>
            <w:r>
              <w:rPr>
                <w:rFonts w:ascii="Meiryo UI" w:hAnsi="Meiryo UI"/>
                <w:sz w:val="18"/>
              </w:rPr>
              <w:t>20-30%</w:t>
            </w:r>
          </w:p>
        </w:tc>
      </w:tr>
    </w:tbl>
    <w:p/>
    <w:p>
      <w:r>
        <w:rPr>
          <w:rFonts w:ascii="Meiryo UI" w:hAnsi="Meiryo UI"/>
          <w:sz w:val="20"/>
        </w:rPr>
        <w:t>&gt; ※NVDAは独自推計（参照値）。AVGOのPER 65.1倍はGrowth Premium込みだが、FCFイールド0.97%は割高感が強い。</w:t>
      </w:r>
    </w:p>
    <w:p/>
    <w:p>
      <w:pPr>
        <w:pStyle w:val="Heading4"/>
      </w:pPr>
      <w:r>
        <w:rPr>
          <w:rFonts w:ascii="Meiryo UI" w:hAnsi="Meiryo UI"/>
          <w:color w:val="2E74B5"/>
        </w:rPr>
        <w:t>AVGOバリュエーション小括</w:t>
      </w:r>
    </w:p>
    <w:p/>
    <w:p>
      <w:pPr>
        <w:shd w:val="clear" w:color="auto" w:fill="F2F2F2"/>
      </w:pPr>
      <w:r>
        <w:rPr>
          <w:rFonts w:ascii="Courier New" w:hAnsi="Courier New"/>
          <w:sz w:val="16"/>
        </w:rPr>
        <w:t>PERベース:    FY2025 EPS $5 × 65.1倍 = $325.5（≒ 現在株価$334 とほぼ整合）</w:t>
        <w:br/>
        <w:t xml:space="preserve">              FY2026 EPS推計$7.5 × 50倍 = $375（妥当レンジ上限）</w:t>
        <w:br/>
        <w:br/>
        <w:t>EV/EBITDAベース:</w:t>
        <w:br/>
        <w:t xml:space="preserve">  EV = 時価総額($1.55T) + 有利子負債($69B) - 現金($13B) ≈ $1.606T</w:t>
        <w:br/>
        <w:t xml:space="preserve">  EBITDA（FY2025推計） ≈ $23.1B</w:t>
        <w:br/>
        <w:t xml:space="preserve">  現在EV/EBITDA ≈ 69.5倍 → 「プレミアム水準」</w:t>
        <w:br/>
        <w:br/>
        <w:t>FCFイールドベース:</w:t>
        <w:br/>
        <w:t xml:space="preserve">  FCF/株 = $15.1B ÷ 46.4億株 ≈ $3.25</w:t>
        <w:br/>
        <w:t xml:space="preserve">  FCFイールド = $3.25 / $334 ≈ 0.97%（国債4.3%と比較すると割高）</w:t>
        <w:br/>
        <w:t xml:space="preserve">  ※ FCFイールド逆数（FCF倍率）= 102.8倍</w:t>
      </w:r>
    </w:p>
    <w:p/>
    <w:p>
      <w:r>
        <w:rPr>
          <w:rFonts w:ascii="Meiryo UI" w:hAnsi="Meiryo UI"/>
          <w:sz w:val="20"/>
        </w:rPr>
        <w:t>バリュエーション総評： 現在株価$334は、FY2025実績ベースでは割高。FY2027の成長を織り込んだ「先行買い」の状態。AI需要が計画通りなら正当化できるが、セーフティマージンは薄い。</w:t>
      </w:r>
    </w:p>
    <w:p/>
    <w:p>
      <w:r>
        <w:t>──────────────────────────────────────────────────</w:t>
      </w:r>
    </w:p>
    <w:p/>
    <w:p>
      <w:pPr>
        <w:pStyle w:val="Heading3"/>
      </w:pPr>
      <w:r>
        <w:rPr>
          <w:rFonts w:ascii="Meiryo UI" w:hAnsi="Meiryo UI"/>
          <w:color w:val="2E74B5"/>
        </w:rPr>
        <w:t>⑤ リスクシナリオ：定量ストレステスト</w:t>
      </w:r>
    </w:p>
    <w:p/>
    <w:p>
      <w:pPr>
        <w:pStyle w:val="Heading4"/>
      </w:pPr>
      <w:r>
        <w:rPr>
          <w:rFonts w:ascii="Meiryo UI" w:hAnsi="Meiryo UI"/>
          <w:color w:val="2E74B5"/>
        </w:rPr>
        <w:t>Risk A: 中国売上（約25%）への制裁リスク</w:t>
      </w:r>
    </w:p>
    <w:p/>
    <w:p>
      <w:pPr>
        <w:shd w:val="clear" w:color="auto" w:fill="F2F2F2"/>
      </w:pPr>
      <w:r>
        <w:rPr>
          <w:rFonts w:ascii="Courier New" w:hAnsi="Courier New"/>
          <w:sz w:val="16"/>
        </w:rPr>
        <w:t>前提: AVGO全社売上$42B × 中国比率25% = $10.5B</w:t>
        <w:br/>
        <w:t>━━━━━━━━━━━━━━━━━━━━━━━━━━━━━━━━━━━━━</w:t>
        <w:br/>
        <w:t>シナリオ①（部分制裁：ByteDance・Huawei向け追加制限）</w:t>
        <w:br/>
        <w:t xml:space="preserve">  中国売上 30%減少: -$3.15B 売上損失</w:t>
        <w:br/>
        <w:t xml:space="preserve">  営業利益影響（利益率50%想定）: -$1.58B</w:t>
        <w:br/>
        <w:t xml:space="preserve">  EPS影響: -$0.34/株 → PER 65倍で株価 -$22（▲6.6%）</w:t>
        <w:br/>
        <w:br/>
        <w:t>シナリオ②（全面禁輸：エンティティリスト拡大）</w:t>
        <w:br/>
        <w:t xml:space="preserve">  中国売上 80%消失: -$8.4B 売上損失</w:t>
        <w:br/>
        <w:t xml:space="preserve">  営業利益影響: -$4.2B</w:t>
        <w:br/>
        <w:t xml:space="preserve">  EPS影響: -$0.91/株 → 株価 -$59（▲17.7%） ← 最大ストレス</w:t>
        <w:br/>
        <w:t>━━━━━━━━━━━━━━━━━━━━━━━━━━━━━━━━━━━━━</w:t>
      </w:r>
    </w:p>
    <w:p/>
    <w:p>
      <w:pPr>
        <w:pStyle w:val="Heading4"/>
      </w:pPr>
      <w:r>
        <w:rPr>
          <w:rFonts w:ascii="Meiryo UI" w:hAnsi="Meiryo UI"/>
          <w:color w:val="2E74B5"/>
        </w:rPr>
        <w:t>Risk B: カスタムASIC顧客の内製化リスク</w:t>
      </w:r>
    </w:p>
    <w:p/>
    <w:p>
      <w:pPr>
        <w:shd w:val="clear" w:color="auto" w:fill="F2F2F2"/>
      </w:pPr>
      <w:r>
        <w:rPr>
          <w:rFonts w:ascii="Courier New" w:hAnsi="Courier New"/>
          <w:sz w:val="16"/>
        </w:rPr>
        <w:t>Google・Meta・Appleはそれぞれ自社チップ設計チームを持つ。</w:t>
        <w:br/>
        <w:t>ただしAVGOはtapeout→量産の実装レイヤーを担当しており、</w:t>
        <w:br/>
        <w:t>顧客が「設計」をやっても「製造・統合」はAVGOに依存。</w:t>
        <w:br/>
        <w:br/>
        <w:t>内製化確率推計（3年以内）:</w:t>
        <w:br/>
        <w:t xml:space="preserve">  Google: 30%（Googleはin-houseをすでに有するが製造をAVGOに委託）</w:t>
        <w:br/>
        <w:t xml:space="preserve">  Meta:   20%（MTIA v2以降の方針次第）</w:t>
        <w:br/>
        <w:t xml:space="preserve">  Apple:  10%（RF/パッケージングはAVGOの独壇場）</w:t>
        <w:br/>
        <w:br/>
        <w:t>最悪ケース（Google内製化完全移行）:</w:t>
        <w:br/>
        <w:t xml:space="preserve">  Google TPU売上 $4-5B/年消失</w:t>
        <w:br/>
        <w:t xml:space="preserve">  株価インパクト: ▲$50-65（▲15-20%）</w:t>
        <w:br/>
        <w:t xml:space="preserve">  ※ただし移行には最低5年要し、急変リスクは低</w:t>
      </w:r>
    </w:p>
    <w:p/>
    <w:p>
      <w:pPr>
        <w:pStyle w:val="Heading4"/>
      </w:pPr>
      <w:r>
        <w:rPr>
          <w:rFonts w:ascii="Meiryo UI" w:hAnsi="Meiryo UI"/>
          <w:color w:val="2E74B5"/>
        </w:rPr>
        <w:t>Risk C: VMware統合コスト超過</w:t>
      </w:r>
    </w:p>
    <w:p/>
    <w:p>
      <w:pPr>
        <w:shd w:val="clear" w:color="auto" w:fill="F2F2F2"/>
      </w:pPr>
      <w:r>
        <w:rPr>
          <w:rFonts w:ascii="Courier New" w:hAnsi="Courier New"/>
          <w:sz w:val="16"/>
        </w:rPr>
        <w:t>買収後の主要コストリスク:</w:t>
        <w:br/>
        <w:t xml:space="preserve">  ├─ 移行コスト（顧客オンボーディング）: 追加$1-2B</w:t>
        <w:br/>
        <w:t xml:space="preserve">  ├─ 人材流出リスク: エンジニア離職率上昇</w:t>
        <w:br/>
        <w:t xml:space="preserve">  └─ 競合（Nutanix/AWS/Azure）への顧客流出: ARR $2-3B消失リスク</w:t>
        <w:br/>
        <w:br/>
        <w:t>定量ストレス:</w:t>
        <w:br/>
        <w:t xml:space="preserve">  ARR $3B流出 × 営業利益率70% = $2.1B利益消失</w:t>
        <w:br/>
        <w:t xml:space="preserve">  EPS影響: -$0.45/株 → 株価 ▲$29（▲8.7%）</w:t>
      </w:r>
    </w:p>
    <w:p/>
    <w:p>
      <w:pPr>
        <w:pStyle w:val="Heading4"/>
      </w:pPr>
      <w:r>
        <w:rPr>
          <w:rFonts w:ascii="Meiryo UI" w:hAnsi="Meiryo UI"/>
          <w:color w:val="2E74B5"/>
        </w:rPr>
        <w:t>Risk D: ホルムズ危機による半導体サプライチェーン</w:t>
      </w:r>
    </w:p>
    <w:p/>
    <w:p>
      <w:pPr>
        <w:shd w:val="clear" w:color="auto" w:fill="F2F2F2"/>
      </w:pPr>
      <w:r>
        <w:rPr>
          <w:rFonts w:ascii="Courier New" w:hAnsi="Courier New"/>
          <w:sz w:val="16"/>
        </w:rPr>
        <w:t>WTI $102.69 / Brent $97.77（現時点）の環境下：</w:t>
        <w:br/>
        <w:br/>
        <w:t>影響経路:</w:t>
        <w:br/>
        <w:t xml:space="preserve">  ├─ 原油高→TSMC製造コスト上昇→ウェハ価格5-10%上昇</w:t>
        <w:br/>
        <w:t xml:space="preserve">  ├─ 航空貨物コスト上昇→半導体輸送コスト15-25%増</w:t>
        <w:br/>
        <w:t xml:space="preserve">  └─ 中東経由サプライヤー（化学材料等）の調達困難</w:t>
        <w:br/>
        <w:br/>
        <w:t>定量影響（中程度シナリオ）:</w:t>
        <w:br/>
        <w:t xml:space="preserve">  製造コスト上昇 → 粗利率 -2〜3%ポイント</w:t>
        <w:br/>
        <w:t xml:space="preserve">  粗利率60%→57% → EBITDA -$1.3B → 株価 ▲$15（▲4.5%）</w:t>
        <w:br/>
        <w:br/>
        <w:t>注：AVGOはFabless（設計専業）のためTSMCリスクは間接的</w:t>
        <w:br/>
        <w:t xml:space="preserve">    ただしTSMC Taiwan集中リスク（地政学）は考慮要</w:t>
      </w:r>
    </w:p>
    <w:p/>
    <w:p>
      <w:pPr>
        <w:pStyle w:val="Heading4"/>
      </w:pPr>
      <w:r>
        <w:rPr>
          <w:rFonts w:ascii="Meiryo UI" w:hAnsi="Meiryo UI"/>
          <w:color w:val="2E74B5"/>
        </w:rPr>
        <w:t>複合ストレステスト（最悪ケース重複）</w:t>
      </w:r>
    </w:p>
    <w:p/>
    <w:p>
      <w:pPr>
        <w:shd w:val="clear" w:color="auto" w:fill="F2F2F2"/>
      </w:pPr>
      <w:r>
        <w:rPr>
          <w:rFonts w:ascii="Courier New" w:hAnsi="Courier New"/>
          <w:sz w:val="16"/>
        </w:rPr>
        <w:t>Risk A（全面禁輸）+ Risk C（VMware）+ Risk D（ホルムズ）重複シナリオ:</w:t>
        <w:br/>
        <w:t xml:space="preserve">  合計EPS影響: -$1.61/株</w:t>
        <w:br/>
        <w:t xml:space="preserve">  修正後EPS: $5.00 - $1.61 = $3.39</w:t>
        <w:br/>
        <w:t xml:space="preserve">  PER 65.1倍維持なら株価: $220.8（現在比 ▲34%）</w:t>
        <w:br/>
        <w:t xml:space="preserve">  保守的PER 45倍なら株価: $152.6（現在比 ▲54%）← テールリスク</w:t>
      </w:r>
    </w:p>
    <w:p/>
    <w:p>
      <w:r>
        <w:t>──────────────────────────────────────────────────</w:t>
      </w:r>
    </w:p>
    <w:p/>
    <w:p>
      <w:pPr>
        <w:pStyle w:val="Heading3"/>
      </w:pPr>
      <w:r>
        <w:rPr>
          <w:rFonts w:ascii="Meiryo UI" w:hAnsi="Meiryo UI"/>
          <w:color w:val="2E74B5"/>
        </w:rPr>
        <w:t>⑥ 次回決算（FY2025Q2: 2026年6月予定）カタリスト試算</w:t>
      </w:r>
    </w:p>
    <w:p/>
    <w:p>
      <w:pPr>
        <w:shd w:val="clear" w:color="auto" w:fill="F2F2F2"/>
      </w:pPr>
      <w:r>
        <w:rPr>
          <w:rFonts w:ascii="Courier New" w:hAnsi="Courier New"/>
          <w:sz w:val="16"/>
        </w:rPr>
        <w:t>FY2025Q2 決算予想（深井推計）</w:t>
        <w:br/>
        <w:t>━━━━━━━━━━━━━━━━━━━━━━━━━━━━━━━━━━━━━━━━━━━━</w:t>
        <w:br/>
        <w:t>項目                   会社ガイダンス想定   深井推計   コンセンサス乖離</w:t>
        <w:br/>
        <w:t>━━━━━━━━━━━━━━━━━━━━━━━━━━━━━━━━━━━━━━━━━━━━</w:t>
        <w:br/>
        <w:t>四半期売上高            $13.5-14.5B         $14.2B      +3〜5%上振れ期待</w:t>
        <w:br/>
        <w:t xml:space="preserve">  うちAI半導体          $5.5-6.5B           $6.2B       ★最重要数値</w:t>
        <w:br/>
        <w:t xml:space="preserve">  うちVMware            $4.5-4.8B           $4.7B       サブスク転換加速</w:t>
        <w:br/>
        <w:br/>
        <w:t>非GAAP EPS              $1.70-1.85          $1.80       整合的</w:t>
        <w:br/>
        <w:t xml:space="preserve">非GAAP営業利益率        66-68%              67.5%       </w:t>
        <w:br/>
        <w:t>FCF                     $5.0-5.5B           $5.3B</w:t>
        <w:br/>
        <w:t>━━━━━━━━━━━━━━━━━━━━━━━━━━━━━━━━━━━━━━━━━━━━</w:t>
      </w:r>
    </w:p>
    <w:p/>
    <w:p>
      <w:pPr>
        <w:pStyle w:val="Heading4"/>
      </w:pPr>
      <w:r>
        <w:rPr>
          <w:rFonts w:ascii="Meiryo UI" w:hAnsi="Meiryo UI"/>
          <w:color w:val="2E74B5"/>
        </w:rPr>
        <w:t>主要カタリストと反応シナリオ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実現確率</w:t>
            </w:r>
          </w:p>
        </w:tc>
        <w:tc>
          <w:tcPr>
            <w:tcW w:type="dxa" w:w="3135"/>
            <w:shd w:val="clear" w:color="auto" w:fill="2E74B5"/>
          </w:tcPr>
          <w:p>
            <w:r>
              <w:rPr>
                <w:rFonts w:ascii="Meiryo UI" w:hAnsi="Meiryo UI"/>
                <w:b/>
                <w:color w:val="FFFFFF"/>
                <w:sz w:val="18"/>
              </w:rPr>
              <w:t>株価反応</w:t>
            </w:r>
          </w:p>
        </w:tc>
      </w:tr>
      <w:tr>
        <w:tc>
          <w:tcPr>
            <w:tcW w:type="dxa" w:w="3135"/>
          </w:tcPr>
          <w:p>
            <w:r>
              <w:rPr>
                <w:rFonts w:ascii="Meiryo UI" w:hAnsi="Meiryo UI"/>
                <w:sz w:val="18"/>
              </w:rPr>
              <w:t>AI半導体売上 $6.5B超（上振れ）</w:t>
            </w:r>
          </w:p>
        </w:tc>
        <w:tc>
          <w:tcPr>
            <w:tcW w:type="dxa" w:w="3135"/>
          </w:tcPr>
          <w:p>
            <w:r>
              <w:rPr>
                <w:rFonts w:ascii="Meiryo UI" w:hAnsi="Meiryo UI"/>
                <w:sz w:val="18"/>
              </w:rPr>
              <w:t>40%</w:t>
            </w:r>
          </w:p>
        </w:tc>
        <w:tc>
          <w:tcPr>
            <w:tcW w:type="dxa" w:w="3135"/>
          </w:tcPr>
          <w:p>
            <w:r>
              <w:rPr>
                <w:rFonts w:ascii="Meiryo UI" w:hAnsi="Meiryo UI"/>
                <w:sz w:val="18"/>
              </w:rPr>
              <w:t>+10〜15%</w:t>
            </w:r>
          </w:p>
        </w:tc>
      </w:tr>
      <w:tr>
        <w:tc>
          <w:tcPr>
            <w:tcW w:type="dxa" w:w="3135"/>
            <w:shd w:val="clear" w:color="auto" w:fill="DDEBF7"/>
          </w:tcPr>
          <w:p>
            <w:r>
              <w:rPr>
                <w:rFonts w:ascii="Meiryo UI" w:hAnsi="Meiryo UI"/>
                <w:sz w:val="18"/>
              </w:rPr>
              <w:t>VMware ARR $15B突破発表</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+5〜8%</w:t>
            </w:r>
          </w:p>
        </w:tc>
      </w:tr>
      <w:tr>
        <w:tc>
          <w:tcPr>
            <w:tcW w:type="dxa" w:w="3135"/>
          </w:tcPr>
          <w:p>
            <w:r>
              <w:rPr>
                <w:rFonts w:ascii="Meiryo UI" w:hAnsi="Meiryo UI"/>
                <w:sz w:val="18"/>
              </w:rPr>
              <w:t>FY2025通期ガイダンス引き上げ</w:t>
            </w:r>
          </w:p>
        </w:tc>
        <w:tc>
          <w:tcPr>
            <w:tcW w:type="dxa" w:w="3135"/>
          </w:tcPr>
          <w:p>
            <w:r>
              <w:rPr>
                <w:rFonts w:ascii="Meiryo UI" w:hAnsi="Meiryo UI"/>
                <w:sz w:val="18"/>
              </w:rPr>
              <w:t>50%</w:t>
            </w:r>
          </w:p>
        </w:tc>
        <w:tc>
          <w:tcPr>
            <w:tcW w:type="dxa" w:w="3135"/>
          </w:tcPr>
          <w:p>
            <w:r>
              <w:rPr>
                <w:rFonts w:ascii="Meiryo UI" w:hAnsi="Meiryo UI"/>
                <w:sz w:val="18"/>
              </w:rPr>
              <w:t>+8〜12%</w:t>
            </w:r>
          </w:p>
        </w:tc>
      </w:tr>
      <w:tr>
        <w:tc>
          <w:tcPr>
            <w:tcW w:type="dxa" w:w="3135"/>
            <w:shd w:val="clear" w:color="auto" w:fill="DDEBF7"/>
          </w:tcPr>
          <w:p>
            <w:r>
              <w:rPr>
                <w:rFonts w:ascii="Meiryo UI" w:hAnsi="Meiryo UI"/>
                <w:sz w:val="18"/>
              </w:rPr>
              <w:t>新規カスタムASIC顧客開示</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+5〜10%</w:t>
            </w:r>
          </w:p>
        </w:tc>
      </w:tr>
      <w:tr>
        <w:tc>
          <w:tcPr>
            <w:tcW w:type="dxa" w:w="3135"/>
          </w:tcPr>
          <w:p>
            <w:r>
              <w:rPr>
                <w:rFonts w:ascii="Meiryo UI" w:hAnsi="Meiryo UI"/>
                <w:sz w:val="18"/>
              </w:rPr>
              <w:t>中国制裁への追加言及（ネガ）</w:t>
            </w:r>
          </w:p>
        </w:tc>
        <w:tc>
          <w:tcPr>
            <w:tcW w:type="dxa" w:w="3135"/>
          </w:tcPr>
          <w:p>
            <w:r>
              <w:rPr>
                <w:rFonts w:ascii="Meiryo UI" w:hAnsi="Meiryo UI"/>
                <w:sz w:val="18"/>
              </w:rPr>
              <w:t>30%</w:t>
            </w:r>
          </w:p>
        </w:tc>
        <w:tc>
          <w:tcPr>
            <w:tcW w:type="dxa" w:w="3135"/>
          </w:tcPr>
          <w:p>
            <w:r>
              <w:rPr>
                <w:rFonts w:ascii="Meiryo UI" w:hAnsi="Meiryo UI"/>
                <w:sz w:val="18"/>
              </w:rPr>
              <w:t>-5〜10%</w:t>
            </w:r>
          </w:p>
        </w:tc>
      </w:tr>
      <w:tr>
        <w:tc>
          <w:tcPr>
            <w:tcW w:type="dxa" w:w="3135"/>
            <w:shd w:val="clear" w:color="auto" w:fill="DDEBF7"/>
          </w:tcPr>
          <w:p>
            <w:r>
              <w:rPr>
                <w:rFonts w:ascii="Meiryo UI" w:hAnsi="Meiryo UI"/>
                <w:sz w:val="18"/>
              </w:rPr>
              <w:t>AI半導体売上 $5B未満（下振れ）</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-12〜18%</w:t>
            </w:r>
          </w:p>
        </w:tc>
      </w:tr>
    </w:tbl>
    <w:p/>
    <w:p>
      <w:r>
        <w:t>──────────────────────────────────────────────────</w:t>
      </w:r>
    </w:p>
    <w:p/>
    <w:p>
      <w:pPr>
        <w:pStyle w:val="Heading3"/>
      </w:pPr>
      <w:r>
        <w:rPr>
          <w:rFonts w:ascii="Meiryo UI" w:hAnsi="Meiryo UI"/>
          <w:color w:val="2E74B5"/>
        </w:rPr>
        <w:t>⑦ 不動産含み益NAV算出</w:t>
      </w:r>
    </w:p>
    <w:p/>
    <w:p>
      <w:pPr>
        <w:pStyle w:val="Heading4"/>
      </w:pPr>
      <w:r>
        <w:rPr>
          <w:rFonts w:ascii="Meiryo UI" w:hAnsi="Meiryo UI"/>
          <w:color w:val="2E74B5"/>
        </w:rPr>
        <w:t>AVGO 保有不動産・施設概要</w:t>
      </w:r>
    </w:p>
    <w:p/>
    <w:p>
      <w:pPr>
        <w:shd w:val="clear" w:color="auto" w:fill="F2F2F2"/>
      </w:pPr>
      <w:r>
        <w:rPr>
          <w:rFonts w:ascii="Courier New" w:hAnsi="Courier New"/>
          <w:sz w:val="16"/>
        </w:rPr>
        <w:t>主要拠点（公開情報ベース）</w:t>
        <w:br/>
        <w:t>━━━━━━━━━━━━━━━━━━━━━━━━━━━━━━━━━━━━━━━━━━━━</w:t>
        <w:br/>
        <w:t>拠点                    所在地                状態      面積（推計）</w:t>
        <w:br/>
        <w:t>━━━━━━━━━━━━━━━━━━━━━━━━━━━━━━━━━━━━━━━━━━━━</w:t>
        <w:br/>
        <w:t>本社（SJC1）            San Jose, CA          賃借      約500,000 sqft</w:t>
        <w:br/>
        <w:t>旧本社（Palo Alto）     Palo Alto, CA         一部所有   約200,000 sqft</w:t>
        <w:br/>
        <w:t>研究施設（Singapore）   Singapore             所有       約300,000 sqft</w:t>
        <w:br/>
        <w:t>欧州R&amp;D（Fort Collins） Colorado, CO          所有       約150,000 sqft</w:t>
        <w:br/>
        <w:t>VMware HQ（Post-M&amp;A）  Palo Alto, CA         所有/賃借  約800,000 sqft</w:t>
        <w:br/>
        <w:t>その他グローバル         India/Israel/UK       賃借主体</w:t>
        <w:br/>
        <w:t>━━━━━━━━━━━━━━━━━━━━━━━━━━━━━━━━━━━━━━━━━━━━</w:t>
      </w:r>
    </w:p>
    <w:p/>
    <w:p>
      <w:pPr>
        <w:pStyle w:val="Heading4"/>
      </w:pPr>
      <w:r>
        <w:rPr>
          <w:rFonts w:ascii="Meiryo UI" w:hAnsi="Meiryo UI"/>
          <w:color w:val="2E74B5"/>
        </w:rPr>
        <w:t>不動産NAV試算</w:t>
      </w:r>
    </w:p>
    <w:p/>
    <w:p>
      <w:pPr>
        <w:shd w:val="clear" w:color="auto" w:fill="F2F2F2"/>
      </w:pPr>
      <w:r>
        <w:rPr>
          <w:rFonts w:ascii="Courier New" w:hAnsi="Courier New"/>
          <w:sz w:val="16"/>
        </w:rPr>
        <w:t>【重要注記】AVGOはFabless企業であり、不動産資産は事業全体から見て軽微。</w:t>
        <w:br/>
        <w:t>BSのPPE（有形固定資産）≈ $2.0-3.0B（リアルタイム取得値に基づく推計）</w:t>
        <w:br/>
        <w:br/>
        <w:t>不動産含み益試算:</w:t>
        <w:br/>
        <w:t>━━━━━━━━━━━━━━━━━━━━━━━━━━━━━━━━━━━━</w:t>
        <w:br/>
        <w:t xml:space="preserve"> 帳簿価額（所有不動産推計）          ≈ $1.5B</w:t>
        <w:br/>
        <w:t xml:space="preserve"> 市場価値（シリコンバレー不動産高騰）≈ $2.2-2.8B</w:t>
        <w:br/>
        <w:t xml:space="preserve">                                       （割増率 45-85%）</w:t>
        <w:br/>
        <w:t xml:space="preserve"> 含み益（推計）                      ≈ $0.7-1.3B</w:t>
        <w:br/>
        <w:t xml:space="preserve"> 1株あたり含み益                     ≈ $0.15-0.28/株</w:t>
        <w:br/>
        <w:br/>
        <w:t>【結論】不動産含み益は株価$334に対して軽微（0.04〜0.08%）。</w:t>
        <w:br/>
        <w:t xml:space="preserve">       AVGOは不動産バリューよりキャッシュフロー・知財・人的資本で評価すべき企業。</w:t>
        <w:br/>
        <w:t xml:space="preserve">       NAVドリブンの投資判断には不向き。</w:t>
        <w:br/>
        <w:t>━━━━━━━━━━━━━━━━━━━━━━━━━━━━━━━━━━━━</w:t>
      </w:r>
    </w:p>
    <w:p/>
    <w:p>
      <w:r>
        <w:t>──────────────────────────────────────────────────</w:t>
      </w:r>
    </w:p>
    <w:p/>
    <w:p>
      <w:pPr>
        <w:pStyle w:val="Heading3"/>
      </w:pPr>
      <w:r>
        <w:rPr>
          <w:rFonts w:ascii="Meiryo UI" w:hAnsi="Meiryo UI"/>
          <w:color w:val="2E74B5"/>
        </w:rPr>
        <w:t>⑧ 最終判断：現値でのエントリー評価</w:t>
      </w:r>
    </w:p>
    <w:p/>
    <w:p>
      <w:r>
        <w:rPr>
          <w:rFonts w:ascii="Meiryo UI" w:hAnsi="Meiryo UI"/>
          <w:sz w:val="20"/>
        </w:rPr>
        <w:t>詳細は「8. 社長への推奨アクション」セクションに記載。</w:t>
      </w:r>
    </w:p>
    <w:p/>
    <w:p>
      <w:r>
        <w:rPr>
          <w:rFonts w:ascii="Meiryo UI" w:hAnsi="Meiryo UI"/>
          <w:sz w:val="20"/>
        </w:rPr>
        <w:t>一言サマリー：</w:t>
      </w:r>
    </w:p>
    <w:p>
      <w:r>
        <w:rPr>
          <w:rFonts w:ascii="Meiryo UI" w:hAnsi="Meiryo UI"/>
          <w:sz w:val="20"/>
        </w:rPr>
        <w:t>$334は「2027年AIシナリオを現在価値に完全織り込んだ価格」であり、セーフティマージンは薄い。ただし成長の質と量が確認されれば正当化可能。分割エントリーを強く推奨。</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FY2025推計</w:t>
            </w:r>
          </w:p>
        </w:tc>
        <w:tc>
          <w:tcPr>
            <w:tcW w:type="dxa" w:w="2351"/>
            <w:shd w:val="clear" w:color="auto" w:fill="2E74B5"/>
          </w:tcPr>
          <w:p>
            <w:r>
              <w:rPr>
                <w:rFonts w:ascii="Meiryo UI" w:hAnsi="Meiryo UI"/>
                <w:b/>
                <w:color w:val="FFFFFF"/>
                <w:sz w:val="18"/>
              </w:rPr>
              <w:t>FY2026推計</w:t>
            </w:r>
          </w:p>
        </w:tc>
      </w:tr>
      <w:tr>
        <w:tc>
          <w:tcPr>
            <w:tcW w:type="dxa" w:w="2351"/>
          </w:tcPr>
          <w:p>
            <w:r>
              <w:rPr>
                <w:rFonts w:ascii="Meiryo UI" w:hAnsi="Meiryo UI"/>
                <w:sz w:val="18"/>
              </w:rPr>
              <w:t>売上高</w:t>
            </w:r>
          </w:p>
        </w:tc>
        <w:tc>
          <w:tcPr>
            <w:tcW w:type="dxa" w:w="2351"/>
          </w:tcPr>
          <w:p>
            <w:r>
              <w:rPr>
                <w:rFonts w:ascii="Meiryo UI" w:hAnsi="Meiryo UI"/>
                <w:sz w:val="18"/>
              </w:rPr>
              <w:t>$51.6B※</w:t>
            </w:r>
          </w:p>
        </w:tc>
        <w:tc>
          <w:tcPr>
            <w:tcW w:type="dxa" w:w="2351"/>
          </w:tcPr>
          <w:p>
            <w:r>
              <w:rPr>
                <w:rFonts w:ascii="Meiryo UI" w:hAnsi="Meiryo UI"/>
                <w:sz w:val="18"/>
              </w:rPr>
              <w:t>$42.0B</w:t>
            </w:r>
          </w:p>
        </w:tc>
        <w:tc>
          <w:tcPr>
            <w:tcW w:type="dxa" w:w="2351"/>
          </w:tcPr>
          <w:p>
            <w:r>
              <w:rPr>
                <w:rFonts w:ascii="Meiryo UI" w:hAnsi="Meiryo UI"/>
                <w:sz w:val="18"/>
              </w:rPr>
              <w:t>$50.5B</w:t>
            </w:r>
          </w:p>
        </w:tc>
      </w:tr>
      <w:tr>
        <w:tc>
          <w:tcPr>
            <w:tcW w:type="dxa" w:w="2351"/>
            <w:shd w:val="clear" w:color="auto" w:fill="DDEBF7"/>
          </w:tcPr>
          <w:p>
            <w:r>
              <w:rPr>
                <w:rFonts w:ascii="Meiryo UI" w:hAnsi="Meiryo UI"/>
                <w:sz w:val="18"/>
              </w:rPr>
              <w:t>売上総利益率</w:t>
            </w:r>
          </w:p>
        </w:tc>
        <w:tc>
          <w:tcPr>
            <w:tcW w:type="dxa" w:w="2351"/>
            <w:shd w:val="clear" w:color="auto" w:fill="DDEBF7"/>
          </w:tcPr>
          <w:p>
            <w:r>
              <w:rPr>
                <w:rFonts w:ascii="Meiryo UI" w:hAnsi="Meiryo UI"/>
                <w:sz w:val="18"/>
              </w:rPr>
              <w:t>64%</w:t>
            </w:r>
          </w:p>
        </w:tc>
        <w:tc>
          <w:tcPr>
            <w:tcW w:type="dxa" w:w="2351"/>
            <w:shd w:val="clear" w:color="auto" w:fill="DDEBF7"/>
          </w:tcPr>
          <w:p>
            <w:r>
              <w:rPr>
                <w:rFonts w:ascii="Meiryo UI" w:hAnsi="Meiryo UI"/>
                <w:sz w:val="18"/>
              </w:rPr>
              <w:t>65%</w:t>
            </w:r>
          </w:p>
        </w:tc>
        <w:tc>
          <w:tcPr>
            <w:tcW w:type="dxa" w:w="2351"/>
            <w:shd w:val="clear" w:color="auto" w:fill="DDEBF7"/>
          </w:tcPr>
          <w:p>
            <w:r>
              <w:rPr>
                <w:rFonts w:ascii="Meiryo UI" w:hAnsi="Meiryo UI"/>
                <w:sz w:val="18"/>
              </w:rPr>
              <w:t>67%</w:t>
            </w:r>
          </w:p>
        </w:tc>
      </w:tr>
      <w:tr>
        <w:tc>
          <w:tcPr>
            <w:tcW w:type="dxa" w:w="2351"/>
          </w:tcPr>
          <w:p>
            <w:r>
              <w:rPr>
                <w:rFonts w:ascii="Meiryo UI" w:hAnsi="Meiryo UI"/>
                <w:sz w:val="18"/>
              </w:rPr>
              <w:t>非GAAP営業利益率</w:t>
            </w:r>
          </w:p>
        </w:tc>
        <w:tc>
          <w:tcPr>
            <w:tcW w:type="dxa" w:w="2351"/>
          </w:tcPr>
          <w:p>
            <w:r>
              <w:rPr>
                <w:rFonts w:ascii="Meiryo UI" w:hAnsi="Meiryo UI"/>
                <w:sz w:val="18"/>
              </w:rPr>
              <w:t>66%</w:t>
            </w:r>
          </w:p>
        </w:tc>
        <w:tc>
          <w:tcPr>
            <w:tcW w:type="dxa" w:w="2351"/>
          </w:tcPr>
          <w:p>
            <w:r>
              <w:rPr>
                <w:rFonts w:ascii="Meiryo UI" w:hAnsi="Meiryo UI"/>
                <w:sz w:val="18"/>
              </w:rPr>
              <w:t>67%</w:t>
            </w:r>
          </w:p>
        </w:tc>
        <w:tc>
          <w:tcPr>
            <w:tcW w:type="dxa" w:w="2351"/>
          </w:tcPr>
          <w:p>
            <w:r>
              <w:rPr>
                <w:rFonts w:ascii="Meiryo UI" w:hAnsi="Meiryo UI"/>
                <w:sz w:val="18"/>
              </w:rPr>
              <w:t>69%</w:t>
            </w:r>
          </w:p>
        </w:tc>
      </w:tr>
      <w:tr>
        <w:tc>
          <w:tcPr>
            <w:tcW w:type="dxa" w:w="2351"/>
            <w:shd w:val="clear" w:color="auto" w:fill="DDEBF7"/>
          </w:tcPr>
          <w:p>
            <w:r>
              <w:rPr>
                <w:rFonts w:ascii="Meiryo UI" w:hAnsi="Meiryo UI"/>
                <w:sz w:val="18"/>
              </w:rPr>
              <w:t>EBITDA</w:t>
            </w:r>
          </w:p>
        </w:tc>
        <w:tc>
          <w:tcPr>
            <w:tcW w:type="dxa" w:w="2351"/>
            <w:shd w:val="clear" w:color="auto" w:fill="DDEBF7"/>
          </w:tcPr>
          <w:p>
            <w:r>
              <w:rPr>
                <w:rFonts w:ascii="Meiryo UI" w:hAnsi="Meiryo UI"/>
                <w:sz w:val="18"/>
              </w:rPr>
              <w:t>$28.5B</w:t>
            </w:r>
          </w:p>
        </w:tc>
        <w:tc>
          <w:tcPr>
            <w:tcW w:type="dxa" w:w="2351"/>
            <w:shd w:val="clear" w:color="auto" w:fill="DDEBF7"/>
          </w:tcPr>
          <w:p>
            <w:r>
              <w:rPr>
                <w:rFonts w:ascii="Meiryo UI" w:hAnsi="Meiryo UI"/>
                <w:sz w:val="18"/>
              </w:rPr>
              <w:t>$23.1B</w:t>
            </w:r>
          </w:p>
        </w:tc>
        <w:tc>
          <w:tcPr>
            <w:tcW w:type="dxa" w:w="2351"/>
            <w:shd w:val="clear" w:color="auto" w:fill="DDEBF7"/>
          </w:tcPr>
          <w:p>
            <w:r>
              <w:rPr>
                <w:rFonts w:ascii="Meiryo UI" w:hAnsi="Meiryo UI"/>
                <w:sz w:val="18"/>
              </w:rPr>
              <w:t>$28.0B</w:t>
            </w:r>
          </w:p>
        </w:tc>
      </w:tr>
      <w:tr>
        <w:tc>
          <w:tcPr>
            <w:tcW w:type="dxa" w:w="2351"/>
          </w:tcPr>
          <w:p>
            <w:r>
              <w:rPr>
                <w:rFonts w:ascii="Meiryo UI" w:hAnsi="Meiryo UI"/>
                <w:sz w:val="18"/>
              </w:rPr>
              <w:t>FCF</w:t>
            </w:r>
          </w:p>
        </w:tc>
        <w:tc>
          <w:tcPr>
            <w:tcW w:type="dxa" w:w="2351"/>
          </w:tcPr>
          <w:p>
            <w:r>
              <w:rPr>
                <w:rFonts w:ascii="Meiryo UI" w:hAnsi="Meiryo UI"/>
                <w:sz w:val="18"/>
              </w:rPr>
              <w:t>$18.5B</w:t>
            </w:r>
          </w:p>
        </w:tc>
        <w:tc>
          <w:tcPr>
            <w:tcW w:type="dxa" w:w="2351"/>
          </w:tcPr>
          <w:p>
            <w:r>
              <w:rPr>
                <w:rFonts w:ascii="Meiryo UI" w:hAnsi="Meiryo UI"/>
                <w:sz w:val="18"/>
              </w:rPr>
              <w:t>$15.1B</w:t>
            </w:r>
          </w:p>
        </w:tc>
        <w:tc>
          <w:tcPr>
            <w:tcW w:type="dxa" w:w="2351"/>
          </w:tcPr>
          <w:p>
            <w:r>
              <w:rPr>
                <w:rFonts w:ascii="Meiryo UI" w:hAnsi="Meiryo UI"/>
                <w:sz w:val="18"/>
              </w:rPr>
              <w:t>$19.3B</w:t>
            </w:r>
          </w:p>
        </w:tc>
      </w:tr>
      <w:tr>
        <w:tc>
          <w:tcPr>
            <w:tcW w:type="dxa" w:w="2351"/>
            <w:shd w:val="clear" w:color="auto" w:fill="DDEBF7"/>
          </w:tcPr>
          <w:p>
            <w:r>
              <w:rPr>
                <w:rFonts w:ascii="Meiryo UI" w:hAnsi="Meiryo UI"/>
                <w:sz w:val="18"/>
              </w:rPr>
              <w:t>FCFマージン</w:t>
            </w:r>
          </w:p>
        </w:tc>
        <w:tc>
          <w:tcPr>
            <w:tcW w:type="dxa" w:w="2351"/>
            <w:shd w:val="clear" w:color="auto" w:fill="DDEBF7"/>
          </w:tcPr>
          <w:p>
            <w:r>
              <w:rPr>
                <w:rFonts w:ascii="Meiryo UI" w:hAnsi="Meiryo UI"/>
                <w:sz w:val="18"/>
              </w:rPr>
              <w:t>35.9%</w:t>
            </w:r>
          </w:p>
        </w:tc>
        <w:tc>
          <w:tcPr>
            <w:tcW w:type="dxa" w:w="2351"/>
            <w:shd w:val="clear" w:color="auto" w:fill="DDEBF7"/>
          </w:tcPr>
          <w:p>
            <w:r>
              <w:rPr>
                <w:rFonts w:ascii="Meiryo UI" w:hAnsi="Meiryo UI"/>
                <w:sz w:val="18"/>
              </w:rPr>
              <w:t>35.9%</w:t>
            </w:r>
          </w:p>
        </w:tc>
        <w:tc>
          <w:tcPr>
            <w:tcW w:type="dxa" w:w="2351"/>
            <w:shd w:val="clear" w:color="auto" w:fill="DDEBF7"/>
          </w:tcPr>
          <w:p>
            <w:r>
              <w:rPr>
                <w:rFonts w:ascii="Meiryo UI" w:hAnsi="Meiryo UI"/>
                <w:sz w:val="18"/>
              </w:rPr>
              <w:t>38.2%</w:t>
            </w:r>
          </w:p>
        </w:tc>
      </w:tr>
      <w:tr>
        <w:tc>
          <w:tcPr>
            <w:tcW w:type="dxa" w:w="2351"/>
          </w:tcPr>
          <w:p>
            <w:r>
              <w:rPr>
                <w:rFonts w:ascii="Meiryo UI" w:hAnsi="Meiryo UI"/>
                <w:sz w:val="18"/>
              </w:rPr>
              <w:t>EPS（非GAAP）</w:t>
            </w:r>
          </w:p>
        </w:tc>
        <w:tc>
          <w:tcPr>
            <w:tcW w:type="dxa" w:w="2351"/>
          </w:tcPr>
          <w:p>
            <w:r>
              <w:rPr>
                <w:rFonts w:ascii="Meiryo UI" w:hAnsi="Meiryo UI"/>
                <w:sz w:val="18"/>
              </w:rPr>
              <w:t>$4.29</w:t>
            </w:r>
          </w:p>
        </w:tc>
        <w:tc>
          <w:tcPr>
            <w:tcW w:type="dxa" w:w="2351"/>
          </w:tcPr>
          <w:p>
            <w:r>
              <w:rPr>
                <w:rFonts w:ascii="Meiryo UI" w:hAnsi="Meiryo UI"/>
                <w:sz w:val="18"/>
              </w:rPr>
              <w:t>$5.00</w:t>
            </w:r>
          </w:p>
        </w:tc>
        <w:tc>
          <w:tcPr>
            <w:tcW w:type="dxa" w:w="2351"/>
          </w:tcPr>
          <w:p>
            <w:r>
              <w:rPr>
                <w:rFonts w:ascii="Meiryo UI" w:hAnsi="Meiryo UI"/>
                <w:sz w:val="18"/>
              </w:rPr>
              <w:t>$7.50推計</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約1.2%</w:t>
            </w:r>
          </w:p>
        </w:tc>
        <w:tc>
          <w:tcPr>
            <w:tcW w:type="dxa" w:w="2351"/>
            <w:shd w:val="clear" w:color="auto" w:fill="DDEBF7"/>
          </w:tcPr>
          <w:p>
            <w:r>
              <w:rPr>
                <w:rFonts w:ascii="Meiryo UI" w:hAnsi="Meiryo UI"/>
                <w:sz w:val="18"/>
              </w:rPr>
              <w:t>約1.4%</w:t>
            </w:r>
          </w:p>
        </w:tc>
        <w:tc>
          <w:tcPr>
            <w:tcW w:type="dxa" w:w="2351"/>
            <w:shd w:val="clear" w:color="auto" w:fill="DDEBF7"/>
          </w:tcPr>
          <w:p>
            <w:r>
              <w:rPr>
                <w:rFonts w:ascii="Meiryo UI" w:hAnsi="Meiryo UI"/>
                <w:sz w:val="18"/>
              </w:rPr>
              <w:t>約1.6%</w:t>
            </w:r>
          </w:p>
        </w:tc>
      </w:tr>
      <w:tr>
        <w:tc>
          <w:tcPr>
            <w:tcW w:type="dxa" w:w="2351"/>
          </w:tcPr>
          <w:p>
            <w:r>
              <w:rPr>
                <w:rFonts w:ascii="Meiryo UI" w:hAnsi="Meiryo UI"/>
                <w:sz w:val="18"/>
              </w:rPr>
              <w:t>有利子負債</w:t>
            </w:r>
          </w:p>
        </w:tc>
        <w:tc>
          <w:tcPr>
            <w:tcW w:type="dxa" w:w="2351"/>
          </w:tcPr>
          <w:p>
            <w:r>
              <w:rPr>
                <w:rFonts w:ascii="Meiryo UI" w:hAnsi="Meiryo UI"/>
                <w:sz w:val="18"/>
              </w:rPr>
              <w:t>$69B</w:t>
            </w:r>
          </w:p>
        </w:tc>
        <w:tc>
          <w:tcPr>
            <w:tcW w:type="dxa" w:w="2351"/>
          </w:tcPr>
          <w:p>
            <w:r>
              <w:rPr>
                <w:rFonts w:ascii="Meiryo UI" w:hAnsi="Meiryo UI"/>
                <w:sz w:val="18"/>
              </w:rPr>
              <w:t>$65B</w:t>
            </w:r>
          </w:p>
        </w:tc>
        <w:tc>
          <w:tcPr>
            <w:tcW w:type="dxa" w:w="2351"/>
          </w:tcPr>
          <w:p>
            <w:r>
              <w:rPr>
                <w:rFonts w:ascii="Meiryo UI" w:hAnsi="Meiryo UI"/>
                <w:sz w:val="18"/>
              </w:rPr>
              <w:t>$58B</w:t>
            </w:r>
          </w:p>
        </w:tc>
      </w:tr>
    </w:tbl>
    <w:p/>
    <w:p>
      <w:r>
        <w:rPr>
          <w:rFonts w:ascii="Meiryo UI" w:hAnsi="Meiryo UI"/>
          <w:sz w:val="20"/>
        </w:rPr>
        <w:t>&gt; ※FY2024（2023年11〜2024年10月）はVMware統合完全年度であり売上高が膨らむ年。FY2025はVMware効果が一巡し正常化。なお提示EPS$5はリアルタイム取得値（確定値として使用）。</w:t>
      </w:r>
    </w:p>
    <w:p/>
    <w:p>
      <w:pPr>
        <w:pStyle w:val="Heading3"/>
      </w:pPr>
      <w:r>
        <w:rPr>
          <w:rFonts w:ascii="Meiryo UI" w:hAnsi="Meiryo UI"/>
          <w:color w:val="2E74B5"/>
        </w:rPr>
        <w:t>3-2. ROEの質分析</w:t>
      </w:r>
    </w:p>
    <w:p/>
    <w:p>
      <w:pPr>
        <w:shd w:val="clear" w:color="auto" w:fill="F2F2F2"/>
      </w:pPr>
      <w:r>
        <w:rPr>
          <w:rFonts w:ascii="Courier New" w:hAnsi="Courier New"/>
          <w:sz w:val="16"/>
        </w:rPr>
        <w:t>ROE = 33.4%（取得値）の分解（デュポン分析）</w:t>
        <w:br/>
        <w:t>━━━━━━━━━━━━━━━━━━━━━━━━━━━━━━━━━━━━</w:t>
        <w:br/>
        <w:t>ROE = 純利益率 × 資産回転率 × 財務レバレッジ</w:t>
        <w:br/>
        <w:t xml:space="preserve">    ≈  11.1%  ×   0.46   ×    6.5倍</w:t>
        <w:br/>
        <w:t xml:space="preserve">    ≈  33.4%  ✅</w:t>
        <w:br/>
        <w:br/>
        <w:t>解釈:</w:t>
        <w:br/>
        <w:t xml:space="preserve">  純利益率11%: GAAP償却・買収コスト重く低め。非GAAPは35%+</w:t>
        <w:br/>
        <w:t xml:space="preserve">  資産回転率0.46: 重資産型（VMware含む無形資産$25B+のれん$60B+）</w:t>
        <w:br/>
        <w:t xml:space="preserve">  財務レバレッジ6.5倍: 有利子負債$69Bによるレバレッジ効果大</w:t>
        <w:br/>
        <w:t xml:space="preserve">  → ROE33.4%は「実力」よりレバレッジで底上げされている点に注意</w:t>
        <w:br/>
        <w:t>━━━━━━━━━━━━━━━━━━━━━━━━━━━━━━━━━━━━</w:t>
        <w:br/>
        <w:t>BPS $17（取得値）は有利子負債$69Bと大規模のれんにより株主資本が薄い。</w:t>
        <w:br/>
        <w:t>PBR 19.80倍はこの薄い純資産に対するプレミアムを示す。</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前提条件（全て明記）</w:t>
      </w:r>
    </w:p>
    <w:p/>
    <w:p>
      <w:pPr>
        <w:shd w:val="clear" w:color="auto" w:fill="F2F2F2"/>
      </w:pPr>
      <w:r>
        <w:rPr>
          <w:rFonts w:ascii="Courier New" w:hAnsi="Courier New"/>
          <w:sz w:val="16"/>
        </w:rPr>
        <w:t>━━━━━━━━━━━━━━━━━━━━━━━━━━━━━━━━━━━━━━━━━━━━━━━━━━</w:t>
        <w:br/>
        <w:t>DCF前提条件</w:t>
        <w:br/>
        <w:t>━━━━━━━━━━━━━━━━━━━━━━━━━━━━━━━━━━━━━━━━━━━━━━━━━━</w:t>
        <w:br/>
        <w:t>◆ リスクフリーレート（Rf）: 4.300%（US10Y / 2026-04-08 07:53 JST）</w:t>
        <w:br/>
        <w:t>◆ ERP（株式リスクプレミアム）: 5.50%（Damodaran推計ベース / 標準値）</w:t>
        <w:br/>
        <w:t>◆ β（ベータ）: 1.12（半導体セクター調整済み5年月次回帰推計）</w:t>
        <w:br/>
        <w:t>◆ 株主資本コスト Re = 4.300% + 1.12 × 5.50% = 4.300% + 6.160% = 10.46%</w:t>
        <w:br/>
        <w:br/>
        <w:t>◆ 資本構成:</w:t>
        <w:br/>
        <w:t xml:space="preserve">    時価総額（E）: $1,549B（$334 × 46.4億株）</w:t>
        <w:br/>
        <w:t xml:space="preserve">    有利子負債（D）: $65B（FY2025推計）</w:t>
        <w:br/>
        <w:t xml:space="preserve">    D+E = $1,614B</w:t>
        <w:br/>
        <w:t xml:space="preserve">    E比率 = 96.0%</w:t>
        <w:br/>
        <w:t xml:space="preserve">    D比率 = 4.0%</w:t>
        <w:br/>
        <w:br/>
        <w:t>◆ 借入コスト（Rd）: 4.80%（Baa2格付け相当スプレッド）</w:t>
        <w:br/>
        <w:t>◆ 実効税率（Tc）: 12.0%（AVGOの実績ベース / タックスヘイブン最適化）</w:t>
        <w:br/>
        <w:t>◆ 税引後Rd = 4.80% × (1-0.12) = 4.22%</w:t>
        <w:br/>
        <w:br/>
        <w:t>◆ WACC = 0.960 × 10.46% + 0.040 × 4.22%</w:t>
        <w:br/>
        <w:t xml:space="preserve">        = 10.04% + 0.17%</w:t>
        <w:br/>
        <w:t xml:space="preserve">        = 10.21%</w:t>
        <w:br/>
        <w:br/>
        <w:t>◆ 永久成長率（g）:</w:t>
        <w:br/>
        <w:t xml:space="preserve">    強気シナリオ: 4.5%</w:t>
        <w:br/>
        <w:t xml:space="preserve">    基本シナリオ: 3.5%</w:t>
        <w:br/>
        <w:t xml:space="preserve">    弱気シナリオ: 2.0%</w:t>
        <w:br/>
        <w:br/>
        <w:t>◆ 予測期間: 10年（FY2025〜FY2034）</w:t>
        <w:br/>
        <w:t>◆ 発行済株式数: 46.4億株</w:t>
        <w:br/>
        <w:t>◆ ネット有利子負債（純負債）: $65B - $13B(現金) = $52B（EV→株式価値の調整）</w:t>
        <w:br/>
        <w:t>━━━━━━━━━━━━━━━━━━━━━━━━━━━━━━━━━━━━━━━━━━━━━━━━━━</w:t>
      </w:r>
    </w:p>
    <w:p/>
    <w:p>
      <w:pPr>
        <w:pStyle w:val="Heading3"/>
      </w:pPr>
      <w:r>
        <w:rPr>
          <w:rFonts w:ascii="Meiryo UI" w:hAnsi="Meiryo UI"/>
          <w:color w:val="2E74B5"/>
        </w:rPr>
        <w:t>4-2. 基本シナリオ DCFモデル（g=3.5%, WACC=10.21%）</w:t>
      </w:r>
    </w:p>
    <w:p/>
    <w:p>
      <w:pPr>
        <w:shd w:val="clear" w:color="auto" w:fill="F2F2F2"/>
      </w:pPr>
      <w:r>
        <w:rPr>
          <w:rFonts w:ascii="Courier New" w:hAnsi="Courier New"/>
          <w:sz w:val="16"/>
        </w:rPr>
        <w:t>FCF推計（基本シナリオ）</w:t>
        <w:br/>
        <w:t>━━━━━━━━━━━━━━━━━━━━━━━━━━━━━━━━━━━━━━━━━━━━━━━━━━</w:t>
        <w:br/>
        <w:t xml:space="preserve">  年度    FCF($B)   成長率   PV係数(10.21%) PV($B)</w:t>
        <w:br/>
        <w:t xml:space="preserve">  FY2025  $15.10    Base     0.9074          $13.70</w:t>
        <w:br/>
        <w:t xml:space="preserve">  FY2026  $19.30    +27.8%   0.8233          $15.89</w:t>
        <w:br/>
        <w:t xml:space="preserve">  FY2027  $24.30    +25.9%   0.7471          $18.15</w:t>
        <w:br/>
        <w:t xml:space="preserve">  FY2028  $28.00    +15.2%   0.6779          $18.98</w:t>
        <w:br/>
        <w:t xml:space="preserve">  FY2029  $31.00    +10.7%   0.6151          $19.07</w:t>
        <w:br/>
        <w:t xml:space="preserve">  FY2030  $33.50    +8.1%    0.5581          $18.70</w:t>
        <w:br/>
        <w:t xml:space="preserve">  FY2031  $35.50    +6.0%    0.5065          $17.98</w:t>
        <w:br/>
        <w:t xml:space="preserve">  FY2032  $37.30    +5.1%    0.4596          $17.14</w:t>
        <w:br/>
        <w:t xml:space="preserve">  FY2033  $38.80    +4.0%    0.4170          $16.18</w:t>
        <w:br/>
        <w:t xml:space="preserve">  FY2034  $40.00    +3.1%    0.3783          $15.13</w:t>
        <w:br/>
        <w:t>━━━━━━━━━━━━━━━━━━━━━━━━━━━━━━━━━━━━━━━━━━━━━━━━━━</w:t>
        <w:br/>
        <w:t xml:space="preserve">  FCFの現在価値合計（10年）                  $170.92B</w:t>
        <w:br/>
        <w:br/>
        <w:t xml:space="preserve">  ターミナルバリュー計算:</w:t>
        <w:br/>
        <w:t xml:space="preserve">  TV = FCF2034 × (1+g) / (WACC-g)</w:t>
        <w:br/>
        <w:t xml:space="preserve">     = $40.0B × 1.035 / (0.1021 - 0.035)</w:t>
        <w:br/>
        <w:t xml:space="preserve">     = $41.4B / 0.0671</w:t>
        <w:br/>
        <w:t xml:space="preserve">     = $616.9B</w:t>
        <w:br/>
        <w:br/>
        <w:t xml:space="preserve">  TVの現在価値 = $616.9B × 0.3783 = $233.37B</w:t>
        <w:br/>
        <w:br/>
        <w:t>━━━━━━━━━━━━━━━━━━━━━━━━━━━━━━━━━━━━━━━━━━━━━━━━━━</w:t>
        <w:br/>
        <w:t xml:space="preserve">  企業価値（EV）= $170.92B + $233.37B = $404.29B</w:t>
        <w:br/>
        <w:t xml:space="preserve">  株式価値 = EV - 純有利子負債 = $404.29B - $52B = $352.29B</w:t>
        <w:br/>
        <w:t xml:space="preserve">  1株理論価値 = $352.29B ÷ 46.4億株 = $75.93/株</w:t>
        <w:br/>
        <w:t>━━━━━━━━━━━━━━━━━━━━━━━━━━━━━━━━━━━━━━━━━━━━━━━━━━</w:t>
      </w:r>
    </w:p>
    <w:p/>
    <w:p>
      <w:r>
        <w:rPr>
          <w:rFonts w:ascii="Meiryo UI" w:hAnsi="Meiryo UI"/>
          <w:sz w:val="20"/>
        </w:rPr>
        <w:t>&gt; ⚠️ 重要な補足説明： 基本シナリオのDCFでは$75.93/株となり、現在株価$334を大幅に下回る。これは現在の株価が「AIハイパーグロース継続」というオプション価値と非線形成長期待を大量に含んでいるためである。グロース株のDCF評価では、特にターミナルバリューの前提が結果を大きく左右する。</w:t>
      </w:r>
    </w:p>
    <w:p/>
    <w:p>
      <w:pPr>
        <w:pStyle w:val="Heading3"/>
      </w:pPr>
      <w:r>
        <w:rPr>
          <w:rFonts w:ascii="Meiryo UI" w:hAnsi="Meiryo UI"/>
          <w:color w:val="2E74B5"/>
        </w:rPr>
        <w:t>4-3. シナリオ別理論株価</w:t>
      </w:r>
    </w:p>
    <w:p/>
    <w:p>
      <w:pPr>
        <w:shd w:val="clear" w:color="auto" w:fill="F2F2F2"/>
      </w:pPr>
      <w:r>
        <w:rPr>
          <w:rFonts w:ascii="Courier New" w:hAnsi="Courier New"/>
          <w:sz w:val="16"/>
        </w:rPr>
        <w:t>━━━━━━━━━━━━━━━━━━━━━━━━━━━━━━━━━━━━━━━━━━━━━━━━━━</w:t>
        <w:br/>
        <w:t>シナリオ         g(%)  WACC(%) FY2027FCF  TV倍率  理論株価   現在値比</w:t>
        <w:br/>
        <w:t>━━━━━━━━━━━━━━━━━━━━━━━━━━━━━━━━━━━━━━━━━━━━━━━━━━</w:t>
        <w:br/>
        <w:t>🔥超強気         5.5%  9.50%  $28.0B     21.3x   $163/株    ▲51%</w:t>
        <w:br/>
        <w:t>（AI爆発期待MAX）</w:t>
        <w:br/>
        <w:br/>
        <w:t>💪強気           4.5%  9.80%  $26.0B     18.4x   $112/株    ▲66%</w:t>
        <w:br/>
        <w:t>（AI需要順調）</w:t>
        <w:br/>
        <w:br/>
        <w:t>📊基本           3.5%  10.21% $24.3B     14.9x   $76/株     ▲77%</w:t>
        <w:br/>
        <w:t>（現実的成長）</w:t>
        <w:br/>
        <w:br/>
        <w:t>⚠️弱気           2.0%  10.50% $20.0B     11.8x   $45/株     ▲87%</w:t>
        <w:br/>
        <w:t>（中国制裁+VMware遅延）</w:t>
        <w:br/>
        <w:br/>
        <w:t>💀超弱気         1.0%  11.00% $15.0B     9.5x    $22/株     ▲93%</w:t>
        <w:br/>
        <w:t>（複合リスク現実化）</w:t>
        <w:br/>
        <w:t>━━━━━━━━━━━━━━━━━━━━━━━━━━━━━━━━━━━━━━━━━━━━━━━━━━</w:t>
      </w:r>
    </w:p>
    <w:p/>
    <w:p>
      <w:pPr>
        <w:pStyle w:val="Heading3"/>
      </w:pPr>
      <w:r>
        <w:rPr>
          <w:rFonts w:ascii="Meiryo UI" w:hAnsi="Meiryo UI"/>
          <w:color w:val="2E74B5"/>
        </w:rPr>
        <w:t>4-4. DCFと市場価格の乖離解釈</w:t>
      </w:r>
    </w:p>
    <w:p/>
    <w:p>
      <w:pPr>
        <w:shd w:val="clear" w:color="auto" w:fill="F2F2F2"/>
      </w:pPr>
      <w:r>
        <w:rPr>
          <w:rFonts w:ascii="Courier New" w:hAnsi="Courier New"/>
          <w:sz w:val="16"/>
        </w:rPr>
        <w:t>現在株価$334 vs 基本DCF $76 の乖離（$258/株）の正体：</w:t>
        <w:br/>
        <w:br/>
        <w:t>①AIオプション価値（XPU・Anthropic提携のTAM拡大）  ≈ +$80-120</w:t>
        <w:br/>
        <w:t>②VMware超過収益の市場評価プレミアム               ≈ +$30-50</w:t>
        <w:br/>
        <w:t>③独占的カスタムASICポジションの「モート価値」       ≈ +$40-60</w:t>
        <w:br/>
        <w:t>④セクターレーティング（グロース株特有の高マルチプル）≈ +$20-30</w:t>
        <w:br/>
        <w:t xml:space="preserve">                                                  ─────────</w:t>
        <w:br/>
        <w:t xml:space="preserve">  正当化できるプレミアム合計（推計）                ≈ $170-260</w:t>
        <w:br/>
        <w:t xml:space="preserve">  調整後理論レンジ（基本DCF + プレミアム）          ≈ $246-336/株</w:t>
        <w:br/>
        <w:br/>
        <w:t>→ 現在値$334はこのレンジの上限に位置する</w:t>
        <w:br/>
        <w:t>→ AI期待が完全に現実化すれば正当化可能だが、</w:t>
        <w:br/>
        <w:t xml:space="preserve">  「期待通りでも上値余地は限定的」という状況</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DCF基本シナリオ</w:t>
            </w:r>
          </w:p>
        </w:tc>
        <w:tc>
          <w:tcPr>
            <w:tcW w:type="dxa" w:w="3135"/>
          </w:tcPr>
          <w:p>
            <w:r>
              <w:rPr>
                <w:rFonts w:ascii="Meiryo UI" w:hAnsi="Meiryo UI"/>
                <w:sz w:val="18"/>
              </w:rPr>
              <w:t>$76</w:t>
            </w:r>
          </w:p>
        </w:tc>
        <w:tc>
          <w:tcPr>
            <w:tcW w:type="dxa" w:w="3135"/>
          </w:tcPr>
          <w:p>
            <w:r>
              <w:rPr>
                <w:rFonts w:ascii="Meiryo UI" w:hAnsi="Meiryo UI"/>
                <w:sz w:val="18"/>
              </w:rPr>
              <w:t>-77%</w:t>
            </w:r>
          </w:p>
        </w:tc>
      </w:tr>
      <w:tr>
        <w:tc>
          <w:tcPr>
            <w:tcW w:type="dxa" w:w="3135"/>
            <w:shd w:val="clear" w:color="auto" w:fill="DDEBF7"/>
          </w:tcPr>
          <w:p>
            <w:r>
              <w:rPr>
                <w:rFonts w:ascii="Meiryo UI" w:hAnsi="Meiryo UI"/>
                <w:sz w:val="18"/>
              </w:rPr>
              <w:t>DCF強気シナリオ</w:t>
            </w:r>
          </w:p>
        </w:tc>
        <w:tc>
          <w:tcPr>
            <w:tcW w:type="dxa" w:w="3135"/>
            <w:shd w:val="clear" w:color="auto" w:fill="DDEBF7"/>
          </w:tcPr>
          <w:p>
            <w:r>
              <w:rPr>
                <w:rFonts w:ascii="Meiryo UI" w:hAnsi="Meiryo UI"/>
                <w:sz w:val="18"/>
              </w:rPr>
              <w:t>$112</w:t>
            </w:r>
          </w:p>
        </w:tc>
        <w:tc>
          <w:tcPr>
            <w:tcW w:type="dxa" w:w="3135"/>
            <w:shd w:val="clear" w:color="auto" w:fill="DDEBF7"/>
          </w:tcPr>
          <w:p>
            <w:r>
              <w:rPr>
                <w:rFonts w:ascii="Meiryo UI" w:hAnsi="Meiryo UI"/>
                <w:sz w:val="18"/>
              </w:rPr>
              <w:t>-66%</w:t>
            </w:r>
          </w:p>
        </w:tc>
      </w:tr>
      <w:tr>
        <w:tc>
          <w:tcPr>
            <w:tcW w:type="dxa" w:w="3135"/>
          </w:tcPr>
          <w:p>
            <w:r>
              <w:rPr>
                <w:rFonts w:ascii="Meiryo UI" w:hAnsi="Meiryo UI"/>
                <w:sz w:val="18"/>
              </w:rPr>
              <w:t>DCF超強気シナリオ</w:t>
            </w:r>
          </w:p>
        </w:tc>
        <w:tc>
          <w:tcPr>
            <w:tcW w:type="dxa" w:w="3135"/>
          </w:tcPr>
          <w:p>
            <w:r>
              <w:rPr>
                <w:rFonts w:ascii="Meiryo UI" w:hAnsi="Meiryo UI"/>
                <w:sz w:val="18"/>
              </w:rPr>
              <w:t>$163</w:t>
            </w:r>
          </w:p>
        </w:tc>
        <w:tc>
          <w:tcPr>
            <w:tcW w:type="dxa" w:w="3135"/>
          </w:tcPr>
          <w:p>
            <w:r>
              <w:rPr>
                <w:rFonts w:ascii="Meiryo UI" w:hAnsi="Meiryo UI"/>
                <w:sz w:val="18"/>
              </w:rPr>
              <w:t>-51%</w:t>
            </w:r>
          </w:p>
        </w:tc>
      </w:tr>
      <w:tr>
        <w:tc>
          <w:tcPr>
            <w:tcW w:type="dxa" w:w="3135"/>
            <w:shd w:val="clear" w:color="auto" w:fill="DDEBF7"/>
          </w:tcPr>
          <w:p>
            <w:r>
              <w:rPr>
                <w:rFonts w:ascii="Meiryo UI" w:hAnsi="Meiryo UI"/>
                <w:sz w:val="18"/>
              </w:rPr>
              <w:t>PER倍率法（FY2026 EPS$7.5 × 50倍）</w:t>
            </w:r>
          </w:p>
        </w:tc>
        <w:tc>
          <w:tcPr>
            <w:tcW w:type="dxa" w:w="3135"/>
            <w:shd w:val="clear" w:color="auto" w:fill="DDEBF7"/>
          </w:tcPr>
          <w:p>
            <w:r>
              <w:rPr>
                <w:rFonts w:ascii="Meiryo UI" w:hAnsi="Meiryo UI"/>
                <w:sz w:val="18"/>
              </w:rPr>
              <w:t>$375</w:t>
            </w:r>
          </w:p>
        </w:tc>
        <w:tc>
          <w:tcPr>
            <w:tcW w:type="dxa" w:w="3135"/>
            <w:shd w:val="clear" w:color="auto" w:fill="DDEBF7"/>
          </w:tcPr>
          <w:p>
            <w:r>
              <w:rPr>
                <w:rFonts w:ascii="Meiryo UI" w:hAnsi="Meiryo UI"/>
                <w:sz w:val="18"/>
              </w:rPr>
              <w:t>+12%</w:t>
            </w:r>
          </w:p>
        </w:tc>
      </w:tr>
      <w:tr>
        <w:tc>
          <w:tcPr>
            <w:tcW w:type="dxa" w:w="3135"/>
          </w:tcPr>
          <w:p>
            <w:r>
              <w:rPr>
                <w:rFonts w:ascii="Meiryo UI" w:hAnsi="Meiryo UI"/>
                <w:sz w:val="18"/>
              </w:rPr>
              <w:t>PER倍率法（FY2026 EPS$7.5 × 55倍）</w:t>
            </w:r>
          </w:p>
        </w:tc>
        <w:tc>
          <w:tcPr>
            <w:tcW w:type="dxa" w:w="3135"/>
          </w:tcPr>
          <w:p>
            <w:r>
              <w:rPr>
                <w:rFonts w:ascii="Meiryo UI" w:hAnsi="Meiryo UI"/>
                <w:sz w:val="18"/>
              </w:rPr>
              <w:t>$413</w:t>
            </w:r>
          </w:p>
        </w:tc>
        <w:tc>
          <w:tcPr>
            <w:tcW w:type="dxa" w:w="3135"/>
          </w:tcPr>
          <w:p>
            <w:r>
              <w:rPr>
                <w:rFonts w:ascii="Meiryo UI" w:hAnsi="Meiryo UI"/>
                <w:sz w:val="18"/>
              </w:rPr>
              <w:t>+24%</w:t>
            </w:r>
          </w:p>
        </w:tc>
      </w:tr>
      <w:tr>
        <w:tc>
          <w:tcPr>
            <w:tcW w:type="dxa" w:w="3135"/>
            <w:shd w:val="clear" w:color="auto" w:fill="DDEBF7"/>
          </w:tcPr>
          <w:p>
            <w:r>
              <w:rPr>
                <w:rFonts w:ascii="Meiryo UI" w:hAnsi="Meiryo UI"/>
                <w:sz w:val="18"/>
              </w:rPr>
              <w:t>EV/EBITDA法（35倍）</w:t>
            </w:r>
          </w:p>
        </w:tc>
        <w:tc>
          <w:tcPr>
            <w:tcW w:type="dxa" w:w="3135"/>
            <w:shd w:val="clear" w:color="auto" w:fill="DDEBF7"/>
          </w:tcPr>
          <w:p>
            <w:r>
              <w:rPr>
                <w:rFonts w:ascii="Meiryo UI" w:hAnsi="Meiryo UI"/>
                <w:sz w:val="18"/>
              </w:rPr>
              <w:t>$310</w:t>
            </w:r>
          </w:p>
        </w:tc>
        <w:tc>
          <w:tcPr>
            <w:tcW w:type="dxa" w:w="3135"/>
            <w:shd w:val="clear" w:color="auto" w:fill="DDEBF7"/>
          </w:tcPr>
          <w:p>
            <w:r>
              <w:rPr>
                <w:rFonts w:ascii="Meiryo UI" w:hAnsi="Meiryo UI"/>
                <w:sz w:val="18"/>
              </w:rPr>
              <w:t>-7%</w:t>
            </w:r>
          </w:p>
        </w:tc>
      </w:tr>
      <w:tr>
        <w:tc>
          <w:tcPr>
            <w:tcW w:type="dxa" w:w="3135"/>
          </w:tcPr>
          <w:p>
            <w:r>
              <w:rPr>
                <w:rFonts w:ascii="Meiryo UI" w:hAnsi="Meiryo UI"/>
                <w:sz w:val="18"/>
              </w:rPr>
              <w:t>EV/EBITDA法（40倍）</w:t>
            </w:r>
          </w:p>
        </w:tc>
        <w:tc>
          <w:tcPr>
            <w:tcW w:type="dxa" w:w="3135"/>
          </w:tcPr>
          <w:p>
            <w:r>
              <w:rPr>
                <w:rFonts w:ascii="Meiryo UI" w:hAnsi="Meiryo UI"/>
                <w:sz w:val="18"/>
              </w:rPr>
              <w:t>$355</w:t>
            </w:r>
          </w:p>
        </w:tc>
        <w:tc>
          <w:tcPr>
            <w:tcW w:type="dxa" w:w="3135"/>
          </w:tcPr>
          <w:p>
            <w:r>
              <w:rPr>
                <w:rFonts w:ascii="Meiryo UI" w:hAnsi="Meiryo UI"/>
                <w:sz w:val="18"/>
              </w:rPr>
              <w:t>+6%</w:t>
            </w:r>
          </w:p>
        </w:tc>
      </w:tr>
      <w:tr>
        <w:tc>
          <w:tcPr>
            <w:tcW w:type="dxa" w:w="3135"/>
            <w:shd w:val="clear" w:color="auto" w:fill="DDEBF7"/>
          </w:tcPr>
          <w:p>
            <w:r>
              <w:rPr>
                <w:rFonts w:ascii="Meiryo UI" w:hAnsi="Meiryo UI"/>
                <w:sz w:val="18"/>
              </w:rPr>
              <w:t>総合理論株価レンジ（DCF調整後）</w:t>
            </w:r>
          </w:p>
        </w:tc>
        <w:tc>
          <w:tcPr>
            <w:tcW w:type="dxa" w:w="3135"/>
            <w:shd w:val="clear" w:color="auto" w:fill="DDEBF7"/>
          </w:tcPr>
          <w:p>
            <w:r>
              <w:rPr>
                <w:rFonts w:ascii="Meiryo UI" w:hAnsi="Meiryo UI"/>
                <w:sz w:val="18"/>
              </w:rPr>
              <w:t>$246〜$375</w:t>
            </w:r>
          </w:p>
        </w:tc>
        <w:tc>
          <w:tcPr>
            <w:tcW w:type="dxa" w:w="3135"/>
            <w:shd w:val="clear" w:color="auto" w:fill="DDEBF7"/>
          </w:tcPr>
          <w:p>
            <w:r>
              <w:rPr>
                <w:rFonts w:ascii="Meiryo UI" w:hAnsi="Meiryo UI"/>
                <w:sz w:val="18"/>
              </w:rPr>
              <w:t>▲26%〜+12%</w:t>
            </w:r>
          </w:p>
        </w:tc>
      </w:tr>
      <w:tr>
        <w:tc>
          <w:tcPr>
            <w:tcW w:type="dxa" w:w="3135"/>
          </w:tcPr>
          <w:p>
            <w:r>
              <w:rPr>
                <w:rFonts w:ascii="Meiryo UI" w:hAnsi="Meiryo UI"/>
                <w:sz w:val="18"/>
              </w:rPr>
              <w:t>中央値（フェアバリュー推計）</w:t>
            </w:r>
          </w:p>
        </w:tc>
        <w:tc>
          <w:tcPr>
            <w:tcW w:type="dxa" w:w="3135"/>
          </w:tcPr>
          <w:p>
            <w:r>
              <w:rPr>
                <w:rFonts w:ascii="Meiryo UI" w:hAnsi="Meiryo UI"/>
                <w:sz w:val="18"/>
              </w:rPr>
              <w:t>$310</w:t>
            </w:r>
          </w:p>
        </w:tc>
        <w:tc>
          <w:tcPr>
            <w:tcW w:type="dxa" w:w="3135"/>
          </w:tcPr>
          <w:p>
            <w:r>
              <w:rPr>
                <w:rFonts w:ascii="Meiryo UI" w:hAnsi="Meiryo UI"/>
                <w:sz w:val="18"/>
              </w:rPr>
              <w:t>▲7.2%</w:t>
            </w:r>
          </w:p>
        </w:tc>
      </w:tr>
    </w:tbl>
    <w:p/>
    <w:p>
      <w:pPr>
        <w:pStyle w:val="Heading3"/>
      </w:pPr>
      <w:r>
        <w:rPr>
          <w:rFonts w:ascii="Meiryo UI" w:hAnsi="Meiryo UI"/>
          <w:color w:val="2E74B5"/>
        </w:rPr>
        <w:t>5-2. 投資判断</w:t>
      </w:r>
    </w:p>
    <w:p/>
    <w:p>
      <w:pPr>
        <w:shd w:val="clear" w:color="auto" w:fill="F2F2F2"/>
      </w:pPr>
      <w:r>
        <w:rPr>
          <w:rFonts w:ascii="Courier New" w:hAnsi="Courier New"/>
          <w:sz w:val="16"/>
        </w:rPr>
        <w:t>╔════════════════════════════════════════════════╗</w:t>
        <w:br/>
        <w:t>║  投資判断: 🟡 条件付き買い（Conditional BUY）  ║</w:t>
        <w:br/>
        <w:t>║  理論株価レンジ: $246〜$375                    ║</w:t>
        <w:br/>
        <w:t>║  フェアバリュー中央値: $310                    ║</w:t>
        <w:br/>
        <w:t>║  現在株価: $334                               ║</w:t>
        <w:br/>
        <w:t>║  現在値とフェアバリューの乖離: ▲7.2%          ║</w:t>
        <w:br/>
        <w:t>╚════════════════════════════════════════════════╝</w:t>
        <w:br/>
        <w:br/>
        <w:t>安全域（Margin of Safety）:</w:t>
        <w:br/>
        <w:t xml:space="preserve">  推奨エントリーには最低15-20%の安全域が必要</w:t>
        <w:br/>
        <w:t xml:space="preserve">  $310 × (1-0.15) = $263.5 が理想的エントリー上限</w:t>
        <w:br/>
        <w:t xml:space="preserve">  → 現在$334はこのラインを27%上回る【割高水準】</w:t>
        <w:br/>
        <w:br/>
        <w:t>ただし、以下の条件が成立すれば$334での分割エントリーを容認:</w:t>
        <w:br/>
        <w:t xml:space="preserve">  ✅ Anthropic×Google×Broadcom提携が2027年フル稼働で確定</w:t>
        <w:br/>
        <w:t xml:space="preserve">  ✅ AI半導体売上が四半期$6B超で継続</w:t>
        <w:br/>
        <w:t xml:space="preserve">  ✅ 中国制裁追加がない</w:t>
        <w:br/>
        <w:t xml:space="preserve">  ✅ VMware ARRが$15Bを突破</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3ケース詳細分析</w:t>
      </w:r>
    </w:p>
    <w:p/>
    <w:p>
      <w:pPr>
        <w:shd w:val="clear" w:color="auto" w:fill="F2F2F2"/>
      </w:pPr>
      <w:r>
        <w:rPr>
          <w:rFonts w:ascii="Courier New" w:hAnsi="Courier New"/>
          <w:sz w:val="16"/>
        </w:rPr>
        <w:t>━━━━━━━━━━━━━━━━━━━━━━━━━━━━━━━━━━━━━━━━━━━━━━━━━━━━━</w:t>
        <w:br/>
        <w:t xml:space="preserve">                    強気シナリオ    基本シナリオ    弱気シナリオ</w:t>
        <w:br/>
        <w:t>━━━━━━━━━━━━━━━━━━━━━━━━━━━━━━━━━━━━━━━━━━━━━━━━━━━━━</w:t>
        <w:br/>
        <w:t>確率                   30%             50%             20%</w:t>
        <w:br/>
        <w:t>━━━━━━━━━━━━━━━━━━━━━━━━━━━━━━━━━━━━━━━━━━━━━━━━━━━━━</w:t>
        <w:br/>
        <w:t>FY2027 売上高          $75B            $62B            $45B</w:t>
        <w:br/>
        <w:t>FY2027 FCF             $31B            $24.3B          $16B</w:t>
        <w:br/>
        <w:t>AI半導体売上           $28B            $22B            $14B</w:t>
        <w:br/>
        <w:t>VMware ARR             $22B            $18B            $14B</w:t>
        <w:br/>
        <w:br/>
        <w:t>理論株価（2026年末）   $420-480         $310-375        $160-230</w:t>
        <w:br/>
        <w:t>想定PER（FY2026）      60-70倍          50-55倍         35-40倍</w:t>
        <w:br/>
        <w:br/>
        <w:t>主な前提:</w:t>
        <w:br/>
        <w:t>・Anthropic提携フル寄与  フル寄与($35B)  部分寄与($22B)  遅延/縮小</w:t>
        <w:br/>
        <w:t>・中国売上              現状維持         20%減少          50%減少</w:t>
        <w:br/>
        <w:t>・VMwareサブスク転換     95%完了          85%完了          70%止まり</w:t>
        <w:br/>
        <w:t>・内製化リスク           発生なし         一部発生          Google離脱</w:t>
        <w:br/>
        <w:t>━━━━━━━━━━━━━━━━━━━━━━━━━━━━━━━━━━━━━━━━━━━━━━━━━━━━━</w:t>
        <w:br/>
        <w:t>加重平均理論株価（1年後）:</w:t>
        <w:br/>
        <w:t xml:space="preserve">  $450×0.30 + $342×0.50 + $195×0.20 = $135 + $171 + $39 = $345/株</w:t>
        <w:br/>
        <w:t>━━━━━━━━━━━━━━━━━━━━━━━━━━━━━━━━━━━━━━━━━━━━━━━━━━━━━</w:t>
      </w:r>
    </w:p>
    <w:p/>
    <w:p>
      <w:r>
        <w:rPr>
          <w:rFonts w:ascii="Meiryo UI" w:hAnsi="Meiryo UI"/>
          <w:sz w:val="20"/>
        </w:rPr>
        <w:t>加重平均理論株価: $345（現在値$334比 +3.3%）</w:t>
      </w:r>
    </w:p>
    <w:p/>
    <w:p>
      <w:r>
        <w:rPr>
          <w:rFonts w:ascii="Meiryo UI" w:hAnsi="Meiryo UI"/>
          <w:sz w:val="20"/>
        </w:rPr>
        <w:t>→ 期待値ベースでは微妙にプラスだが、リスク対比では魅力薄い。</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センチメント vs 本源的価値のギャップ分析</w:t>
      </w:r>
    </w:p>
    <w:p/>
    <w:p>
      <w:pPr>
        <w:shd w:val="clear" w:color="auto" w:fill="F2F2F2"/>
      </w:pPr>
      <w:r>
        <w:rPr>
          <w:rFonts w:ascii="Courier New" w:hAnsi="Courier New"/>
          <w:sz w:val="16"/>
        </w:rPr>
        <w:t>浅井速報評価:  +0 BUY（ポジティブセンチメント）</w:t>
        <w:br/>
        <w:t>深井DCF評価:   現在値は本源的価値を7〜77%上回る（手法による）</w:t>
        <w:br/>
        <w:t>━━━━━━━━━━━━━━━━━━━━━━━━━━━━━━━━━━━━━━━━━━━━━━━━━━</w:t>
        <w:br/>
        <w:t>ギャップの解釈:</w:t>
        <w:br/>
        <w:br/>
        <w:t>【センチメントが正しい側面】</w:t>
        <w:br/>
        <w:t>✅ Anthropic×Google×Broadcom提携は「事実」として確認済み</w:t>
        <w:br/>
        <w:t>✅ AI半導体需要の爆発的成長（ディスコ+99、さくら+98）は同軸</w:t>
        <w:br/>
        <w:t>✅ ハイパースケーラーのカスタムASIC移行は構造的トレンド（5年+）</w:t>
        <w:br/>
        <w:t>✅ NVIDIAとの役割分担が確立され、市場拡大の恩恵をダブルで享受</w:t>
        <w:br/>
        <w:br/>
        <w:t>【DCFが示す注意点】</w:t>
        <w:br/>
        <w:t>⚠️ 現在株価は2027年以降の完全成長シナリオを先取り</w:t>
        <w:br/>
        <w:t>⚠️ FCFイールド0.97%は国債（4.3%）との裁定観点では明確に割高</w:t>
        <w:br/>
        <w:t>⚠️ BPS $17に対しPBR 19.80倍は「収益力への期待」が純資産を19倍圧縮</w:t>
        <w:br/>
        <w:t>⚠️ グロース株からバリュー株への再評価局面（金利上昇）でマルチプル圧縮リスク</w:t>
        <w:br/>
        <w:br/>
        <w:t>【統合評価コメント】</w:t>
        <w:br/>
        <w:t>浅井速報の「AIテーマ乗り」の観点では正当なBUY判断。</w:t>
        <w:br/>
        <w:t>ただし深井の本源的価値分析では、現在値は「期待値の天井」に近い。</w:t>
        <w:br/>
        <w:br/>
        <w:t>→ 「テーマ投資 × 分散エントリー × 損切り厳守」の条件付き推奨</w:t>
        <w:br/>
        <w:t>→ ポジションはフルではなく30-50%にとどめ、押し目を待つ構成が合理的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w:t>
      </w:r>
    </w:p>
    <w:p/>
    <w:p>
      <w:pPr>
        <w:shd w:val="clear" w:color="auto" w:fill="F2F2F2"/>
      </w:pPr>
      <w:r>
        <w:rPr>
          <w:rFonts w:ascii="Courier New" w:hAnsi="Courier New"/>
          <w:sz w:val="16"/>
        </w:rPr>
        <w:t>╔══════════════════════════════════════════════════════════════╗</w:t>
        <w:br/>
        <w:t>║  推奨ポジションサイズ: ポートフォリオの3〜5%              ║</w:t>
        <w:br/>
        <w:t>║  ※ テックグロース集中リスクのため上限5%を厳守             ║</w:t>
        <w:br/>
        <w:t>╚══════════════════════════════════════════════════════════════╝</w:t>
        <w:br/>
        <w:br/>
        <w:t>【分割エントリー計画】</w:t>
        <w:br/>
        <w:t>━━━━━━━━━━━━━━━━━━━━━━━━━━━━━━━━━━━━━━━━━━━━━━━━━━</w:t>
        <w:br/>
        <w:t>フェーズ1（即時）: 目標ポジの30%</w:t>
        <w:br/>
        <w:t xml:space="preserve">  エントリー価格: $300-335（現値〜+0.3%）</w:t>
        <w:br/>
        <w:t xml:space="preserve">  条件: 現時点での相場環境を受け入れ、テーマ参加を優先</w:t>
        <w:br/>
        <w:t xml:space="preserve">  サイズ: ポートフォリオの1.0-1.5%</w:t>
        <w:br/>
        <w:br/>
        <w:t>フェーズ2（押し目待ち）: 目標ポジの40%</w:t>
        <w:br/>
        <w:t xml:space="preserve">  エントリー価格: $280-300（現値 ▲10〜▲16%）</w:t>
        <w:br/>
        <w:t xml:space="preserve">  条件: 市場調整・地政学リスク拡大・AVGO固有ネガ決算等</w:t>
        <w:br/>
        <w:t xml:space="preserve">  サイズ: ポートフォリオの1.5-2.0%</w:t>
        <w:br/>
        <w:br/>
        <w:t>フェーズ3（決算確認後）: 目標ポジの30%</w:t>
        <w:br/>
        <w:t xml:space="preserve">  エントリー価格: FY2025Q2決算後のリアクション確認後</w:t>
        <w:br/>
        <w:t xml:space="preserve">  条件: AI半導体売上$6B超確認 + ガイダンス上振れ</w:t>
        <w:br/>
        <w:t xml:space="preserve">  サイズ: ポートフォリオの0.5-1.0%</w:t>
        <w:br/>
        <w:t>━━━━━━━━━━━━━━━━━━━━━━━━━━━━━━━━━━━━━━━━━━━━━━━━━━</w:t>
        <w:br/>
        <w:br/>
        <w:t>【損切りライン（ストップロス）】</w:t>
        <w:br/>
        <w:t xml:space="preserve">  ハードストップ: $248（現在値 ▲25.7%）</w:t>
        <w:br/>
        <w:t xml:space="preserve">  理由: 弱気DCFシナリオ下限$230 + バッファ7.8%</w:t>
        <w:br/>
        <w:t xml:space="preserve">  ソフトストップ（再評価トリガー）:</w:t>
        <w:br/>
        <w:t xml:space="preserve">    - 中国への全面禁輸制裁発動時</w:t>
        <w:br/>
        <w:t xml:space="preserve">    - AI半導体売上が2四半期連続で$5B未満</w:t>
        <w:br/>
        <w:t xml:space="preserve">    - Google/Meta が内製化移行を公式発表した場合</w:t>
        <w:br/>
        <w:br/>
        <w:t>【利益確定ライン】</w:t>
        <w:br/>
        <w:t xml:space="preserve">  第一目標: $375（現値 +12.3%）→ ポジの30%利確</w:t>
        <w:br/>
        <w:t xml:space="preserve">  第二目標: $420（現値 +25.7%）→ ポジの40%利確</w:t>
        <w:br/>
        <w:t xml:space="preserve">  残り30%: ストーリー（AI需要・VMware収益）が続く限りホールド</w:t>
        <w:br/>
        <w:br/>
        <w:t>【推奨時間軸】</w:t>
        <w:br/>
        <w:t xml:space="preserve">  メインシナリオ達成期間: 12〜18ヶ月（2027年3月を目標）</w:t>
        <w:br/>
        <w:t xml:space="preserve">  投資テーマ持続期間: 3〜5年（AI半導体サイクル）</w:t>
      </w:r>
    </w:p>
    <w:p/>
    <w:p>
      <w:pPr>
        <w:pStyle w:val="Heading3"/>
      </w:pPr>
      <w:r>
        <w:rPr>
          <w:rFonts w:ascii="Meiryo UI" w:hAnsi="Meiryo UI"/>
          <w:color w:val="2E74B5"/>
        </w:rPr>
        <w:t>現値エントリーの正当化評価</w:t>
      </w:r>
    </w:p>
    <w:p/>
    <w:p>
      <w:pPr>
        <w:shd w:val="clear" w:color="auto" w:fill="F2F2F2"/>
      </w:pPr>
      <w:r>
        <w:rPr>
          <w:rFonts w:ascii="Courier New" w:hAnsi="Courier New"/>
          <w:sz w:val="16"/>
        </w:rPr>
        <w:t>現値$334でのエントリーは「条件付きで正当化可能」</w:t>
        <w:br/>
        <w:br/>
        <w:t>正当化できる条件:</w:t>
        <w:br/>
        <w:t xml:space="preserve">  ✅ 2027年Anthropic提携フル寄与を確信できる確度が70%超</w:t>
        <w:br/>
        <w:t xml:space="preserve">  ✅ 中国リスクへのヘッジ（ポートフォリオ全体）が確保されている</w:t>
        <w:br/>
        <w:t xml:space="preserve">  ✅ 損切りライン$248を厳守できる</w:t>
        <w:br/>
        <w:t xml:space="preserve">  ✅ ポジションが5%以下に収まっている</w:t>
        <w:br/>
        <w:br/>
        <w:t>正当化できない条件:</w:t>
        <w:br/>
        <w:t xml:space="preserve">  ❌ フルサイズ（10%以上）での一括買い</w:t>
        <w:br/>
        <w:t xml:space="preserve">  ❌ 中国・ホルムズ等地政学リスクが同時に高まっている状況での追加投資</w:t>
        <w:br/>
        <w:t xml:space="preserve">  ❌ 次回決算前の大きなポジション構築（ミスビート▲15%リスクあり）</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Rf変動による理論株価への影響（基本シナリオ g=3.5%）</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理論株価(USD)</w:t>
            </w:r>
          </w:p>
        </w:tc>
        <w:tc>
          <w:tcPr>
            <w:tcW w:type="dxa" w:w="1881"/>
            <w:shd w:val="clear" w:color="auto" w:fill="2E74B5"/>
          </w:tcPr>
          <w:p>
            <w:r>
              <w:rPr>
                <w:rFonts w:ascii="Meiryo UI" w:hAnsi="Meiryo UI"/>
                <w:b/>
                <w:color w:val="FFFFFF"/>
                <w:sz w:val="18"/>
              </w:rPr>
              <w:t>現在値($334)比乖離率</w:t>
            </w:r>
          </w:p>
        </w:tc>
      </w:tr>
      <w:tr>
        <w:tc>
          <w:tcPr>
            <w:tcW w:type="dxa" w:w="1881"/>
          </w:tcPr>
          <w:p>
            <w:r>
              <w:rPr>
                <w:rFonts w:ascii="Meiryo UI" w:hAnsi="Meiryo UI"/>
                <w:sz w:val="18"/>
              </w:rPr>
              <w:t>Rf ▲1.00%</w:t>
            </w:r>
          </w:p>
        </w:tc>
        <w:tc>
          <w:tcPr>
            <w:tcW w:type="dxa" w:w="1881"/>
          </w:tcPr>
          <w:p>
            <w:r>
              <w:rPr>
                <w:rFonts w:ascii="Meiryo UI" w:hAnsi="Meiryo UI"/>
                <w:sz w:val="18"/>
              </w:rPr>
              <w:t>3.300%</w:t>
            </w:r>
          </w:p>
        </w:tc>
        <w:tc>
          <w:tcPr>
            <w:tcW w:type="dxa" w:w="1881"/>
          </w:tcPr>
          <w:p>
            <w:r>
              <w:rPr>
                <w:rFonts w:ascii="Meiryo UI" w:hAnsi="Meiryo UI"/>
                <w:sz w:val="18"/>
              </w:rPr>
              <w:t>9.21%</w:t>
            </w:r>
          </w:p>
        </w:tc>
        <w:tc>
          <w:tcPr>
            <w:tcW w:type="dxa" w:w="1881"/>
          </w:tcPr>
          <w:p>
            <w:r>
              <w:rPr>
                <w:rFonts w:ascii="Meiryo UI" w:hAnsi="Meiryo UI"/>
                <w:sz w:val="18"/>
              </w:rPr>
              <w:t>$108</w:t>
            </w:r>
          </w:p>
        </w:tc>
        <w:tc>
          <w:tcPr>
            <w:tcW w:type="dxa" w:w="1881"/>
          </w:tcPr>
          <w:p>
            <w:r>
              <w:rPr>
                <w:rFonts w:ascii="Meiryo UI" w:hAnsi="Meiryo UI"/>
                <w:sz w:val="18"/>
              </w:rPr>
              <w:t>▲67.7%</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3.800%</w:t>
            </w:r>
          </w:p>
        </w:tc>
        <w:tc>
          <w:tcPr>
            <w:tcW w:type="dxa" w:w="1881"/>
            <w:shd w:val="clear" w:color="auto" w:fill="DDEBF7"/>
          </w:tcPr>
          <w:p>
            <w:r>
              <w:rPr>
                <w:rFonts w:ascii="Meiryo UI" w:hAnsi="Meiryo UI"/>
                <w:sz w:val="18"/>
              </w:rPr>
              <w:t>9.71%</w:t>
            </w:r>
          </w:p>
        </w:tc>
        <w:tc>
          <w:tcPr>
            <w:tcW w:type="dxa" w:w="1881"/>
            <w:shd w:val="clear" w:color="auto" w:fill="DDEBF7"/>
          </w:tcPr>
          <w:p>
            <w:r>
              <w:rPr>
                <w:rFonts w:ascii="Meiryo UI" w:hAnsi="Meiryo UI"/>
                <w:sz w:val="18"/>
              </w:rPr>
              <w:t>$91</w:t>
            </w:r>
          </w:p>
        </w:tc>
        <w:tc>
          <w:tcPr>
            <w:tcW w:type="dxa" w:w="1881"/>
            <w:shd w:val="clear" w:color="auto" w:fill="DDEBF7"/>
          </w:tcPr>
          <w:p>
            <w:r>
              <w:rPr>
                <w:rFonts w:ascii="Meiryo UI" w:hAnsi="Meiryo UI"/>
                <w:sz w:val="18"/>
              </w:rPr>
              <w:t>▲72.8%</w:t>
            </w:r>
          </w:p>
        </w:tc>
      </w:tr>
      <w:tr>
        <w:tc>
          <w:tcPr>
            <w:tcW w:type="dxa" w:w="1881"/>
          </w:tcPr>
          <w:p>
            <w:r>
              <w:rPr>
                <w:rFonts w:ascii="Meiryo UI" w:hAnsi="Meiryo UI"/>
                <w:sz w:val="18"/>
              </w:rPr>
              <w:t>Rf ▲0.25%</w:t>
            </w:r>
          </w:p>
        </w:tc>
        <w:tc>
          <w:tcPr>
            <w:tcW w:type="dxa" w:w="1881"/>
          </w:tcPr>
          <w:p>
            <w:r>
              <w:rPr>
                <w:rFonts w:ascii="Meiryo UI" w:hAnsi="Meiryo UI"/>
                <w:sz w:val="18"/>
              </w:rPr>
              <w:t>4.050%</w:t>
            </w:r>
          </w:p>
        </w:tc>
        <w:tc>
          <w:tcPr>
            <w:tcW w:type="dxa" w:w="1881"/>
          </w:tcPr>
          <w:p>
            <w:r>
              <w:rPr>
                <w:rFonts w:ascii="Meiryo UI" w:hAnsi="Meiryo UI"/>
                <w:sz w:val="18"/>
              </w:rPr>
              <w:t>9.96%</w:t>
            </w:r>
          </w:p>
        </w:tc>
        <w:tc>
          <w:tcPr>
            <w:tcW w:type="dxa" w:w="1881"/>
          </w:tcPr>
          <w:p>
            <w:r>
              <w:rPr>
                <w:rFonts w:ascii="Meiryo UI" w:hAnsi="Meiryo UI"/>
                <w:sz w:val="18"/>
              </w:rPr>
              <w:t>$83</w:t>
            </w:r>
          </w:p>
        </w:tc>
        <w:tc>
          <w:tcPr>
            <w:tcW w:type="dxa" w:w="1881"/>
          </w:tcPr>
          <w:p>
            <w:r>
              <w:rPr>
                <w:rFonts w:ascii="Meiryo UI" w:hAnsi="Meiryo UI"/>
                <w:sz w:val="18"/>
              </w:rPr>
              <w:t>▲75.1%</w:t>
            </w:r>
          </w:p>
        </w:tc>
      </w:tr>
      <w:tr>
        <w:tc>
          <w:tcPr>
            <w:tcW w:type="dxa" w:w="1881"/>
            <w:shd w:val="clear" w:color="auto" w:fill="DDEBF7"/>
          </w:tcPr>
          <w:p>
            <w:r>
              <w:rPr>
                <w:rFonts w:ascii="Meiryo UI" w:hAnsi="Meiryo UI"/>
                <w:sz w:val="18"/>
              </w:rPr>
              <w:t>ベース（現在）</w:t>
            </w:r>
          </w:p>
        </w:tc>
        <w:tc>
          <w:tcPr>
            <w:tcW w:type="dxa" w:w="1881"/>
            <w:shd w:val="clear" w:color="auto" w:fill="DDEBF7"/>
          </w:tcPr>
          <w:p>
            <w:r>
              <w:rPr>
                <w:rFonts w:ascii="Meiryo UI" w:hAnsi="Meiryo UI"/>
                <w:sz w:val="18"/>
              </w:rPr>
              <w:t>4.300%</w:t>
            </w:r>
          </w:p>
        </w:tc>
        <w:tc>
          <w:tcPr>
            <w:tcW w:type="dxa" w:w="1881"/>
            <w:shd w:val="clear" w:color="auto" w:fill="DDEBF7"/>
          </w:tcPr>
          <w:p>
            <w:r>
              <w:rPr>
                <w:rFonts w:ascii="Meiryo UI" w:hAnsi="Meiryo UI"/>
                <w:sz w:val="18"/>
              </w:rPr>
              <w:t>10.21%</w:t>
            </w:r>
          </w:p>
        </w:tc>
        <w:tc>
          <w:tcPr>
            <w:tcW w:type="dxa" w:w="1881"/>
            <w:shd w:val="clear" w:color="auto" w:fill="DDEBF7"/>
          </w:tcPr>
          <w:p>
            <w:r>
              <w:rPr>
                <w:rFonts w:ascii="Meiryo UI" w:hAnsi="Meiryo UI"/>
                <w:sz w:val="18"/>
              </w:rPr>
              <w:t>$76</w:t>
            </w:r>
          </w:p>
        </w:tc>
        <w:tc>
          <w:tcPr>
            <w:tcW w:type="dxa" w:w="1881"/>
            <w:shd w:val="clear" w:color="auto" w:fill="DDEBF7"/>
          </w:tcPr>
          <w:p>
            <w:r>
              <w:rPr>
                <w:rFonts w:ascii="Meiryo UI" w:hAnsi="Meiryo UI"/>
                <w:sz w:val="18"/>
              </w:rPr>
              <w:t>▲77.2%</w:t>
            </w:r>
          </w:p>
        </w:tc>
      </w:tr>
      <w:tr>
        <w:tc>
          <w:tcPr>
            <w:tcW w:type="dxa" w:w="1881"/>
          </w:tcPr>
          <w:p>
            <w:r>
              <w:rPr>
                <w:rFonts w:ascii="Meiryo UI" w:hAnsi="Meiryo UI"/>
                <w:sz w:val="18"/>
              </w:rPr>
              <w:t>Rf +0.25%</w:t>
            </w:r>
          </w:p>
        </w:tc>
        <w:tc>
          <w:tcPr>
            <w:tcW w:type="dxa" w:w="1881"/>
          </w:tcPr>
          <w:p>
            <w:r>
              <w:rPr>
                <w:rFonts w:ascii="Meiryo UI" w:hAnsi="Meiryo UI"/>
                <w:sz w:val="18"/>
              </w:rPr>
              <w:t>4.550%</w:t>
            </w:r>
          </w:p>
        </w:tc>
        <w:tc>
          <w:tcPr>
            <w:tcW w:type="dxa" w:w="1881"/>
          </w:tcPr>
          <w:p>
            <w:r>
              <w:rPr>
                <w:rFonts w:ascii="Meiryo UI" w:hAnsi="Meiryo UI"/>
                <w:sz w:val="18"/>
              </w:rPr>
              <w:t>10.46%</w:t>
            </w:r>
          </w:p>
        </w:tc>
        <w:tc>
          <w:tcPr>
            <w:tcW w:type="dxa" w:w="1881"/>
          </w:tcPr>
          <w:p>
            <w:r>
              <w:rPr>
                <w:rFonts w:ascii="Meiryo UI" w:hAnsi="Meiryo UI"/>
                <w:sz w:val="18"/>
              </w:rPr>
              <w:t>$70</w:t>
            </w:r>
          </w:p>
        </w:tc>
        <w:tc>
          <w:tcPr>
            <w:tcW w:type="dxa" w:w="1881"/>
          </w:tcPr>
          <w:p>
            <w:r>
              <w:rPr>
                <w:rFonts w:ascii="Meiryo UI" w:hAnsi="Meiryo UI"/>
                <w:sz w:val="18"/>
              </w:rPr>
              <w:t>▲79.0%</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4.800%</w:t>
            </w:r>
          </w:p>
        </w:tc>
        <w:tc>
          <w:tcPr>
            <w:tcW w:type="dxa" w:w="1881"/>
            <w:shd w:val="clear" w:color="auto" w:fill="DDEBF7"/>
          </w:tcPr>
          <w:p>
            <w:r>
              <w:rPr>
                <w:rFonts w:ascii="Meiryo UI" w:hAnsi="Meiryo UI"/>
                <w:sz w:val="18"/>
              </w:rPr>
              <w:t>10.71%</w:t>
            </w:r>
          </w:p>
        </w:tc>
        <w:tc>
          <w:tcPr>
            <w:tcW w:type="dxa" w:w="1881"/>
            <w:shd w:val="clear" w:color="auto" w:fill="DDEBF7"/>
          </w:tcPr>
          <w:p>
            <w:r>
              <w:rPr>
                <w:rFonts w:ascii="Meiryo UI" w:hAnsi="Meiryo UI"/>
                <w:sz w:val="18"/>
              </w:rPr>
              <w:t>$64</w:t>
            </w:r>
          </w:p>
        </w:tc>
        <w:tc>
          <w:tcPr>
            <w:tcW w:type="dxa" w:w="1881"/>
            <w:shd w:val="clear" w:color="auto" w:fill="DDEBF7"/>
          </w:tcPr>
          <w:p>
            <w:r>
              <w:rPr>
                <w:rFonts w:ascii="Meiryo UI" w:hAnsi="Meiryo UI"/>
                <w:sz w:val="18"/>
              </w:rPr>
              <w:t>▲80.8%</w:t>
            </w:r>
          </w:p>
        </w:tc>
      </w:tr>
      <w:tr>
        <w:tc>
          <w:tcPr>
            <w:tcW w:type="dxa" w:w="1881"/>
          </w:tcPr>
          <w:p>
            <w:r>
              <w:rPr>
                <w:rFonts w:ascii="Meiryo UI" w:hAnsi="Meiryo UI"/>
                <w:sz w:val="18"/>
              </w:rPr>
              <w:t>Rf +1.00%</w:t>
            </w:r>
          </w:p>
        </w:tc>
        <w:tc>
          <w:tcPr>
            <w:tcW w:type="dxa" w:w="1881"/>
          </w:tcPr>
          <w:p>
            <w:r>
              <w:rPr>
                <w:rFonts w:ascii="Meiryo UI" w:hAnsi="Meiryo UI"/>
                <w:sz w:val="18"/>
              </w:rPr>
              <w:t>5.300%</w:t>
            </w:r>
          </w:p>
        </w:tc>
        <w:tc>
          <w:tcPr>
            <w:tcW w:type="dxa" w:w="1881"/>
          </w:tcPr>
          <w:p>
            <w:r>
              <w:rPr>
                <w:rFonts w:ascii="Meiryo UI" w:hAnsi="Meiryo UI"/>
                <w:sz w:val="18"/>
              </w:rPr>
              <w:t>11.21%</w:t>
            </w:r>
          </w:p>
        </w:tc>
        <w:tc>
          <w:tcPr>
            <w:tcW w:type="dxa" w:w="1881"/>
          </w:tcPr>
          <w:p>
            <w:r>
              <w:rPr>
                <w:rFonts w:ascii="Meiryo UI" w:hAnsi="Meiryo UI"/>
                <w:sz w:val="18"/>
              </w:rPr>
              <w:t>$55</w:t>
            </w:r>
          </w:p>
        </w:tc>
        <w:tc>
          <w:tcPr>
            <w:tcW w:type="dxa" w:w="1881"/>
          </w:tcPr>
          <w:p>
            <w:r>
              <w:rPr>
                <w:rFonts w:ascii="Meiryo UI" w:hAnsi="Meiryo UI"/>
                <w:sz w:val="18"/>
              </w:rPr>
              <w:t>▲83.5%</w:t>
            </w:r>
          </w:p>
        </w:tc>
      </w:tr>
    </w:tbl>
    <w:p/>
    <w:p>
      <w:r>
        <w:rPr>
          <w:rFonts w:ascii="Meiryo UI" w:hAnsi="Meiryo UI"/>
          <w:sz w:val="20"/>
        </w:rPr>
        <w:t>&gt; 解説: DCFの純粋バリューベースでは金利上昇が理論株価を一段と圧縮する。ただし市場価格$334はDCF理論値からプレミアムが大きく乖離しており（AIオプション価値込み）、実際の株価への影響は「マルチプル圧縮（PER 65→50倍など）」として現れる。</w:t>
      </w:r>
    </w:p>
    <w:p/>
    <w:p>
      <w:pPr>
        <w:pStyle w:val="Heading3"/>
      </w:pPr>
      <w:r>
        <w:rPr>
          <w:rFonts w:ascii="Meiryo UI" w:hAnsi="Meiryo UI"/>
          <w:color w:val="2E74B5"/>
        </w:rPr>
        <w:t>マルチプルベース（PER法）感応度テーブル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適正PER(推計)</w:t>
            </w:r>
          </w:p>
        </w:tc>
        <w:tc>
          <w:tcPr>
            <w:tcW w:type="dxa" w:w="1568"/>
            <w:shd w:val="clear" w:color="auto" w:fill="2E74B5"/>
          </w:tcPr>
          <w:p>
            <w:r>
              <w:rPr>
                <w:rFonts w:ascii="Meiryo UI" w:hAnsi="Meiryo UI"/>
                <w:b/>
                <w:color w:val="FFFFFF"/>
                <w:sz w:val="18"/>
              </w:rPr>
              <w:t>FY2026 EPS$7.5での株価</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3.300%</w:t>
            </w:r>
          </w:p>
        </w:tc>
        <w:tc>
          <w:tcPr>
            <w:tcW w:type="dxa" w:w="1568"/>
          </w:tcPr>
          <w:p>
            <w:r>
              <w:rPr>
                <w:rFonts w:ascii="Meiryo UI" w:hAnsi="Meiryo UI"/>
                <w:sz w:val="18"/>
              </w:rPr>
              <w:t>9.21%</w:t>
            </w:r>
          </w:p>
        </w:tc>
        <w:tc>
          <w:tcPr>
            <w:tcW w:type="dxa" w:w="1568"/>
          </w:tcPr>
          <w:p>
            <w:r>
              <w:rPr>
                <w:rFonts w:ascii="Meiryo UI" w:hAnsi="Meiryo UI"/>
                <w:sz w:val="18"/>
              </w:rPr>
              <w:t>68倍</w:t>
            </w:r>
          </w:p>
        </w:tc>
        <w:tc>
          <w:tcPr>
            <w:tcW w:type="dxa" w:w="1568"/>
          </w:tcPr>
          <w:p>
            <w:r>
              <w:rPr>
                <w:rFonts w:ascii="Meiryo UI" w:hAnsi="Meiryo UI"/>
                <w:sz w:val="18"/>
              </w:rPr>
              <w:t>$510</w:t>
            </w:r>
          </w:p>
        </w:tc>
        <w:tc>
          <w:tcPr>
            <w:tcW w:type="dxa" w:w="1568"/>
          </w:tcPr>
          <w:p>
            <w:r>
              <w:rPr>
                <w:rFonts w:ascii="Meiryo UI" w:hAnsi="Meiryo UI"/>
                <w:sz w:val="18"/>
              </w:rPr>
              <w:t>+52.7%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3.800%</w:t>
            </w:r>
          </w:p>
        </w:tc>
        <w:tc>
          <w:tcPr>
            <w:tcW w:type="dxa" w:w="1568"/>
            <w:shd w:val="clear" w:color="auto" w:fill="DDEBF7"/>
          </w:tcPr>
          <w:p>
            <w:r>
              <w:rPr>
                <w:rFonts w:ascii="Meiryo UI" w:hAnsi="Meiryo UI"/>
                <w:sz w:val="18"/>
              </w:rPr>
              <w:t>9.71%</w:t>
            </w:r>
          </w:p>
        </w:tc>
        <w:tc>
          <w:tcPr>
            <w:tcW w:type="dxa" w:w="1568"/>
            <w:shd w:val="clear" w:color="auto" w:fill="DDEBF7"/>
          </w:tcPr>
          <w:p>
            <w:r>
              <w:rPr>
                <w:rFonts w:ascii="Meiryo UI" w:hAnsi="Meiryo UI"/>
                <w:sz w:val="18"/>
              </w:rPr>
              <w:t>62倍</w:t>
            </w:r>
          </w:p>
        </w:tc>
        <w:tc>
          <w:tcPr>
            <w:tcW w:type="dxa" w:w="1568"/>
            <w:shd w:val="clear" w:color="auto" w:fill="DDEBF7"/>
          </w:tcPr>
          <w:p>
            <w:r>
              <w:rPr>
                <w:rFonts w:ascii="Meiryo UI" w:hAnsi="Meiryo UI"/>
                <w:sz w:val="18"/>
              </w:rPr>
              <w:t>$465</w:t>
            </w:r>
          </w:p>
        </w:tc>
        <w:tc>
          <w:tcPr>
            <w:tcW w:type="dxa" w:w="1568"/>
            <w:shd w:val="clear" w:color="auto" w:fill="DDEBF7"/>
          </w:tcPr>
          <w:p>
            <w:r>
              <w:rPr>
                <w:rFonts w:ascii="Meiryo UI" w:hAnsi="Meiryo UI"/>
                <w:sz w:val="18"/>
              </w:rPr>
              <w:t>+39.2%</w:t>
            </w:r>
          </w:p>
        </w:tc>
      </w:tr>
      <w:tr>
        <w:tc>
          <w:tcPr>
            <w:tcW w:type="dxa" w:w="1568"/>
          </w:tcPr>
          <w:p>
            <w:r>
              <w:rPr>
                <w:rFonts w:ascii="Meiryo UI" w:hAnsi="Meiryo UI"/>
                <w:sz w:val="18"/>
              </w:rPr>
              <w:t>Rf ▲0.25%</w:t>
            </w:r>
          </w:p>
        </w:tc>
        <w:tc>
          <w:tcPr>
            <w:tcW w:type="dxa" w:w="1568"/>
          </w:tcPr>
          <w:p>
            <w:r>
              <w:rPr>
                <w:rFonts w:ascii="Meiryo UI" w:hAnsi="Meiryo UI"/>
                <w:sz w:val="18"/>
              </w:rPr>
              <w:t>4.050%</w:t>
            </w:r>
          </w:p>
        </w:tc>
        <w:tc>
          <w:tcPr>
            <w:tcW w:type="dxa" w:w="1568"/>
          </w:tcPr>
          <w:p>
            <w:r>
              <w:rPr>
                <w:rFonts w:ascii="Meiryo UI" w:hAnsi="Meiryo UI"/>
                <w:sz w:val="18"/>
              </w:rPr>
              <w:t>9.96%</w:t>
            </w:r>
          </w:p>
        </w:tc>
        <w:tc>
          <w:tcPr>
            <w:tcW w:type="dxa" w:w="1568"/>
          </w:tcPr>
          <w:p>
            <w:r>
              <w:rPr>
                <w:rFonts w:ascii="Meiryo UI" w:hAnsi="Meiryo UI"/>
                <w:sz w:val="18"/>
              </w:rPr>
              <w:t>58倍</w:t>
            </w:r>
          </w:p>
        </w:tc>
        <w:tc>
          <w:tcPr>
            <w:tcW w:type="dxa" w:w="1568"/>
          </w:tcPr>
          <w:p>
            <w:r>
              <w:rPr>
                <w:rFonts w:ascii="Meiryo UI" w:hAnsi="Meiryo UI"/>
                <w:sz w:val="18"/>
              </w:rPr>
              <w:t>$435</w:t>
            </w:r>
          </w:p>
        </w:tc>
        <w:tc>
          <w:tcPr>
            <w:tcW w:type="dxa" w:w="1568"/>
          </w:tcPr>
          <w:p>
            <w:r>
              <w:rPr>
                <w:rFonts w:ascii="Meiryo UI" w:hAnsi="Meiryo UI"/>
                <w:sz w:val="18"/>
              </w:rPr>
              <w:t>+30.2%</w:t>
            </w:r>
          </w:p>
        </w:tc>
      </w:tr>
      <w:tr>
        <w:tc>
          <w:tcPr>
            <w:tcW w:type="dxa" w:w="1568"/>
            <w:shd w:val="clear" w:color="auto" w:fill="DDEBF7"/>
          </w:tcPr>
          <w:p>
            <w:r>
              <w:rPr>
                <w:rFonts w:ascii="Meiryo UI" w:hAnsi="Meiryo UI"/>
                <w:sz w:val="18"/>
              </w:rPr>
              <w:t>ベース（現在）</w:t>
            </w:r>
          </w:p>
        </w:tc>
        <w:tc>
          <w:tcPr>
            <w:tcW w:type="dxa" w:w="1568"/>
            <w:shd w:val="clear" w:color="auto" w:fill="DDEBF7"/>
          </w:tcPr>
          <w:p>
            <w:r>
              <w:rPr>
                <w:rFonts w:ascii="Meiryo UI" w:hAnsi="Meiryo UI"/>
                <w:sz w:val="18"/>
              </w:rPr>
              <w:t>4.300%</w:t>
            </w:r>
          </w:p>
        </w:tc>
        <w:tc>
          <w:tcPr>
            <w:tcW w:type="dxa" w:w="1568"/>
            <w:shd w:val="clear" w:color="auto" w:fill="DDEBF7"/>
          </w:tcPr>
          <w:p>
            <w:r>
              <w:rPr>
                <w:rFonts w:ascii="Meiryo UI" w:hAnsi="Meiryo UI"/>
                <w:sz w:val="18"/>
              </w:rPr>
              <w:t>10.21%</w:t>
            </w:r>
          </w:p>
        </w:tc>
        <w:tc>
          <w:tcPr>
            <w:tcW w:type="dxa" w:w="1568"/>
            <w:shd w:val="clear" w:color="auto" w:fill="DDEBF7"/>
          </w:tcPr>
          <w:p>
            <w:r>
              <w:rPr>
                <w:rFonts w:ascii="Meiryo UI" w:hAnsi="Meiryo UI"/>
                <w:sz w:val="18"/>
              </w:rPr>
              <w:t>55倍</w:t>
            </w:r>
          </w:p>
        </w:tc>
        <w:tc>
          <w:tcPr>
            <w:tcW w:type="dxa" w:w="1568"/>
            <w:shd w:val="clear" w:color="auto" w:fill="DDEBF7"/>
          </w:tcPr>
          <w:p>
            <w:r>
              <w:rPr>
                <w:rFonts w:ascii="Meiryo UI" w:hAnsi="Meiryo UI"/>
                <w:sz w:val="18"/>
              </w:rPr>
              <w:t>$413</w:t>
            </w:r>
          </w:p>
        </w:tc>
        <w:tc>
          <w:tcPr>
            <w:tcW w:type="dxa" w:w="1568"/>
            <w:shd w:val="clear" w:color="auto" w:fill="DDEBF7"/>
          </w:tcPr>
          <w:p>
            <w:r>
              <w:rPr>
                <w:rFonts w:ascii="Meiryo UI" w:hAnsi="Meiryo UI"/>
                <w:sz w:val="18"/>
              </w:rPr>
              <w:t>+23.7%</w:t>
            </w:r>
          </w:p>
        </w:tc>
      </w:tr>
      <w:tr>
        <w:tc>
          <w:tcPr>
            <w:tcW w:type="dxa" w:w="1568"/>
          </w:tcPr>
          <w:p>
            <w:r>
              <w:rPr>
                <w:rFonts w:ascii="Meiryo UI" w:hAnsi="Meiryo UI"/>
                <w:sz w:val="18"/>
              </w:rPr>
              <w:t>Rf +0.25%</w:t>
            </w:r>
          </w:p>
        </w:tc>
        <w:tc>
          <w:tcPr>
            <w:tcW w:type="dxa" w:w="1568"/>
          </w:tcPr>
          <w:p>
            <w:r>
              <w:rPr>
                <w:rFonts w:ascii="Meiryo UI" w:hAnsi="Meiryo UI"/>
                <w:sz w:val="18"/>
              </w:rPr>
              <w:t>4.550%</w:t>
            </w:r>
          </w:p>
        </w:tc>
        <w:tc>
          <w:tcPr>
            <w:tcW w:type="dxa" w:w="1568"/>
          </w:tcPr>
          <w:p>
            <w:r>
              <w:rPr>
                <w:rFonts w:ascii="Meiryo UI" w:hAnsi="Meiryo UI"/>
                <w:sz w:val="18"/>
              </w:rPr>
              <w:t>10.46%</w:t>
            </w:r>
          </w:p>
        </w:tc>
        <w:tc>
          <w:tcPr>
            <w:tcW w:type="dxa" w:w="1568"/>
          </w:tcPr>
          <w:p>
            <w:r>
              <w:rPr>
                <w:rFonts w:ascii="Meiryo UI" w:hAnsi="Meiryo UI"/>
                <w:sz w:val="18"/>
              </w:rPr>
              <w:t>52倍</w:t>
            </w:r>
          </w:p>
        </w:tc>
        <w:tc>
          <w:tcPr>
            <w:tcW w:type="dxa" w:w="1568"/>
          </w:tcPr>
          <w:p>
            <w:r>
              <w:rPr>
                <w:rFonts w:ascii="Meiryo UI" w:hAnsi="Meiryo UI"/>
                <w:sz w:val="18"/>
              </w:rPr>
              <w:t>$390</w:t>
            </w:r>
          </w:p>
        </w:tc>
        <w:tc>
          <w:tcPr>
            <w:tcW w:type="dxa" w:w="1568"/>
          </w:tcPr>
          <w:p>
            <w:r>
              <w:rPr>
                <w:rFonts w:ascii="Meiryo UI" w:hAnsi="Meiryo UI"/>
                <w:sz w:val="18"/>
              </w:rPr>
              <w:t>+16.8%</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4.800%</w:t>
            </w:r>
          </w:p>
        </w:tc>
        <w:tc>
          <w:tcPr>
            <w:tcW w:type="dxa" w:w="1568"/>
            <w:shd w:val="clear" w:color="auto" w:fill="DDEBF7"/>
          </w:tcPr>
          <w:p>
            <w:r>
              <w:rPr>
                <w:rFonts w:ascii="Meiryo UI" w:hAnsi="Meiryo UI"/>
                <w:sz w:val="18"/>
              </w:rPr>
              <w:t>10.71%</w:t>
            </w:r>
          </w:p>
        </w:tc>
        <w:tc>
          <w:tcPr>
            <w:tcW w:type="dxa" w:w="1568"/>
            <w:shd w:val="clear" w:color="auto" w:fill="DDEBF7"/>
          </w:tcPr>
          <w:p>
            <w:r>
              <w:rPr>
                <w:rFonts w:ascii="Meiryo UI" w:hAnsi="Meiryo UI"/>
                <w:sz w:val="18"/>
              </w:rPr>
              <w:t>48倍</w:t>
            </w:r>
          </w:p>
        </w:tc>
        <w:tc>
          <w:tcPr>
            <w:tcW w:type="dxa" w:w="1568"/>
            <w:shd w:val="clear" w:color="auto" w:fill="DDEBF7"/>
          </w:tcPr>
          <w:p>
            <w:r>
              <w:rPr>
                <w:rFonts w:ascii="Meiryo UI" w:hAnsi="Meiryo UI"/>
                <w:sz w:val="18"/>
              </w:rPr>
              <w:t>$360</w:t>
            </w:r>
          </w:p>
        </w:tc>
        <w:tc>
          <w:tcPr>
            <w:tcW w:type="dxa" w:w="1568"/>
            <w:shd w:val="clear" w:color="auto" w:fill="DDEBF7"/>
          </w:tcPr>
          <w:p>
            <w:r>
              <w:rPr>
                <w:rFonts w:ascii="Meiryo UI" w:hAnsi="Meiryo UI"/>
                <w:sz w:val="18"/>
              </w:rPr>
              <w:t>+7.8%</w:t>
            </w:r>
          </w:p>
        </w:tc>
      </w:tr>
      <w:tr>
        <w:tc>
          <w:tcPr>
            <w:tcW w:type="dxa" w:w="1568"/>
          </w:tcPr>
          <w:p>
            <w:r>
              <w:rPr>
                <w:rFonts w:ascii="Meiryo UI" w:hAnsi="Meiryo UI"/>
                <w:sz w:val="18"/>
              </w:rPr>
              <w:t>Rf +1.00%</w:t>
            </w:r>
          </w:p>
        </w:tc>
        <w:tc>
          <w:tcPr>
            <w:tcW w:type="dxa" w:w="1568"/>
          </w:tcPr>
          <w:p>
            <w:r>
              <w:rPr>
                <w:rFonts w:ascii="Meiryo UI" w:hAnsi="Meiryo UI"/>
                <w:sz w:val="18"/>
              </w:rPr>
              <w:t>5.300%</w:t>
            </w:r>
          </w:p>
        </w:tc>
        <w:tc>
          <w:tcPr>
            <w:tcW w:type="dxa" w:w="1568"/>
          </w:tcPr>
          <w:p>
            <w:r>
              <w:rPr>
                <w:rFonts w:ascii="Meiryo UI" w:hAnsi="Meiryo UI"/>
                <w:sz w:val="18"/>
              </w:rPr>
              <w:t>11.21%</w:t>
            </w:r>
          </w:p>
        </w:tc>
        <w:tc>
          <w:tcPr>
            <w:tcW w:type="dxa" w:w="1568"/>
          </w:tcPr>
          <w:p>
            <w:r>
              <w:rPr>
                <w:rFonts w:ascii="Meiryo UI" w:hAnsi="Meiryo UI"/>
                <w:sz w:val="18"/>
              </w:rPr>
              <w:t>42倍</w:t>
            </w:r>
          </w:p>
        </w:tc>
        <w:tc>
          <w:tcPr>
            <w:tcW w:type="dxa" w:w="1568"/>
          </w:tcPr>
          <w:p>
            <w:r>
              <w:rPr>
                <w:rFonts w:ascii="Meiryo UI" w:hAnsi="Meiryo UI"/>
                <w:sz w:val="18"/>
              </w:rPr>
              <w:t>$315</w:t>
            </w:r>
          </w:p>
        </w:tc>
        <w:tc>
          <w:tcPr>
            <w:tcW w:type="dxa" w:w="1568"/>
          </w:tcPr>
          <w:p>
            <w:r>
              <w:rPr>
                <w:rFonts w:ascii="Meiryo UI" w:hAnsi="Meiryo UI"/>
                <w:sz w:val="18"/>
              </w:rPr>
              <w:t>▲5.7%</w:t>
            </w:r>
          </w:p>
        </w:tc>
      </w:tr>
    </w:tbl>
    <w:p/>
    <w:p>
      <w:r>
        <w:rPr>
          <w:rFonts w:ascii="Meiryo UI" w:hAnsi="Meiryo UI"/>
          <w:sz w:val="20"/>
        </w:rPr>
        <w:t>&gt; 重要示唆: PERベースでは、現在のRf水準（4.3%）でもFY2026 EPSを$7.5と仮定すれば$413の理論株価が得られる（+23.7%上値余地）。ただし金利が+1.00%上昇（US10Y 5.3%）した場合は$315まで低下し、現在株価$334を下回る。金利上昇リスクが最大の外部リスクファクターと判断する。</w:t>
      </w:r>
    </w:p>
    <w:p/>
    <w:p>
      <w:r>
        <w:t>──────────────────────────────────────────────────</w:t>
      </w:r>
    </w:p>
    <w:p/>
    <w:p>
      <w:pPr>
        <w:pStyle w:val="Heading2"/>
      </w:pPr>
      <w:r>
        <w:rPr>
          <w:rFonts w:ascii="Meiryo UI" w:hAnsi="Meiryo UI"/>
          <w:color w:val="2E74B5"/>
        </w:rPr>
        <w:t>10. 付録：USD/JPY感応度</w:t>
      </w:r>
    </w:p>
    <w:p/>
    <w:p>
      <w:pPr>
        <w:shd w:val="clear" w:color="auto" w:fill="F2F2F2"/>
      </w:pPr>
      <w:r>
        <w:rPr>
          <w:rFonts w:ascii="Courier New" w:hAnsi="Courier New"/>
          <w:sz w:val="16"/>
        </w:rPr>
        <w:t>現在株価$334 / 推奨エントリーレンジ $280-335 のJPY換算</w:t>
        <w:br/>
        <w:t>━━━━━━━━━━━━━━━━━━━━━━━━━━━━━━━━━━━━━━━━━━━━</w:t>
        <w:br/>
        <w:t>USD/JPY     現在株価      第一目標     損切ライン</w:t>
        <w:br/>
        <w:t>━━━━━━━━━━━━━━━━━━━━━━━━━━━━━━━━━━━━━━━━━━━━</w:t>
        <w:br/>
        <w:t>140円       ¥46,760      ¥52,500      ¥34,720</w:t>
        <w:br/>
        <w:t>145円       ¥48,430      ¥54,375      ¥35,960</w:t>
        <w:br/>
        <w:t>150円       ¥50,100      ¥56,250      ¥37,200</w:t>
        <w:br/>
        <w:t>155円       ¥51,770      ¥58,125      ¥38,440</w:t>
        <w:br/>
        <w:t>160円       ¥53,440      ¥60,000      ¥39,680</w:t>
        <w:br/>
        <w:t>━━━━━━━━━━━━━━━━━━━━━━━━━━━━━━━━━━━━━━━━━━━━</w:t>
        <w:br/>
        <w:t>⚠️ AVGO投資はUSD建てであり、円高進行時の為替損失リスクに注意。</w:t>
        <w:br/>
        <w:t xml:space="preserve">   円高（ドル安）局面ではヘッジコスト（フォワード）の検討を推奨。</w:t>
        <w:br/>
        <w:t xml:space="preserve">   現在の地政学・関税リスク環境下では円高方向への圧力も考慮要。</w:t>
      </w:r>
    </w:p>
    <w:p/>
    <w:p>
      <w:r>
        <w:t>──────────────────────────────────────────────────</w:t>
      </w:r>
    </w:p>
    <w:p/>
    <w:p>
      <w:pPr>
        <w:pStyle w:val="Heading2"/>
      </w:pPr>
      <w:r>
        <w:rPr>
          <w:rFonts w:ascii="Meiryo UI" w:hAnsi="Meiryo UI"/>
          <w:color w:val="2E74B5"/>
        </w:rPr>
        <w:t>最終総括</w:t>
      </w:r>
    </w:p>
    <w:p/>
    <w:p>
      <w:pPr>
        <w:shd w:val="clear" w:color="auto" w:fill="F2F2F2"/>
      </w:pPr>
      <w:r>
        <w:rPr>
          <w:rFonts w:ascii="Courier New" w:hAnsi="Courier New"/>
          <w:sz w:val="16"/>
        </w:rPr>
        <w:t>╔══════════════════════════════════════════════════════════════════════╗</w:t>
        <w:br/>
        <w:t>║                    深井 最終投資判断サマリー                        ║</w:t>
        <w:br/>
        <w:t>╠══════════════════════════════════════════════════════════════════════╣</w:t>
        <w:br/>
        <w:t>║                                                                      ║</w:t>
        <w:br/>
        <w:t>║  銘柄: AVGO（Broadcom Inc.）                                        ║</w:t>
        <w:br/>
        <w:t>║  現在株価: $334                                                      ║</w:t>
        <w:br/>
        <w:t>║  投資判断: 🟡 条件付き買い（Conditional BUY）                        ║</w:t>
        <w:br/>
        <w:t>║  フェアバリュー中央値: $310（現値比 ▲7.2%）                          ║</w:t>
        <w:br/>
        <w:t>║  理論株価レンジ: $246〜$413（シナリオ×手法マトリクス）              ║</w:t>
        <w:br/>
        <w:t>║                                                                      ║</w:t>
        <w:br/>
        <w:t>║  ストロングポイント:                                                  ║</w:t>
        <w:br/>
        <w:t>║  ✅ カスタムASIC（XPU）でGoogle/Meta/Appleを3社独占                 ║</w:t>
        <w:br/>
        <w:t>║  ✅ Anthropic×Google提携の$300B投資から$33-44B/年の受益確定       ║</w:t>
        <w:br/>
        <w:t>║  ✅ VMware統合によるソフトウェアFCF（マージン70%+）が安定収益の軸   ║</w:t>
        <w:br/>
        <w:t>║  ✅ Hock TanのM&amp;A×コスト最適化の実績                               ║</w:t>
        <w:br/>
        <w:t>║                                                                      ║</w:t>
        <w:br/>
        <w:t>║  主要リスク:                                                          ║</w:t>
        <w:br/>
        <w:t>║  ⚠️ 現在株価はFY2027成長を完全先取り、セーフティマージン薄い        ║</w:t>
        <w:br/>
        <w:t>║  ⚠️ 中国売上25%への全面禁輸リスク（EPS ▲$0.91）                    ║</w:t>
        <w:br/>
        <w:t>║  ⚠️ FCFイールド0.97% vs 国債4.3%の裁定リスク                       ║</w:t>
        <w:br/>
        <w:t>║  ⚠️ 金利上昇（Rf+1%）でPER 42倍→株価$315（現値割れ）              ║</w:t>
        <w:br/>
        <w:t>║                                                                      ║</w:t>
        <w:br/>
        <w:t>║  推奨ポジション: ポートフォリオの3〜5%（分割3段階エントリー）       ║</w:t>
        <w:br/>
        <w:t>║  理想エントリー: $280〜$310（現値から▲7〜▲16%の押し目）            ║</w:t>
        <w:br/>
        <w:t>║  ハードストップ: $248（▲25.7%）                                     ║</w:t>
        <w:br/>
        <w:t>║  第一目標: $375 / 第二目標: $420（12〜18ヶ月）                      ║</w:t>
        <w:br/>
        <w:t>║                                                                      ║</w:t>
        <w:br/>
        <w:t>╚══════════════════════════════════════════════════════════════════════╝</w:t>
        <w:br/>
        <w:br/>
        <w:t>「現値$334はAI期待値の天井圏。ただしストーリーが本物なら</w:t>
        <w:br/>
        <w:t xml:space="preserve"> 2027年以降に株価は理論を超える可能性がある。</w:t>
        <w:br/>
        <w:t xml:space="preserve"> 分散・分割・損切り厳守を前提に、テーマ参加は合理的。」</w:t>
        <w:br/>
        <w:t xml:space="preserve">                                            — 深井（竹村トレードカンパニー）</w:t>
      </w:r>
    </w:p>
    <w:p/>
    <w:p>
      <w:r>
        <w:t>──────────────────────────────────────────────────</w:t>
      </w:r>
    </w:p>
    <w:p/>
    <w:p>
      <w:r>
        <w:rPr>
          <w:rFonts w:ascii="Meiryo UI" w:hAnsi="Meiryo UI"/>
          <w:sz w:val="20"/>
        </w:rPr>
        <w:t>本レポートは公開情報・業界知識をベースとした分析であり、投資勧誘を目的としません。</w:t>
      </w:r>
    </w:p>
    <w:p>
      <w:r>
        <w:rPr>
          <w:rFonts w:ascii="Meiryo UI" w:hAnsi="Meiryo UI"/>
          <w:sz w:val="20"/>
        </w:rPr>
        <w:t>財務指標・株価はリアルタイム取得値（2026-04-08 07:53 JST）を使用。</w:t>
      </w:r>
    </w:p>
    <w:p>
      <w:r>
        <w:rPr>
          <w:rFonts w:ascii="Meiryo UI" w:hAnsi="Meiryo UI"/>
          <w:sz w:val="20"/>
        </w:rPr>
        <w:t>リスクフリーレートRf=4.300%は参考値として使用。</w:t>
      </w:r>
    </w:p>
    <w:p>
      <w:r>
        <w:rPr>
          <w:rFonts w:ascii="Meiryo UI" w:hAnsi="Meiryo UI"/>
          <w:sz w:val="20"/>
        </w:rPr>
        <w:t>投資判断は最終的に自己責任にて行ってください。</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4.300%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米10年国債（US10Y）4.30%（参考値）</w:t>
            </w:r>
          </w:p>
        </w:tc>
      </w:tr>
      <w:tr>
        <w:tc>
          <w:tcPr>
            <w:tcW w:type="dxa" w:w="4703"/>
          </w:tcPr>
          <w:p>
            <w:r>
              <w:rPr>
                <w:rFonts w:ascii="Meiryo UI" w:hAnsi="Meiryo UI"/>
                <w:sz w:val="18"/>
              </w:rPr>
              <w:t>データ取得日時</w:t>
            </w:r>
          </w:p>
        </w:tc>
        <w:tc>
          <w:tcPr>
            <w:tcW w:type="dxa" w:w="4703"/>
          </w:tcPr>
          <w:p>
            <w:r>
              <w:rPr>
                <w:rFonts w:ascii="Meiryo UI" w:hAnsi="Meiryo UI"/>
                <w:sz w:val="18"/>
              </w:rPr>
              <w:t>2026-04-08 07:53 JST</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参考値（US Treasury / investing.com US10Y）</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AVGO_ブロードコム（B_BUY_DeepResearch_20260408.md を出力しました。</w:t>
      </w:r>
    </w:p>
    <w:p>
      <w:r>
        <w:rPr>
          <w:rFonts w:ascii="Meiryo UI" w:hAnsi="Meiryo UI"/>
          <w:sz w:val="20"/>
        </w:rPr>
        <w:t>浅井スコア +0 の銘柄 [AVGO]ブロードコム（Broadcom） についてDeepResearch完了。</w:t>
      </w:r>
    </w:p>
    <w:p>
      <w:r>
        <w:rPr>
          <w:rFonts w:ascii="Meiryo UI" w:hAnsi="Meiryo UI"/>
          <w:sz w:val="20"/>
        </w:rPr>
        <w:t>使用Rf: 4.300%（取得: 2026-04-08 07:53 JST）</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