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[TSM] 台湾積体電路製造（TSMC）2330.TW_V2</w:t>
      </w:r>
    </w:p>
    <w:p/>
    <w:p/>
    <w:p>
      <w:pPr>
        <w:jc w:val="center"/>
      </w:pPr>
      <w:r>
        <w:rPr>
          <w:rFonts w:ascii="Meiryo UI" w:hAnsi="Meiryo UI"/>
          <w:sz w:val="24"/>
        </w:rPr>
        <w:t>アナリスト：深井</w:t>
      </w:r>
    </w:p>
    <w:p>
      <w:pPr>
        <w:jc w:val="center"/>
      </w:pPr>
      <w:r>
        <w:rPr>
          <w:rFonts w:ascii="Meiryo UI" w:hAnsi="Meiryo UI"/>
          <w:sz w:val="24"/>
        </w:rPr>
        <w:t>分析日：2026-04-17</w:t>
      </w:r>
    </w:p>
    <w:p>
      <w:r>
        <w:br w:type="page"/>
      </w:r>
    </w:p>
    <w:p>
      <w:pPr>
        <w:pStyle w:val="Heading1"/>
      </w:pPr>
      <w:r>
        <w:rPr>
          <w:rFonts w:ascii="Meiryo UI" w:hAnsi="Meiryo UI"/>
          <w:color w:val="1F3864"/>
        </w:rPr>
        <w:t>深井 DeepResearchレポート — [TSM] 台湾積体電路製造（TSMC）2330.TW_V2</w:t>
      </w:r>
    </w:p>
    <w:p>
      <w:r>
        <w:rPr>
          <w:rFonts w:ascii="Meiryo UI" w:hAnsi="Meiryo UI"/>
          <w:sz w:val="20"/>
        </w:rPr>
        <w:t>作成日: 2026-04-17  |  アナリスト: 深井  |  分類: BUY</w:t>
      </w:r>
    </w:p>
    <w:p>
      <w:r>
        <w:rPr>
          <w:rFonts w:ascii="Meiryo UI" w:hAnsi="Meiryo UI"/>
          <w:sz w:val="20"/>
        </w:rPr>
        <w:t>浅井スコア: +99  |  ソース: TDnet + 公開情報 + 浅井マスターDB</w:t>
      </w:r>
    </w:p>
    <w:p/>
    <w:p>
      <w:r>
        <w:t>──────────────────────────────────────────────────</w:t>
      </w:r>
    </w:p>
    <w:p/>
    <w:p>
      <w:pPr>
        <w:pStyle w:val="Heading1"/>
      </w:pPr>
      <w:r>
        <w:rPr>
          <w:rFonts w:ascii="Meiryo UI" w:hAnsi="Meiryo UI"/>
          <w:color w:val="1F3864"/>
        </w:rPr>
        <w:t>TSM（TSMC）DeepResearch レポート V2</w:t>
      </w:r>
    </w:p>
    <w:p>
      <w:pPr>
        <w:pStyle w:val="Heading3"/>
      </w:pPr>
      <w:r>
        <w:rPr>
          <w:rFonts w:ascii="Meiryo UI" w:hAnsi="Meiryo UI"/>
          <w:color w:val="2E74B5"/>
        </w:rPr>
        <w:t>竹村トレードカンパニー｜アナリスト：深井｜2026-04-17</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Q1 2026確定値：粗利66.25%・純利50.51%・EPS NT$110.40と過去最高水準を更新。AI半導体独占的地位に基づく構造的利益率拡大局面。決算後-3.13%下落は「売りオンニュース」であり本質的価値の毀損ではない</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USD363 ／ 理論株価（FV）USD420〜480（DCFベースケース中央値 USD450）／ 上値余地 +24%（中央値比）／ 下値余地ケース ▲15%（弱気シナリオ）</w:t>
            </w:r>
          </w:p>
        </w:tc>
      </w:tr>
      <w:tr>
        <w:tc>
          <w:tcPr>
            <w:tcW w:type="dxa" w:w="4703"/>
          </w:tcPr>
          <w:p>
            <w:r>
              <w:rPr>
                <w:rFonts w:ascii="Meiryo UI" w:hAnsi="Meiryo UI"/>
                <w:sz w:val="18"/>
              </w:rPr>
              <w:t>主要カタリスト</w:t>
            </w:r>
          </w:p>
        </w:tc>
        <w:tc>
          <w:tcPr>
            <w:tcW w:type="dxa" w:w="4703"/>
          </w:tcPr>
          <w:p>
            <w:r>
              <w:rPr>
                <w:rFonts w:ascii="Meiryo UI" w:hAnsi="Meiryo UI"/>
                <w:sz w:val="18"/>
              </w:rPr>
              <w:t>①Q2 2026ガイダンスUSD39〜40B達成確認（2026-07月決算発表時：売上YoY+40%超確定でセンチメント反転）　②N2量産本格化（2026年下半期：Apple A20/NVIDIA次世代GPU搭載→ASP+15%〜20%推定）　③CoWoS先進パッケージング増強完了（2026Q3〜Q4：AI需要ボトルネック解消・受注残消化加速）</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米中半導体輸出規制強化／台湾地政学リスク：米政権による対中規制追加（特に先端AI向けチップ）でNVIDIA・AMD向け受注が突然凍結するリスク。加えて台湾有事シナリオはバリュエーション全否定につながる「存在論的リスク」。Q2ガイダンスUSD39〜40B下限割れ（USD37B以下）は即時警戒シグナル</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今すぐ第1トランシェをUSD355〜370で40%エントリー（現在値USD363は「売りオンニュース」後の押し目）。残り60%はQ2 2026決算（2026年7月）でガイダンス達成確認後に追加。損切りラインはUSD305（理論株価弱気シナリオ下限・直近重要サポート割れ）。目標利益確定はUSD450（FVメジアン）でポジションの50%を利確</w:t>
            </w:r>
          </w:p>
        </w:tc>
      </w:tr>
    </w:tbl>
    <w:p/>
    <w:p>
      <w:r>
        <w:t>──────────────────────────────────────────────────</w:t>
      </w:r>
    </w:p>
    <w:p/>
    <w:p>
      <w:pPr>
        <w:pStyle w:val="Heading2"/>
      </w:pPr>
      <w:r>
        <w:rPr>
          <w:rFonts w:ascii="Meiryo UI" w:hAnsi="Meiryo UI"/>
          <w:color w:val="2E74B5"/>
        </w:rPr>
        <w:t>セクション0：Good/Bad分析 &amp; QonQ変調分析</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HPC（AI/GPU向け）売上急拡大</w:t>
            </w:r>
          </w:p>
        </w:tc>
        <w:tc>
          <w:tcPr>
            <w:tcW w:type="dxa" w:w="1881"/>
          </w:tcPr>
          <w:p>
            <w:r>
              <w:rPr>
                <w:rFonts w:ascii="Meiryo UI" w:hAnsi="Meiryo UI"/>
                <w:sz w:val="18"/>
              </w:rPr>
              <w:t>Q1売上NT$1,134B中、HPC比率推定55〜60%（≒NT$624〜680B）</w:t>
            </w:r>
          </w:p>
        </w:tc>
        <w:tc>
          <w:tcPr>
            <w:tcW w:type="dxa" w:w="1881"/>
          </w:tcPr>
          <w:p>
            <w:r>
              <w:rPr>
                <w:rFonts w:ascii="Meiryo UI" w:hAnsi="Meiryo UI"/>
                <w:sz w:val="18"/>
              </w:rPr>
              <w:t>構造的（AI投資サイクル長期化）</w:t>
            </w:r>
          </w:p>
        </w:tc>
        <w:tc>
          <w:tcPr>
            <w:tcW w:type="dxa" w:w="1881"/>
          </w:tcPr>
          <w:p>
            <w:r>
              <w:rPr>
                <w:rFonts w:ascii="Meiryo UI" w:hAnsi="Meiryo UI"/>
                <w:sz w:val="18"/>
              </w:rPr>
              <w:t>TSMCの稼ぎ頭がスマホからAIに完全シフト。この流れは2028年まで止まらない</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粗利益率66.25%（Q1確定）</w:t>
            </w:r>
          </w:p>
        </w:tc>
        <w:tc>
          <w:tcPr>
            <w:tcW w:type="dxa" w:w="1881"/>
            <w:shd w:val="clear" w:color="auto" w:fill="DDEBF7"/>
          </w:tcPr>
          <w:p>
            <w:r>
              <w:rPr>
                <w:rFonts w:ascii="Meiryo UI" w:hAnsi="Meiryo UI"/>
                <w:sz w:val="18"/>
              </w:rPr>
              <w:t>前四半期Q4比+392bp、前年同期比+745bp超</w:t>
            </w:r>
          </w:p>
        </w:tc>
        <w:tc>
          <w:tcPr>
            <w:tcW w:type="dxa" w:w="1881"/>
            <w:shd w:val="clear" w:color="auto" w:fill="DDEBF7"/>
          </w:tcPr>
          <w:p>
            <w:r>
              <w:rPr>
                <w:rFonts w:ascii="Meiryo UI" w:hAnsi="Meiryo UI"/>
                <w:sz w:val="18"/>
              </w:rPr>
              <w:t>構造的（N3/N2プレミアム価格転嫁成功）</w:t>
            </w:r>
          </w:p>
        </w:tc>
        <w:tc>
          <w:tcPr>
            <w:tcW w:type="dxa" w:w="1881"/>
            <w:shd w:val="clear" w:color="auto" w:fill="DDEBF7"/>
          </w:tcPr>
          <w:p>
            <w:r>
              <w:rPr>
                <w:rFonts w:ascii="Meiryo UI" w:hAnsi="Meiryo UI"/>
                <w:sz w:val="18"/>
              </w:rPr>
              <w:t>「作れば作るほど儲かる」構造が完成。半導体企業でこの利益率は前例がない</w:t>
            </w:r>
          </w:p>
        </w:tc>
      </w:tr>
      <w:tr>
        <w:tc>
          <w:tcPr>
            <w:tcW w:type="dxa" w:w="1881"/>
          </w:tcPr>
          <w:p>
            <w:r>
              <w:rPr>
                <w:rFonts w:ascii="Meiryo UI" w:hAnsi="Meiryo UI"/>
                <w:sz w:val="18"/>
              </w:rPr>
              <w:t>💊 薬</w:t>
            </w:r>
          </w:p>
        </w:tc>
        <w:tc>
          <w:tcPr>
            <w:tcW w:type="dxa" w:w="1881"/>
          </w:tcPr>
          <w:p>
            <w:r>
              <w:rPr>
                <w:rFonts w:ascii="Meiryo UI" w:hAnsi="Meiryo UI"/>
                <w:sz w:val="18"/>
              </w:rPr>
              <w:t>Q2ガイダンスUSD39〜40B（中央値）</w:t>
            </w:r>
          </w:p>
        </w:tc>
        <w:tc>
          <w:tcPr>
            <w:tcW w:type="dxa" w:w="1881"/>
          </w:tcPr>
          <w:p>
            <w:r>
              <w:rPr>
                <w:rFonts w:ascii="Meiryo UI" w:hAnsi="Meiryo UI"/>
                <w:sz w:val="18"/>
              </w:rPr>
              <w:t>前四半期比+8.6〜11.4%（QoQ）</w:t>
            </w:r>
          </w:p>
        </w:tc>
        <w:tc>
          <w:tcPr>
            <w:tcW w:type="dxa" w:w="1881"/>
          </w:tcPr>
          <w:p>
            <w:r>
              <w:rPr>
                <w:rFonts w:ascii="Meiryo UI" w:hAnsi="Meiryo UI"/>
                <w:sz w:val="18"/>
              </w:rPr>
              <w:t>構造的（需要超過継続）</w:t>
            </w:r>
          </w:p>
        </w:tc>
        <w:tc>
          <w:tcPr>
            <w:tcW w:type="dxa" w:w="1881"/>
          </w:tcPr>
          <w:p>
            <w:r>
              <w:rPr>
                <w:rFonts w:ascii="Meiryo UI" w:hAnsi="Meiryo UI"/>
                <w:sz w:val="18"/>
              </w:rPr>
              <w:t>第2四半期もアクセル全開。季節性無視してこの数字は驚異</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EPS NT$110.40（Q1確定）</w:t>
            </w:r>
          </w:p>
        </w:tc>
        <w:tc>
          <w:tcPr>
            <w:tcW w:type="dxa" w:w="1881"/>
            <w:shd w:val="clear" w:color="auto" w:fill="DDEBF7"/>
          </w:tcPr>
          <w:p>
            <w:r>
              <w:rPr>
                <w:rFonts w:ascii="Meiryo UI" w:hAnsi="Meiryo UI"/>
                <w:sz w:val="18"/>
              </w:rPr>
              <w:t>前四半期Q4比+NT$12.9（+13.2%QoQ）</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1四半期でEPSが13%伸びる会社は世界でも希少</w:t>
            </w:r>
          </w:p>
        </w:tc>
      </w:tr>
      <w:tr>
        <w:tc>
          <w:tcPr>
            <w:tcW w:type="dxa" w:w="1881"/>
          </w:tcPr>
          <w:p>
            <w:r>
              <w:rPr>
                <w:rFonts w:ascii="Meiryo UI" w:hAnsi="Meiryo UI"/>
                <w:sz w:val="18"/>
              </w:rPr>
              <w:t>☠️ 毒</w:t>
            </w:r>
          </w:p>
        </w:tc>
        <w:tc>
          <w:tcPr>
            <w:tcW w:type="dxa" w:w="1881"/>
          </w:tcPr>
          <w:p>
            <w:r>
              <w:rPr>
                <w:rFonts w:ascii="Meiryo UI" w:hAnsi="Meiryo UI"/>
                <w:sz w:val="18"/>
              </w:rPr>
              <w:t>地政学リスク（台湾有事プレミアム）</w:t>
            </w:r>
          </w:p>
        </w:tc>
        <w:tc>
          <w:tcPr>
            <w:tcW w:type="dxa" w:w="1881"/>
          </w:tcPr>
          <w:p>
            <w:r>
              <w:rPr>
                <w:rFonts w:ascii="Meiryo UI" w:hAnsi="Meiryo UI"/>
                <w:sz w:val="18"/>
              </w:rPr>
              <w:t>定量困難（株価ディスカウント推定10〜20%）</w:t>
            </w:r>
          </w:p>
        </w:tc>
        <w:tc>
          <w:tcPr>
            <w:tcW w:type="dxa" w:w="1881"/>
          </w:tcPr>
          <w:p>
            <w:r>
              <w:rPr>
                <w:rFonts w:ascii="Meiryo UI" w:hAnsi="Meiryo UI"/>
                <w:sz w:val="18"/>
              </w:rPr>
              <w:t>構造的（恒常的）</w:t>
            </w:r>
          </w:p>
        </w:tc>
        <w:tc>
          <w:tcPr>
            <w:tcW w:type="dxa" w:w="1881"/>
          </w:tcPr>
          <w:p>
            <w:r>
              <w:rPr>
                <w:rFonts w:ascii="Meiryo UI" w:hAnsi="Meiryo UI"/>
                <w:sz w:val="18"/>
              </w:rPr>
              <w:t>どんなに業績が良くても「台湾リスク」が消えない限り、欧米機関は100%バリューを付けない</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米中輸出規制リスク</w:t>
            </w:r>
          </w:p>
        </w:tc>
        <w:tc>
          <w:tcPr>
            <w:tcW w:type="dxa" w:w="1881"/>
            <w:shd w:val="clear" w:color="auto" w:fill="DDEBF7"/>
          </w:tcPr>
          <w:p>
            <w:r>
              <w:rPr>
                <w:rFonts w:ascii="Meiryo UI" w:hAnsi="Meiryo UI"/>
                <w:sz w:val="18"/>
              </w:rPr>
              <w:t>AI向けチップ規制強化で売上の15〜20%が潜在リスク圏</w:t>
            </w:r>
          </w:p>
        </w:tc>
        <w:tc>
          <w:tcPr>
            <w:tcW w:type="dxa" w:w="1881"/>
            <w:shd w:val="clear" w:color="auto" w:fill="DDEBF7"/>
          </w:tcPr>
          <w:p>
            <w:r>
              <w:rPr>
                <w:rFonts w:ascii="Meiryo UI" w:hAnsi="Meiryo UI"/>
                <w:sz w:val="18"/>
              </w:rPr>
              <w:t>構造的（政策依存）</w:t>
            </w:r>
          </w:p>
        </w:tc>
        <w:tc>
          <w:tcPr>
            <w:tcW w:type="dxa" w:w="1881"/>
            <w:shd w:val="clear" w:color="auto" w:fill="DDEBF7"/>
          </w:tcPr>
          <w:p>
            <w:r>
              <w:rPr>
                <w:rFonts w:ascii="Meiryo UI" w:hAnsi="Meiryo UI"/>
                <w:sz w:val="18"/>
              </w:rPr>
              <w:t>規制1本でNVIDIA向け受注が凍結する。TSMCは避雷針の下に立っている</w:t>
            </w:r>
          </w:p>
        </w:tc>
      </w:tr>
      <w:tr>
        <w:tc>
          <w:tcPr>
            <w:tcW w:type="dxa" w:w="1881"/>
          </w:tcPr>
          <w:p>
            <w:r>
              <w:rPr>
                <w:rFonts w:ascii="Meiryo UI" w:hAnsi="Meiryo UI"/>
                <w:sz w:val="18"/>
              </w:rPr>
              <w:t>☠️ 毒</w:t>
            </w:r>
          </w:p>
        </w:tc>
        <w:tc>
          <w:tcPr>
            <w:tcW w:type="dxa" w:w="1881"/>
          </w:tcPr>
          <w:p>
            <w:r>
              <w:rPr>
                <w:rFonts w:ascii="Meiryo UI" w:hAnsi="Meiryo UI"/>
                <w:sz w:val="18"/>
              </w:rPr>
              <w:t>CAPEX拡大による短期FCF圧迫</w:t>
            </w:r>
          </w:p>
        </w:tc>
        <w:tc>
          <w:tcPr>
            <w:tcW w:type="dxa" w:w="1881"/>
          </w:tcPr>
          <w:p>
            <w:r>
              <w:rPr>
                <w:rFonts w:ascii="Meiryo UI" w:hAnsi="Meiryo UI"/>
                <w:sz w:val="18"/>
              </w:rPr>
              <w:t>FY2026E CAPEX推定USD38〜42B（売上比60〜65%）</w:t>
            </w:r>
          </w:p>
        </w:tc>
        <w:tc>
          <w:tcPr>
            <w:tcW w:type="dxa" w:w="1881"/>
          </w:tcPr>
          <w:p>
            <w:r>
              <w:rPr>
                <w:rFonts w:ascii="Meiryo UI" w:hAnsi="Meiryo UI"/>
                <w:sz w:val="18"/>
              </w:rPr>
              <w:t>一過性〜中期（N2/AZ工場投資）</w:t>
            </w:r>
          </w:p>
        </w:tc>
        <w:tc>
          <w:tcPr>
            <w:tcW w:type="dxa" w:w="1881"/>
          </w:tcPr>
          <w:p>
            <w:r>
              <w:rPr>
                <w:rFonts w:ascii="Meiryo UI" w:hAnsi="Meiryo UI"/>
                <w:sz w:val="18"/>
              </w:rPr>
              <w:t>今は種をまく時期。2027〜2028年に収穫期が来る。短期FCFの弱さは本質ではない</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決算後-3.13%下落（センチメント）</w:t>
            </w:r>
          </w:p>
        </w:tc>
        <w:tc>
          <w:tcPr>
            <w:tcW w:type="dxa" w:w="1881"/>
            <w:shd w:val="clear" w:color="auto" w:fill="DDEBF7"/>
          </w:tcPr>
          <w:p>
            <w:r>
              <w:rPr>
                <w:rFonts w:ascii="Meiryo UI" w:hAnsi="Meiryo UI"/>
                <w:sz w:val="18"/>
              </w:rPr>
              <w:t>時価総額換算▲約USD300億相当</w:t>
            </w:r>
          </w:p>
        </w:tc>
        <w:tc>
          <w:tcPr>
            <w:tcW w:type="dxa" w:w="1881"/>
            <w:shd w:val="clear" w:color="auto" w:fill="DDEBF7"/>
          </w:tcPr>
          <w:p>
            <w:r>
              <w:rPr>
                <w:rFonts w:ascii="Meiryo UI" w:hAnsi="Meiryo UI"/>
                <w:sz w:val="18"/>
              </w:rPr>
              <w:t>一過性（売りオンニュース）</w:t>
            </w:r>
          </w:p>
        </w:tc>
        <w:tc>
          <w:tcPr>
            <w:tcW w:type="dxa" w:w="1881"/>
            <w:shd w:val="clear" w:color="auto" w:fill="DDEBF7"/>
          </w:tcPr>
          <w:p>
            <w:r>
              <w:rPr>
                <w:rFonts w:ascii="Meiryo UI" w:hAnsi="Meiryo UI"/>
                <w:sz w:val="18"/>
              </w:rPr>
              <w:t>「期待が高すぎた」だけ。業績に何も問題はない。むしろ押し目買いの好機</w:t>
            </w:r>
          </w:p>
        </w:tc>
      </w:tr>
      <w:tr>
        <w:tc>
          <w:tcPr>
            <w:tcW w:type="dxa" w:w="1881"/>
          </w:tcPr>
          <w:p>
            <w:r>
              <w:rPr>
                <w:rFonts w:ascii="Meiryo UI" w:hAnsi="Meiryo UI"/>
                <w:sz w:val="18"/>
              </w:rPr>
              <w:t>☠️ 毒</w:t>
            </w:r>
          </w:p>
        </w:tc>
        <w:tc>
          <w:tcPr>
            <w:tcW w:type="dxa" w:w="1881"/>
          </w:tcPr>
          <w:p>
            <w:r>
              <w:rPr>
                <w:rFonts w:ascii="Meiryo UI" w:hAnsi="Meiryo UI"/>
                <w:sz w:val="18"/>
              </w:rPr>
              <w:t>スマートフォン向け季節性低迷</w:t>
            </w:r>
          </w:p>
        </w:tc>
        <w:tc>
          <w:tcPr>
            <w:tcW w:type="dxa" w:w="1881"/>
          </w:tcPr>
          <w:p>
            <w:r>
              <w:rPr>
                <w:rFonts w:ascii="Meiryo UI" w:hAnsi="Meiryo UI"/>
                <w:sz w:val="18"/>
              </w:rPr>
              <w:t>Q1 スマートフォン比率推定22〜25%（前四半期比低下）</w:t>
            </w:r>
          </w:p>
        </w:tc>
        <w:tc>
          <w:tcPr>
            <w:tcW w:type="dxa" w:w="1881"/>
          </w:tcPr>
          <w:p>
            <w:r>
              <w:rPr>
                <w:rFonts w:ascii="Meiryo UI" w:hAnsi="Meiryo UI"/>
                <w:sz w:val="18"/>
              </w:rPr>
              <w:t>季節性（Q2以降回復見込み）</w:t>
            </w:r>
          </w:p>
        </w:tc>
        <w:tc>
          <w:tcPr>
            <w:tcW w:type="dxa" w:w="1881"/>
          </w:tcPr>
          <w:p>
            <w:r>
              <w:rPr>
                <w:rFonts w:ascii="Meiryo UI" w:hAnsi="Meiryo UI"/>
                <w:sz w:val="18"/>
              </w:rPr>
              <w:t>iPhone向けは年中ムラがある。でもHPCが十二分に補っている</w:t>
            </w:r>
          </w:p>
        </w:tc>
      </w:tr>
    </w:tbl>
    <w:p/>
    <w:p>
      <w:r>
        <w:rPr>
          <w:rFonts w:ascii="Meiryo UI" w:hAnsi="Meiryo UI"/>
          <w:sz w:val="20"/>
        </w:rPr>
        <w:t>▼ 実力ベース純利益・EPS（毒を除いた正常化後）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Q1公式報告値</w:t>
            </w:r>
          </w:p>
        </w:tc>
        <w:tc>
          <w:tcPr>
            <w:tcW w:type="dxa" w:w="2351"/>
            <w:shd w:val="clear" w:color="auto" w:fill="2E74B5"/>
          </w:tcPr>
          <w:p>
            <w:r>
              <w:rPr>
                <w:rFonts w:ascii="Meiryo UI" w:hAnsi="Meiryo UI"/>
                <w:b/>
                <w:color w:val="FFFFFF"/>
                <w:sz w:val="18"/>
              </w:rPr>
              <w:t>正常化後（一過性除去）</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純利益率</w:t>
            </w:r>
          </w:p>
        </w:tc>
        <w:tc>
          <w:tcPr>
            <w:tcW w:type="dxa" w:w="2351"/>
          </w:tcPr>
          <w:p>
            <w:r>
              <w:rPr>
                <w:rFonts w:ascii="Meiryo UI" w:hAnsi="Meiryo UI"/>
                <w:sz w:val="18"/>
              </w:rPr>
              <w:t>50.51%</w:t>
            </w:r>
          </w:p>
        </w:tc>
        <w:tc>
          <w:tcPr>
            <w:tcW w:type="dxa" w:w="2351"/>
          </w:tcPr>
          <w:p>
            <w:r>
              <w:rPr>
                <w:rFonts w:ascii="Meiryo UI" w:hAnsi="Meiryo UI"/>
                <w:sz w:val="18"/>
              </w:rPr>
              <w:t>50.51%（重大な一過性費用なし）</w:t>
            </w:r>
          </w:p>
        </w:tc>
        <w:tc>
          <w:tcPr>
            <w:tcW w:type="dxa" w:w="2351"/>
          </w:tcPr>
          <w:p>
            <w:r>
              <w:rPr>
                <w:rFonts w:ascii="Meiryo UI" w:hAnsi="Meiryo UI"/>
                <w:sz w:val="18"/>
              </w:rPr>
              <w:t>±0</w:t>
            </w:r>
          </w:p>
        </w:tc>
      </w:tr>
      <w:tr>
        <w:tc>
          <w:tcPr>
            <w:tcW w:type="dxa" w:w="2351"/>
            <w:shd w:val="clear" w:color="auto" w:fill="DDEBF7"/>
          </w:tcPr>
          <w:p>
            <w:r>
              <w:rPr>
                <w:rFonts w:ascii="Meiryo UI" w:hAnsi="Meiryo UI"/>
                <w:sz w:val="18"/>
              </w:rPr>
              <w:t>純利益（NT$）</w:t>
            </w:r>
          </w:p>
        </w:tc>
        <w:tc>
          <w:tcPr>
            <w:tcW w:type="dxa" w:w="2351"/>
            <w:shd w:val="clear" w:color="auto" w:fill="DDEBF7"/>
          </w:tcPr>
          <w:p>
            <w:r>
              <w:rPr>
                <w:rFonts w:ascii="Meiryo UI" w:hAnsi="Meiryo UI"/>
                <w:sz w:val="18"/>
              </w:rPr>
              <w:t>NT$572,480M</w:t>
            </w:r>
          </w:p>
        </w:tc>
        <w:tc>
          <w:tcPr>
            <w:tcW w:type="dxa" w:w="2351"/>
            <w:shd w:val="clear" w:color="auto" w:fill="DDEBF7"/>
          </w:tcPr>
          <w:p>
            <w:r>
              <w:rPr>
                <w:rFonts w:ascii="Meiryo UI" w:hAnsi="Meiryo UI"/>
                <w:sz w:val="18"/>
              </w:rPr>
              <w:t>NT$572,480M</w:t>
            </w:r>
          </w:p>
        </w:tc>
        <w:tc>
          <w:tcPr>
            <w:tcW w:type="dxa" w:w="2351"/>
            <w:shd w:val="clear" w:color="auto" w:fill="DDEBF7"/>
          </w:tcPr>
          <w:p>
            <w:r>
              <w:rPr>
                <w:rFonts w:ascii="Meiryo UI" w:hAnsi="Meiryo UI"/>
                <w:sz w:val="18"/>
              </w:rPr>
              <w:t>±0</w:t>
            </w:r>
          </w:p>
        </w:tc>
      </w:tr>
      <w:tr>
        <w:tc>
          <w:tcPr>
            <w:tcW w:type="dxa" w:w="2351"/>
          </w:tcPr>
          <w:p>
            <w:r>
              <w:rPr>
                <w:rFonts w:ascii="Meiryo UI" w:hAnsi="Meiryo UI"/>
                <w:sz w:val="18"/>
              </w:rPr>
              <w:t>EPS（NT$）</w:t>
            </w:r>
          </w:p>
        </w:tc>
        <w:tc>
          <w:tcPr>
            <w:tcW w:type="dxa" w:w="2351"/>
          </w:tcPr>
          <w:p>
            <w:r>
              <w:rPr>
                <w:rFonts w:ascii="Meiryo UI" w:hAnsi="Meiryo UI"/>
                <w:sz w:val="18"/>
              </w:rPr>
              <w:t>NT$110.40</w:t>
            </w:r>
          </w:p>
        </w:tc>
        <w:tc>
          <w:tcPr>
            <w:tcW w:type="dxa" w:w="2351"/>
          </w:tcPr>
          <w:p>
            <w:r>
              <w:rPr>
                <w:rFonts w:ascii="Meiryo UI" w:hAnsi="Meiryo UI"/>
                <w:sz w:val="18"/>
              </w:rPr>
              <w:t>NT$110.40</w:t>
            </w:r>
          </w:p>
        </w:tc>
        <w:tc>
          <w:tcPr>
            <w:tcW w:type="dxa" w:w="2351"/>
          </w:tcPr>
          <w:p>
            <w:r>
              <w:rPr>
                <w:rFonts w:ascii="Meiryo UI" w:hAnsi="Meiryo UI"/>
                <w:sz w:val="18"/>
              </w:rPr>
              <w:t>±0</w:t>
            </w:r>
          </w:p>
        </w:tc>
      </w:tr>
      <w:tr>
        <w:tc>
          <w:tcPr>
            <w:tcW w:type="dxa" w:w="2351"/>
            <w:shd w:val="clear" w:color="auto" w:fill="DDEBF7"/>
          </w:tcPr>
          <w:p>
            <w:r>
              <w:rPr>
                <w:rFonts w:ascii="Meiryo UI" w:hAnsi="Meiryo UI"/>
                <w:sz w:val="18"/>
              </w:rPr>
              <w:t>粗利益率</w:t>
            </w:r>
          </w:p>
        </w:tc>
        <w:tc>
          <w:tcPr>
            <w:tcW w:type="dxa" w:w="2351"/>
            <w:shd w:val="clear" w:color="auto" w:fill="DDEBF7"/>
          </w:tcPr>
          <w:p>
            <w:r>
              <w:rPr>
                <w:rFonts w:ascii="Meiryo UI" w:hAnsi="Meiryo UI"/>
                <w:sz w:val="18"/>
              </w:rPr>
              <w:t>66.25%</w:t>
            </w:r>
          </w:p>
        </w:tc>
        <w:tc>
          <w:tcPr>
            <w:tcW w:type="dxa" w:w="2351"/>
            <w:shd w:val="clear" w:color="auto" w:fill="DDEBF7"/>
          </w:tcPr>
          <w:p>
            <w:r>
              <w:rPr>
                <w:rFonts w:ascii="Meiryo UI" w:hAnsi="Meiryo UI"/>
                <w:sz w:val="18"/>
              </w:rPr>
              <w:t>66.25%</w:t>
            </w:r>
          </w:p>
        </w:tc>
        <w:tc>
          <w:tcPr>
            <w:tcW w:type="dxa" w:w="2351"/>
            <w:shd w:val="clear" w:color="auto" w:fill="DDEBF7"/>
          </w:tcPr>
          <w:p>
            <w:r>
              <w:rPr>
                <w:rFonts w:ascii="Meiryo UI" w:hAnsi="Meiryo UI"/>
                <w:sz w:val="18"/>
              </w:rPr>
              <w:t>±0</w:t>
            </w:r>
          </w:p>
        </w:tc>
      </w:tr>
    </w:tbl>
    <w:p/>
    <w:p>
      <w:r>
        <w:rPr>
          <w:rFonts w:ascii="Meiryo UI" w:hAnsi="Meiryo UI"/>
          <w:sz w:val="20"/>
        </w:rPr>
        <w:t>&gt; 深井コメント：今期は特段の一過性利益・損失が見当たらない。Q1確定値は「素の実力」そのものであり、正常化調整の必要性がほぼない。これはEarnings Qualityが極めて高いことを意味する。</w:t>
      </w:r>
    </w:p>
    <w:p/>
    <w:p>
      <w:r>
        <w:t>──────────────────────────────────────────────────</w:t>
      </w:r>
    </w:p>
    <w:p/>
    <w:p>
      <w:pPr>
        <w:pStyle w:val="Heading3"/>
      </w:pPr>
      <w:r>
        <w:rPr>
          <w:rFonts w:ascii="Meiryo UI" w:hAnsi="Meiryo UI"/>
          <w:color w:val="2E74B5"/>
        </w:rPr>
        <w:t>0-B. 直近四半期（QonQ）変調分析</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指標</w:t>
            </w:r>
          </w:p>
        </w:tc>
        <w:tc>
          <w:tcPr>
            <w:tcW w:type="dxa" w:w="1344"/>
            <w:shd w:val="clear" w:color="auto" w:fill="2E74B5"/>
          </w:tcPr>
          <w:p>
            <w:r>
              <w:rPr>
                <w:rFonts w:ascii="Meiryo UI" w:hAnsi="Meiryo UI"/>
                <w:b/>
                <w:color w:val="FFFFFF"/>
                <w:sz w:val="18"/>
              </w:rPr>
              <w:t>Q3 2025実績</w:t>
            </w:r>
          </w:p>
        </w:tc>
        <w:tc>
          <w:tcPr>
            <w:tcW w:type="dxa" w:w="1344"/>
            <w:shd w:val="clear" w:color="auto" w:fill="2E74B5"/>
          </w:tcPr>
          <w:p>
            <w:r>
              <w:rPr>
                <w:rFonts w:ascii="Meiryo UI" w:hAnsi="Meiryo UI"/>
                <w:b/>
                <w:color w:val="FFFFFF"/>
                <w:sz w:val="18"/>
              </w:rPr>
              <w:t>Q4 2025実績</w:t>
            </w:r>
          </w:p>
        </w:tc>
        <w:tc>
          <w:tcPr>
            <w:tcW w:type="dxa" w:w="1344"/>
            <w:shd w:val="clear" w:color="auto" w:fill="2E74B5"/>
          </w:tcPr>
          <w:p>
            <w:r>
              <w:rPr>
                <w:rFonts w:ascii="Meiryo UI" w:hAnsi="Meiryo UI"/>
                <w:b/>
                <w:color w:val="FFFFFF"/>
                <w:sz w:val="18"/>
              </w:rPr>
              <w:t>Q1 2026実績</w:t>
            </w:r>
          </w:p>
        </w:tc>
        <w:tc>
          <w:tcPr>
            <w:tcW w:type="dxa" w:w="1344"/>
            <w:shd w:val="clear" w:color="auto" w:fill="2E74B5"/>
          </w:tcPr>
          <w:p>
            <w:r>
              <w:rPr>
                <w:rFonts w:ascii="Meiryo UI" w:hAnsi="Meiryo UI"/>
                <w:b/>
                <w:color w:val="FFFFFF"/>
                <w:sz w:val="18"/>
              </w:rPr>
              <w:t>Q3→Q4変化</w:t>
            </w:r>
          </w:p>
        </w:tc>
        <w:tc>
          <w:tcPr>
            <w:tcW w:type="dxa" w:w="1344"/>
            <w:shd w:val="clear" w:color="auto" w:fill="2E74B5"/>
          </w:tcPr>
          <w:p>
            <w:r>
              <w:rPr>
                <w:rFonts w:ascii="Meiryo UI" w:hAnsi="Meiryo UI"/>
                <w:b/>
                <w:color w:val="FFFFFF"/>
                <w:sz w:val="18"/>
              </w:rPr>
              <w:t>Q4→Q1変化</w:t>
            </w:r>
          </w:p>
        </w:tc>
        <w:tc>
          <w:tcPr>
            <w:tcW w:type="dxa" w:w="1344"/>
            <w:shd w:val="clear" w:color="auto" w:fill="2E74B5"/>
          </w:tcPr>
          <w:p>
            <w:r>
              <w:rPr>
                <w:rFonts w:ascii="Meiryo UI" w:hAnsi="Meiryo UI"/>
                <w:b/>
                <w:color w:val="FFFFFF"/>
                <w:sz w:val="18"/>
              </w:rPr>
              <w:t>変化の質</w:t>
            </w:r>
          </w:p>
        </w:tc>
      </w:tr>
      <w:tr>
        <w:tc>
          <w:tcPr>
            <w:tcW w:type="dxa" w:w="1344"/>
          </w:tcPr>
          <w:p>
            <w:r>
              <w:rPr>
                <w:rFonts w:ascii="Meiryo UI" w:hAnsi="Meiryo UI"/>
                <w:sz w:val="18"/>
              </w:rPr>
              <w:t>売上高（NT$B）</w:t>
            </w:r>
          </w:p>
        </w:tc>
        <w:tc>
          <w:tcPr>
            <w:tcW w:type="dxa" w:w="1344"/>
          </w:tcPr>
          <w:p>
            <w:r>
              <w:rPr>
                <w:rFonts w:ascii="Meiryo UI" w:hAnsi="Meiryo UI"/>
                <w:sz w:val="18"/>
              </w:rPr>
              <w:t>989,918</w:t>
            </w:r>
          </w:p>
        </w:tc>
        <w:tc>
          <w:tcPr>
            <w:tcW w:type="dxa" w:w="1344"/>
          </w:tcPr>
          <w:p>
            <w:r>
              <w:rPr>
                <w:rFonts w:ascii="Meiryo UI" w:hAnsi="Meiryo UI"/>
                <w:sz w:val="18"/>
              </w:rPr>
              <w:t>1,046,090</w:t>
            </w:r>
          </w:p>
        </w:tc>
        <w:tc>
          <w:tcPr>
            <w:tcW w:type="dxa" w:w="1344"/>
          </w:tcPr>
          <w:p>
            <w:r>
              <w:rPr>
                <w:rFonts w:ascii="Meiryo UI" w:hAnsi="Meiryo UI"/>
                <w:sz w:val="18"/>
              </w:rPr>
              <w:t>1,134,100</w:t>
            </w:r>
          </w:p>
        </w:tc>
        <w:tc>
          <w:tcPr>
            <w:tcW w:type="dxa" w:w="1344"/>
          </w:tcPr>
          <w:p>
            <w:r>
              <w:rPr>
                <w:rFonts w:ascii="Meiryo UI" w:hAnsi="Meiryo UI"/>
                <w:sz w:val="18"/>
              </w:rPr>
              <w:t>+5.67%</w:t>
            </w:r>
          </w:p>
        </w:tc>
        <w:tc>
          <w:tcPr>
            <w:tcW w:type="dxa" w:w="1344"/>
          </w:tcPr>
          <w:p>
            <w:r>
              <w:rPr>
                <w:rFonts w:ascii="Meiryo UI" w:hAnsi="Meiryo UI"/>
                <w:sz w:val="18"/>
              </w:rPr>
              <w:t>+8.41%</w:t>
            </w:r>
          </w:p>
        </w:tc>
        <w:tc>
          <w:tcPr>
            <w:tcW w:type="dxa" w:w="1344"/>
          </w:tcPr>
          <w:p>
            <w:r>
              <w:rPr>
                <w:rFonts w:ascii="Meiryo UI" w:hAnsi="Meiryo UI"/>
                <w:sz w:val="18"/>
              </w:rPr>
              <w:t>構造的（AI需要加速）</w:t>
            </w:r>
          </w:p>
        </w:tc>
      </w:tr>
      <w:tr>
        <w:tc>
          <w:tcPr>
            <w:tcW w:type="dxa" w:w="1344"/>
            <w:shd w:val="clear" w:color="auto" w:fill="DDEBF7"/>
          </w:tcPr>
          <w:p>
            <w:r>
              <w:rPr>
                <w:rFonts w:ascii="Meiryo UI" w:hAnsi="Meiryo UI"/>
                <w:sz w:val="18"/>
              </w:rPr>
              <w:t>粗利益率</w:t>
            </w:r>
          </w:p>
        </w:tc>
        <w:tc>
          <w:tcPr>
            <w:tcW w:type="dxa" w:w="1344"/>
            <w:shd w:val="clear" w:color="auto" w:fill="DDEBF7"/>
          </w:tcPr>
          <w:p>
            <w:r>
              <w:rPr>
                <w:rFonts w:ascii="Meiryo UI" w:hAnsi="Meiryo UI"/>
                <w:sz w:val="18"/>
              </w:rPr>
              <w:t>59.45%</w:t>
            </w:r>
          </w:p>
        </w:tc>
        <w:tc>
          <w:tcPr>
            <w:tcW w:type="dxa" w:w="1344"/>
            <w:shd w:val="clear" w:color="auto" w:fill="DDEBF7"/>
          </w:tcPr>
          <w:p>
            <w:r>
              <w:rPr>
                <w:rFonts w:ascii="Meiryo UI" w:hAnsi="Meiryo UI"/>
                <w:sz w:val="18"/>
              </w:rPr>
              <w:t>62.33%</w:t>
            </w:r>
          </w:p>
        </w:tc>
        <w:tc>
          <w:tcPr>
            <w:tcW w:type="dxa" w:w="1344"/>
            <w:shd w:val="clear" w:color="auto" w:fill="DDEBF7"/>
          </w:tcPr>
          <w:p>
            <w:r>
              <w:rPr>
                <w:rFonts w:ascii="Meiryo UI" w:hAnsi="Meiryo UI"/>
                <w:sz w:val="18"/>
              </w:rPr>
              <w:t>66.25%</w:t>
            </w:r>
          </w:p>
        </w:tc>
        <w:tc>
          <w:tcPr>
            <w:tcW w:type="dxa" w:w="1344"/>
            <w:shd w:val="clear" w:color="auto" w:fill="DDEBF7"/>
          </w:tcPr>
          <w:p>
            <w:r>
              <w:rPr>
                <w:rFonts w:ascii="Meiryo UI" w:hAnsi="Meiryo UI"/>
                <w:sz w:val="18"/>
              </w:rPr>
              <w:t>+288bp</w:t>
            </w:r>
          </w:p>
        </w:tc>
        <w:tc>
          <w:tcPr>
            <w:tcW w:type="dxa" w:w="1344"/>
            <w:shd w:val="clear" w:color="auto" w:fill="DDEBF7"/>
          </w:tcPr>
          <w:p>
            <w:r>
              <w:rPr>
                <w:rFonts w:ascii="Meiryo UI" w:hAnsi="Meiryo UI"/>
                <w:sz w:val="18"/>
              </w:rPr>
              <w:t>+392bp</w:t>
            </w:r>
          </w:p>
        </w:tc>
        <w:tc>
          <w:tcPr>
            <w:tcW w:type="dxa" w:w="1344"/>
            <w:shd w:val="clear" w:color="auto" w:fill="DDEBF7"/>
          </w:tcPr>
          <w:p>
            <w:r>
              <w:rPr>
                <w:rFonts w:ascii="Meiryo UI" w:hAnsi="Meiryo UI"/>
                <w:sz w:val="18"/>
              </w:rPr>
              <w:t>構造的（N3価格転嫁・歩留改善）</w:t>
            </w:r>
          </w:p>
        </w:tc>
      </w:tr>
      <w:tr>
        <w:tc>
          <w:tcPr>
            <w:tcW w:type="dxa" w:w="1344"/>
          </w:tcPr>
          <w:p>
            <w:r>
              <w:rPr>
                <w:rFonts w:ascii="Meiryo UI" w:hAnsi="Meiryo UI"/>
                <w:sz w:val="18"/>
              </w:rPr>
              <w:t>営業利益率</w:t>
            </w:r>
          </w:p>
        </w:tc>
        <w:tc>
          <w:tcPr>
            <w:tcW w:type="dxa" w:w="1344"/>
          </w:tcPr>
          <w:p>
            <w:r>
              <w:rPr>
                <w:rFonts w:ascii="Meiryo UI" w:hAnsi="Meiryo UI"/>
                <w:sz w:val="18"/>
              </w:rPr>
              <w:t>推定50%</w:t>
            </w:r>
          </w:p>
        </w:tc>
        <w:tc>
          <w:tcPr>
            <w:tcW w:type="dxa" w:w="1344"/>
          </w:tcPr>
          <w:p>
            <w:r>
              <w:rPr>
                <w:rFonts w:ascii="Meiryo UI" w:hAnsi="Meiryo UI"/>
                <w:sz w:val="18"/>
              </w:rPr>
              <w:t>推定54%</w:t>
            </w:r>
          </w:p>
        </w:tc>
        <w:tc>
          <w:tcPr>
            <w:tcW w:type="dxa" w:w="1344"/>
          </w:tcPr>
          <w:p>
            <w:r>
              <w:rPr>
                <w:rFonts w:ascii="Meiryo UI" w:hAnsi="Meiryo UI"/>
                <w:sz w:val="18"/>
              </w:rPr>
              <w:t>58.10%</w:t>
            </w:r>
          </w:p>
        </w:tc>
        <w:tc>
          <w:tcPr>
            <w:tcW w:type="dxa" w:w="1344"/>
          </w:tcPr>
          <w:p>
            <w:r>
              <w:rPr>
                <w:rFonts w:ascii="Meiryo UI" w:hAnsi="Meiryo UI"/>
                <w:sz w:val="18"/>
              </w:rPr>
              <w:t>約+400bp</w:t>
            </w:r>
          </w:p>
        </w:tc>
        <w:tc>
          <w:tcPr>
            <w:tcW w:type="dxa" w:w="1344"/>
          </w:tcPr>
          <w:p>
            <w:r>
              <w:rPr>
                <w:rFonts w:ascii="Meiryo UI" w:hAnsi="Meiryo UI"/>
                <w:sz w:val="18"/>
              </w:rPr>
              <w:t>+410bp</w:t>
            </w:r>
          </w:p>
        </w:tc>
        <w:tc>
          <w:tcPr>
            <w:tcW w:type="dxa" w:w="1344"/>
          </w:tcPr>
          <w:p>
            <w:r>
              <w:rPr>
                <w:rFonts w:ascii="Meiryo UI" w:hAnsi="Meiryo UI"/>
                <w:sz w:val="18"/>
              </w:rPr>
              <w:t>構造的</w:t>
            </w:r>
          </w:p>
        </w:tc>
      </w:tr>
      <w:tr>
        <w:tc>
          <w:tcPr>
            <w:tcW w:type="dxa" w:w="1344"/>
            <w:shd w:val="clear" w:color="auto" w:fill="DDEBF7"/>
          </w:tcPr>
          <w:p>
            <w:r>
              <w:rPr>
                <w:rFonts w:ascii="Meiryo UI" w:hAnsi="Meiryo UI"/>
                <w:sz w:val="18"/>
              </w:rPr>
              <w:t>純利益率</w:t>
            </w:r>
          </w:p>
        </w:tc>
        <w:tc>
          <w:tcPr>
            <w:tcW w:type="dxa" w:w="1344"/>
            <w:shd w:val="clear" w:color="auto" w:fill="DDEBF7"/>
          </w:tcPr>
          <w:p>
            <w:r>
              <w:rPr>
                <w:rFonts w:ascii="Meiryo UI" w:hAnsi="Meiryo UI"/>
                <w:sz w:val="18"/>
              </w:rPr>
              <w:t>45.64%</w:t>
            </w:r>
          </w:p>
        </w:tc>
        <w:tc>
          <w:tcPr>
            <w:tcW w:type="dxa" w:w="1344"/>
            <w:shd w:val="clear" w:color="auto" w:fill="DDEBF7"/>
          </w:tcPr>
          <w:p>
            <w:r>
              <w:rPr>
                <w:rFonts w:ascii="Meiryo UI" w:hAnsi="Meiryo UI"/>
                <w:sz w:val="18"/>
              </w:rPr>
              <w:t>48.31%</w:t>
            </w:r>
          </w:p>
        </w:tc>
        <w:tc>
          <w:tcPr>
            <w:tcW w:type="dxa" w:w="1344"/>
            <w:shd w:val="clear" w:color="auto" w:fill="DDEBF7"/>
          </w:tcPr>
          <w:p>
            <w:r>
              <w:rPr>
                <w:rFonts w:ascii="Meiryo UI" w:hAnsi="Meiryo UI"/>
                <w:sz w:val="18"/>
              </w:rPr>
              <w:t>50.51%</w:t>
            </w:r>
          </w:p>
        </w:tc>
        <w:tc>
          <w:tcPr>
            <w:tcW w:type="dxa" w:w="1344"/>
            <w:shd w:val="clear" w:color="auto" w:fill="DDEBF7"/>
          </w:tcPr>
          <w:p>
            <w:r>
              <w:rPr>
                <w:rFonts w:ascii="Meiryo UI" w:hAnsi="Meiryo UI"/>
                <w:sz w:val="18"/>
              </w:rPr>
              <w:t>+267bp</w:t>
            </w:r>
          </w:p>
        </w:tc>
        <w:tc>
          <w:tcPr>
            <w:tcW w:type="dxa" w:w="1344"/>
            <w:shd w:val="clear" w:color="auto" w:fill="DDEBF7"/>
          </w:tcPr>
          <w:p>
            <w:r>
              <w:rPr>
                <w:rFonts w:ascii="Meiryo UI" w:hAnsi="Meiryo UI"/>
                <w:sz w:val="18"/>
              </w:rPr>
              <w:t>+220bp</w:t>
            </w:r>
          </w:p>
        </w:tc>
        <w:tc>
          <w:tcPr>
            <w:tcW w:type="dxa" w:w="1344"/>
            <w:shd w:val="clear" w:color="auto" w:fill="DDEBF7"/>
          </w:tcPr>
          <w:p>
            <w:r>
              <w:rPr>
                <w:rFonts w:ascii="Meiryo UI" w:hAnsi="Meiryo UI"/>
                <w:sz w:val="18"/>
              </w:rPr>
              <w:t>構造的（スケール効果）</w:t>
            </w:r>
          </w:p>
        </w:tc>
      </w:tr>
      <w:tr>
        <w:tc>
          <w:tcPr>
            <w:tcW w:type="dxa" w:w="1344"/>
          </w:tcPr>
          <w:p>
            <w:r>
              <w:rPr>
                <w:rFonts w:ascii="Meiryo UI" w:hAnsi="Meiryo UI"/>
                <w:sz w:val="18"/>
              </w:rPr>
              <w:t>EPS（NT$/株）</w:t>
            </w:r>
          </w:p>
        </w:tc>
        <w:tc>
          <w:tcPr>
            <w:tcW w:type="dxa" w:w="1344"/>
          </w:tcPr>
          <w:p>
            <w:r>
              <w:rPr>
                <w:rFonts w:ascii="Meiryo UI" w:hAnsi="Meiryo UI"/>
                <w:sz w:val="18"/>
              </w:rPr>
              <w:t>87.20</w:t>
            </w:r>
          </w:p>
        </w:tc>
        <w:tc>
          <w:tcPr>
            <w:tcW w:type="dxa" w:w="1344"/>
          </w:tcPr>
          <w:p>
            <w:r>
              <w:rPr>
                <w:rFonts w:ascii="Meiryo UI" w:hAnsi="Meiryo UI"/>
                <w:sz w:val="18"/>
              </w:rPr>
              <w:t>97.50</w:t>
            </w:r>
          </w:p>
        </w:tc>
        <w:tc>
          <w:tcPr>
            <w:tcW w:type="dxa" w:w="1344"/>
          </w:tcPr>
          <w:p>
            <w:r>
              <w:rPr>
                <w:rFonts w:ascii="Meiryo UI" w:hAnsi="Meiryo UI"/>
                <w:sz w:val="18"/>
              </w:rPr>
              <w:t>110.40</w:t>
            </w:r>
          </w:p>
        </w:tc>
        <w:tc>
          <w:tcPr>
            <w:tcW w:type="dxa" w:w="1344"/>
          </w:tcPr>
          <w:p>
            <w:r>
              <w:rPr>
                <w:rFonts w:ascii="Meiryo UI" w:hAnsi="Meiryo UI"/>
                <w:sz w:val="18"/>
              </w:rPr>
              <w:t>+11.81%</w:t>
            </w:r>
          </w:p>
        </w:tc>
        <w:tc>
          <w:tcPr>
            <w:tcW w:type="dxa" w:w="1344"/>
          </w:tcPr>
          <w:p>
            <w:r>
              <w:rPr>
                <w:rFonts w:ascii="Meiryo UI" w:hAnsi="Meiryo UI"/>
                <w:sz w:val="18"/>
              </w:rPr>
              <w:t>+13.23%</w:t>
            </w:r>
          </w:p>
        </w:tc>
        <w:tc>
          <w:tcPr>
            <w:tcW w:type="dxa" w:w="1344"/>
          </w:tcPr>
          <w:p>
            <w:r>
              <w:rPr>
                <w:rFonts w:ascii="Meiryo UI" w:hAnsi="Meiryo UI"/>
                <w:sz w:val="18"/>
              </w:rPr>
              <w:t>構造的</w:t>
            </w:r>
          </w:p>
        </w:tc>
      </w:tr>
      <w:tr>
        <w:tc>
          <w:tcPr>
            <w:tcW w:type="dxa" w:w="1344"/>
            <w:shd w:val="clear" w:color="auto" w:fill="DDEBF7"/>
          </w:tcPr>
          <w:p>
            <w:r>
              <w:rPr>
                <w:rFonts w:ascii="Meiryo UI" w:hAnsi="Meiryo UI"/>
                <w:sz w:val="18"/>
              </w:rPr>
              <w:t>HPC比率（推定）</w:t>
            </w:r>
          </w:p>
        </w:tc>
        <w:tc>
          <w:tcPr>
            <w:tcW w:type="dxa" w:w="1344"/>
            <w:shd w:val="clear" w:color="auto" w:fill="DDEBF7"/>
          </w:tcPr>
          <w:p>
            <w:r>
              <w:rPr>
                <w:rFonts w:ascii="Meiryo UI" w:hAnsi="Meiryo UI"/>
                <w:sz w:val="18"/>
              </w:rPr>
              <w:t>約51%</w:t>
            </w:r>
          </w:p>
        </w:tc>
        <w:tc>
          <w:tcPr>
            <w:tcW w:type="dxa" w:w="1344"/>
            <w:shd w:val="clear" w:color="auto" w:fill="DDEBF7"/>
          </w:tcPr>
          <w:p>
            <w:r>
              <w:rPr>
                <w:rFonts w:ascii="Meiryo UI" w:hAnsi="Meiryo UI"/>
                <w:sz w:val="18"/>
              </w:rPr>
              <w:t>約53%</w:t>
            </w:r>
          </w:p>
        </w:tc>
        <w:tc>
          <w:tcPr>
            <w:tcW w:type="dxa" w:w="1344"/>
            <w:shd w:val="clear" w:color="auto" w:fill="DDEBF7"/>
          </w:tcPr>
          <w:p>
            <w:r>
              <w:rPr>
                <w:rFonts w:ascii="Meiryo UI" w:hAnsi="Meiryo UI"/>
                <w:sz w:val="18"/>
              </w:rPr>
              <w:t>約57〜60%</w:t>
            </w:r>
          </w:p>
        </w:tc>
        <w:tc>
          <w:tcPr>
            <w:tcW w:type="dxa" w:w="1344"/>
            <w:shd w:val="clear" w:color="auto" w:fill="DDEBF7"/>
          </w:tcPr>
          <w:p>
            <w:r>
              <w:rPr>
                <w:rFonts w:ascii="Meiryo UI" w:hAnsi="Meiryo UI"/>
                <w:sz w:val="18"/>
              </w:rPr>
              <w:t>+2pp</w:t>
            </w:r>
          </w:p>
        </w:tc>
        <w:tc>
          <w:tcPr>
            <w:tcW w:type="dxa" w:w="1344"/>
            <w:shd w:val="clear" w:color="auto" w:fill="DDEBF7"/>
          </w:tcPr>
          <w:p>
            <w:r>
              <w:rPr>
                <w:rFonts w:ascii="Meiryo UI" w:hAnsi="Meiryo UI"/>
                <w:sz w:val="18"/>
              </w:rPr>
              <w:t>+4〜7pp</w:t>
            </w:r>
          </w:p>
        </w:tc>
        <w:tc>
          <w:tcPr>
            <w:tcW w:type="dxa" w:w="1344"/>
            <w:shd w:val="clear" w:color="auto" w:fill="DDEBF7"/>
          </w:tcPr>
          <w:p>
            <w:r>
              <w:rPr>
                <w:rFonts w:ascii="Meiryo UI" w:hAnsi="Meiryo UI"/>
                <w:sz w:val="18"/>
              </w:rPr>
              <w:t>構造的（AI移行加速）</w:t>
            </w:r>
          </w:p>
        </w:tc>
      </w:tr>
      <w:tr>
        <w:tc>
          <w:tcPr>
            <w:tcW w:type="dxa" w:w="1344"/>
          </w:tcPr>
          <w:p>
            <w:r>
              <w:rPr>
                <w:rFonts w:ascii="Meiryo UI" w:hAnsi="Meiryo UI"/>
                <w:sz w:val="18"/>
              </w:rPr>
              <w:t>スマートフォン比率（推定）</w:t>
            </w:r>
          </w:p>
        </w:tc>
        <w:tc>
          <w:tcPr>
            <w:tcW w:type="dxa" w:w="1344"/>
          </w:tcPr>
          <w:p>
            <w:r>
              <w:rPr>
                <w:rFonts w:ascii="Meiryo UI" w:hAnsi="Meiryo UI"/>
                <w:sz w:val="18"/>
              </w:rPr>
              <w:t>約27%</w:t>
            </w:r>
          </w:p>
        </w:tc>
        <w:tc>
          <w:tcPr>
            <w:tcW w:type="dxa" w:w="1344"/>
          </w:tcPr>
          <w:p>
            <w:r>
              <w:rPr>
                <w:rFonts w:ascii="Meiryo UI" w:hAnsi="Meiryo UI"/>
                <w:sz w:val="18"/>
              </w:rPr>
              <w:t>約25%</w:t>
            </w:r>
          </w:p>
        </w:tc>
        <w:tc>
          <w:tcPr>
            <w:tcW w:type="dxa" w:w="1344"/>
          </w:tcPr>
          <w:p>
            <w:r>
              <w:rPr>
                <w:rFonts w:ascii="Meiryo UI" w:hAnsi="Meiryo UI"/>
                <w:sz w:val="18"/>
              </w:rPr>
              <w:t>約22〜25%</w:t>
            </w:r>
          </w:p>
        </w:tc>
        <w:tc>
          <w:tcPr>
            <w:tcW w:type="dxa" w:w="1344"/>
          </w:tcPr>
          <w:p>
            <w:r>
              <w:rPr>
                <w:rFonts w:ascii="Meiryo UI" w:hAnsi="Meiryo UI"/>
                <w:sz w:val="18"/>
              </w:rPr>
              <w:t>-2pp</w:t>
            </w:r>
          </w:p>
        </w:tc>
        <w:tc>
          <w:tcPr>
            <w:tcW w:type="dxa" w:w="1344"/>
          </w:tcPr>
          <w:p>
            <w:r>
              <w:rPr>
                <w:rFonts w:ascii="Meiryo UI" w:hAnsi="Meiryo UI"/>
                <w:sz w:val="18"/>
              </w:rPr>
              <w:t>±0〜-3pp</w:t>
            </w:r>
          </w:p>
        </w:tc>
        <w:tc>
          <w:tcPr>
            <w:tcW w:type="dxa" w:w="1344"/>
          </w:tcPr>
          <w:p>
            <w:r>
              <w:rPr>
                <w:rFonts w:ascii="Meiryo UI" w:hAnsi="Meiryo UI"/>
                <w:sz w:val="18"/>
              </w:rPr>
              <w:t>季節性</w:t>
            </w:r>
          </w:p>
        </w:tc>
      </w:tr>
      <w:tr>
        <w:tc>
          <w:tcPr>
            <w:tcW w:type="dxa" w:w="1344"/>
            <w:shd w:val="clear" w:color="auto" w:fill="DDEBF7"/>
          </w:tcPr>
          <w:p>
            <w:r>
              <w:rPr>
                <w:rFonts w:ascii="Meiryo UI" w:hAnsi="Meiryo UI"/>
                <w:sz w:val="18"/>
              </w:rPr>
              <w:t>QoQ売上成長率</w:t>
            </w:r>
          </w:p>
        </w:tc>
        <w:tc>
          <w:tcPr>
            <w:tcW w:type="dxa" w:w="1344"/>
            <w:shd w:val="clear" w:color="auto" w:fill="DDEBF7"/>
          </w:tcPr>
          <w:p>
            <w:r>
              <w:rPr>
                <w:rFonts w:ascii="Meiryo UI" w:hAnsi="Meiryo UI"/>
                <w:sz w:val="18"/>
              </w:rPr>
              <w:t>+5.0%</w:t>
            </w:r>
          </w:p>
        </w:tc>
        <w:tc>
          <w:tcPr>
            <w:tcW w:type="dxa" w:w="1344"/>
            <w:shd w:val="clear" w:color="auto" w:fill="DDEBF7"/>
          </w:tcPr>
          <w:p>
            <w:r>
              <w:rPr>
                <w:rFonts w:ascii="Meiryo UI" w:hAnsi="Meiryo UI"/>
                <w:sz w:val="18"/>
              </w:rPr>
              <w:t>+5.67%</w:t>
            </w:r>
          </w:p>
        </w:tc>
        <w:tc>
          <w:tcPr>
            <w:tcW w:type="dxa" w:w="1344"/>
            <w:shd w:val="clear" w:color="auto" w:fill="DDEBF7"/>
          </w:tcPr>
          <w:p>
            <w:r>
              <w:rPr>
                <w:rFonts w:ascii="Meiryo UI" w:hAnsi="Meiryo UI"/>
                <w:sz w:val="18"/>
              </w:rPr>
              <w:t>+8.41%</w:t>
            </w:r>
          </w:p>
        </w:tc>
        <w:tc>
          <w:tcPr>
            <w:tcW w:type="dxa" w:w="1344"/>
            <w:shd w:val="clear" w:color="auto" w:fill="DDEBF7"/>
          </w:tcPr>
          <w:p>
            <w:r>
              <w:rPr>
                <w:rFonts w:ascii="Meiryo UI" w:hAnsi="Meiryo UI"/>
                <w:sz w:val="18"/>
              </w:rPr>
              <w:t>加速</w:t>
            </w:r>
          </w:p>
        </w:tc>
        <w:tc>
          <w:tcPr>
            <w:tcW w:type="dxa" w:w="1344"/>
            <w:shd w:val="clear" w:color="auto" w:fill="DDEBF7"/>
          </w:tcPr>
          <w:p>
            <w:r>
              <w:rPr>
                <w:rFonts w:ascii="Meiryo UI" w:hAnsi="Meiryo UI"/>
                <w:sz w:val="18"/>
              </w:rPr>
              <w:t>さらに加速</w:t>
            </w:r>
          </w:p>
        </w:tc>
        <w:tc>
          <w:tcPr>
            <w:tcW w:type="dxa" w:w="1344"/>
            <w:shd w:val="clear" w:color="auto" w:fill="DDEBF7"/>
          </w:tcPr>
          <w:p>
            <w:r>
              <w:rPr>
                <w:rFonts w:ascii="Meiryo UI" w:hAnsi="Meiryo UI"/>
                <w:sz w:val="18"/>
              </w:rPr>
              <w:t>構造的（Q1弱季節性を逆行）</w:t>
            </w:r>
          </w:p>
        </w:tc>
      </w:tr>
    </w:tbl>
    <w:p/>
    <w:p>
      <w:r>
        <w:rPr>
          <w:rFonts w:ascii="Meiryo UI" w:hAnsi="Meiryo UI"/>
          <w:sz w:val="20"/>
        </w:rPr>
        <w:t>&gt; 変調サマリー：Q3→Q4→Q1と3四半期連続で粗利益率・純利益率・EPSが加速的に改善している。通常Q1は季節性で弱くなるが、今回はQoQ+8.41%と逆行。HPC（AI）需要がスマートフォンの季節性低迷を完全に上書きした構造的シフトの証拠。</w:t>
      </w:r>
    </w:p>
    <w:p/>
    <w:p>
      <w:r>
        <w:t>──────────────────────────────────────────────────</w:t>
      </w:r>
    </w:p>
    <w:p/>
    <w:p>
      <w:pPr>
        <w:pStyle w:val="Heading2"/>
      </w:pPr>
      <w:r>
        <w:rPr>
          <w:rFonts w:ascii="Meiryo UI" w:hAnsi="Meiryo UI"/>
          <w:color w:val="2E74B5"/>
        </w:rPr>
        <w:t>セクション1：企業概要・事業分析</w:t>
      </w:r>
    </w:p>
    <w:p/>
    <w:p>
      <w:pPr>
        <w:pStyle w:val="Heading3"/>
      </w:pPr>
      <w:r>
        <w:rPr>
          <w:rFonts w:ascii="Meiryo UI" w:hAnsi="Meiryo UI"/>
          <w:color w:val="2E74B5"/>
        </w:rPr>
        <w:t>1-1. 企業概要</w:t>
      </w:r>
    </w:p>
    <w:p/>
    <w:p>
      <w:r>
        <w:rPr>
          <w:rFonts w:ascii="Meiryo UI" w:hAnsi="Meiryo UI"/>
          <w:sz w:val="20"/>
        </w:rPr>
        <w:t>TSMC（台湾積体電路製造、TWSE: 2330 / NYSE ADR: TSM）は世界最大の独立系ファウンドリ（受託製造専業）半導体企業。時価総額は約USD9,400億（2026-04-17現在）。</w:t>
      </w:r>
    </w:p>
    <w:p/>
    <w:p>
      <w:r>
        <w:rPr>
          <w:rFonts w:ascii="Meiryo UI" w:hAnsi="Meiryo UI"/>
          <w:sz w:val="20"/>
        </w:rPr>
        <w:t>本社：台湾新竹市。創業：1987年。CEOはC.C. Wei（魏哲家）。</w:t>
      </w:r>
    </w:p>
    <w:p/>
    <w:p>
      <w:r>
        <w:rPr>
          <w:rFonts w:ascii="Meiryo UI" w:hAnsi="Meiryo UI"/>
          <w:sz w:val="20"/>
        </w:rPr>
        <w:t>ファウンドリシェア（2026年推定）：</w:t>
      </w:r>
    </w:p>
    <w:p>
      <w:pPr>
        <w:pStyle w:val="ListBullet"/>
      </w:pPr>
      <w:r>
        <w:rPr>
          <w:rFonts w:ascii="Meiryo UI" w:hAnsi="Meiryo UI"/>
          <w:sz w:val="20"/>
        </w:rPr>
        <w:t>TSMC：約60〜62%（先端プロセス3nm以下では推定90%超の独占）</w:t>
      </w:r>
    </w:p>
    <w:p>
      <w:pPr>
        <w:pStyle w:val="ListBullet"/>
      </w:pPr>
      <w:r>
        <w:rPr>
          <w:rFonts w:ascii="Meiryo UI" w:hAnsi="Meiryo UI"/>
          <w:sz w:val="20"/>
        </w:rPr>
        <w:t>Samsung Foundry：約13%</w:t>
      </w:r>
    </w:p>
    <w:p>
      <w:pPr>
        <w:pStyle w:val="ListBullet"/>
      </w:pPr>
      <w:r>
        <w:rPr>
          <w:rFonts w:ascii="Meiryo UI" w:hAnsi="Meiryo UI"/>
          <w:sz w:val="20"/>
        </w:rPr>
        <w:t>SMIC・その他：残余</w:t>
      </w:r>
    </w:p>
    <w:p/>
    <w:p>
      <w:pPr>
        <w:pStyle w:val="Heading3"/>
      </w:pPr>
      <w:r>
        <w:rPr>
          <w:rFonts w:ascii="Meiryo UI" w:hAnsi="Meiryo UI"/>
          <w:color w:val="2E74B5"/>
        </w:rPr>
        <w:t>1-2. セグメント・プロダクト構成（Q1 2026推定）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プラットフォーム</w:t>
            </w:r>
          </w:p>
        </w:tc>
        <w:tc>
          <w:tcPr>
            <w:tcW w:type="dxa" w:w="2351"/>
            <w:shd w:val="clear" w:color="auto" w:fill="2E74B5"/>
          </w:tcPr>
          <w:p>
            <w:r>
              <w:rPr>
                <w:rFonts w:ascii="Meiryo UI" w:hAnsi="Meiryo UI"/>
                <w:b/>
                <w:color w:val="FFFFFF"/>
                <w:sz w:val="18"/>
              </w:rPr>
              <w:t>Q1 2026売上比率（推定）</w:t>
            </w:r>
          </w:p>
        </w:tc>
        <w:tc>
          <w:tcPr>
            <w:tcW w:type="dxa" w:w="2351"/>
            <w:shd w:val="clear" w:color="auto" w:fill="2E74B5"/>
          </w:tcPr>
          <w:p>
            <w:r>
              <w:rPr>
                <w:rFonts w:ascii="Meiryo UI" w:hAnsi="Meiryo UI"/>
                <w:b/>
                <w:color w:val="FFFFFF"/>
                <w:sz w:val="18"/>
              </w:rPr>
              <w:t>前年Q1比</w:t>
            </w:r>
          </w:p>
        </w:tc>
        <w:tc>
          <w:tcPr>
            <w:tcW w:type="dxa" w:w="2351"/>
            <w:shd w:val="clear" w:color="auto" w:fill="2E74B5"/>
          </w:tcPr>
          <w:p>
            <w:r>
              <w:rPr>
                <w:rFonts w:ascii="Meiryo UI" w:hAnsi="Meiryo UI"/>
                <w:b/>
                <w:color w:val="FFFFFF"/>
                <w:sz w:val="18"/>
              </w:rPr>
              <w:t>特記</w:t>
            </w:r>
          </w:p>
        </w:tc>
      </w:tr>
      <w:tr>
        <w:tc>
          <w:tcPr>
            <w:tcW w:type="dxa" w:w="2351"/>
          </w:tcPr>
          <w:p>
            <w:r>
              <w:rPr>
                <w:rFonts w:ascii="Meiryo UI" w:hAnsi="Meiryo UI"/>
                <w:sz w:val="18"/>
              </w:rPr>
              <w:t>HPC（AI GPU/CPU）</w:t>
            </w:r>
          </w:p>
        </w:tc>
        <w:tc>
          <w:tcPr>
            <w:tcW w:type="dxa" w:w="2351"/>
          </w:tcPr>
          <w:p>
            <w:r>
              <w:rPr>
                <w:rFonts w:ascii="Meiryo UI" w:hAnsi="Meiryo UI"/>
                <w:sz w:val="18"/>
              </w:rPr>
              <w:t>57〜60%</w:t>
            </w:r>
          </w:p>
        </w:tc>
        <w:tc>
          <w:tcPr>
            <w:tcW w:type="dxa" w:w="2351"/>
          </w:tcPr>
          <w:p>
            <w:r>
              <w:rPr>
                <w:rFonts w:ascii="Meiryo UI" w:hAnsi="Meiryo UI"/>
                <w:sz w:val="18"/>
              </w:rPr>
              <w:t>+大幅増</w:t>
            </w:r>
          </w:p>
        </w:tc>
        <w:tc>
          <w:tcPr>
            <w:tcW w:type="dxa" w:w="2351"/>
          </w:tcPr>
          <w:p>
            <w:r>
              <w:rPr>
                <w:rFonts w:ascii="Meiryo UI" w:hAnsi="Meiryo UI"/>
                <w:sz w:val="18"/>
              </w:rPr>
              <w:t>NVIDIA H/B系・AMD MI系・Apple M4系</w:t>
            </w:r>
          </w:p>
        </w:tc>
      </w:tr>
      <w:tr>
        <w:tc>
          <w:tcPr>
            <w:tcW w:type="dxa" w:w="2351"/>
            <w:shd w:val="clear" w:color="auto" w:fill="DDEBF7"/>
          </w:tcPr>
          <w:p>
            <w:r>
              <w:rPr>
                <w:rFonts w:ascii="Meiryo UI" w:hAnsi="Meiryo UI"/>
                <w:sz w:val="18"/>
              </w:rPr>
              <w:t>スマートフォン</w:t>
            </w:r>
          </w:p>
        </w:tc>
        <w:tc>
          <w:tcPr>
            <w:tcW w:type="dxa" w:w="2351"/>
            <w:shd w:val="clear" w:color="auto" w:fill="DDEBF7"/>
          </w:tcPr>
          <w:p>
            <w:r>
              <w:rPr>
                <w:rFonts w:ascii="Meiryo UI" w:hAnsi="Meiryo UI"/>
                <w:sz w:val="18"/>
              </w:rPr>
              <w:t>22〜25%</w:t>
            </w:r>
          </w:p>
        </w:tc>
        <w:tc>
          <w:tcPr>
            <w:tcW w:type="dxa" w:w="2351"/>
            <w:shd w:val="clear" w:color="auto" w:fill="DDEBF7"/>
          </w:tcPr>
          <w:p>
            <w:r>
              <w:rPr>
                <w:rFonts w:ascii="Meiryo UI" w:hAnsi="Meiryo UI"/>
                <w:sz w:val="18"/>
              </w:rPr>
              <w:t>±0〜微減</w:t>
            </w:r>
          </w:p>
        </w:tc>
        <w:tc>
          <w:tcPr>
            <w:tcW w:type="dxa" w:w="2351"/>
            <w:shd w:val="clear" w:color="auto" w:fill="DDEBF7"/>
          </w:tcPr>
          <w:p>
            <w:r>
              <w:rPr>
                <w:rFonts w:ascii="Meiryo UI" w:hAnsi="Meiryo UI"/>
                <w:sz w:val="18"/>
              </w:rPr>
              <w:t>Apple A18系・Qualcomm Snapdragon</w:t>
            </w:r>
          </w:p>
        </w:tc>
      </w:tr>
      <w:tr>
        <w:tc>
          <w:tcPr>
            <w:tcW w:type="dxa" w:w="2351"/>
          </w:tcPr>
          <w:p>
            <w:r>
              <w:rPr>
                <w:rFonts w:ascii="Meiryo UI" w:hAnsi="Meiryo UI"/>
                <w:sz w:val="18"/>
              </w:rPr>
              <w:t>IoT</w:t>
            </w:r>
          </w:p>
        </w:tc>
        <w:tc>
          <w:tcPr>
            <w:tcW w:type="dxa" w:w="2351"/>
          </w:tcPr>
          <w:p>
            <w:r>
              <w:rPr>
                <w:rFonts w:ascii="Meiryo UI" w:hAnsi="Meiryo UI"/>
                <w:sz w:val="18"/>
              </w:rPr>
              <w:t>約7%</w:t>
            </w:r>
          </w:p>
        </w:tc>
        <w:tc>
          <w:tcPr>
            <w:tcW w:type="dxa" w:w="2351"/>
          </w:tcPr>
          <w:p>
            <w:r>
              <w:rPr>
                <w:rFonts w:ascii="Meiryo UI" w:hAnsi="Meiryo UI"/>
                <w:sz w:val="18"/>
              </w:rPr>
              <w:t>微増</w:t>
            </w:r>
          </w:p>
        </w:tc>
        <w:tc>
          <w:tcPr>
            <w:tcW w:type="dxa" w:w="2351"/>
          </w:tcPr>
          <w:p>
            <w:r>
              <w:rPr>
                <w:rFonts w:ascii="Meiryo UI" w:hAnsi="Meiryo UI"/>
                <w:sz w:val="18"/>
              </w:rPr>
            </w:r>
          </w:p>
        </w:tc>
      </w:tr>
      <w:tr>
        <w:tc>
          <w:tcPr>
            <w:tcW w:type="dxa" w:w="2351"/>
            <w:shd w:val="clear" w:color="auto" w:fill="DDEBF7"/>
          </w:tcPr>
          <w:p>
            <w:r>
              <w:rPr>
                <w:rFonts w:ascii="Meiryo UI" w:hAnsi="Meiryo UI"/>
                <w:sz w:val="18"/>
              </w:rPr>
              <w:t>自動車</w:t>
            </w:r>
          </w:p>
        </w:tc>
        <w:tc>
          <w:tcPr>
            <w:tcW w:type="dxa" w:w="2351"/>
            <w:shd w:val="clear" w:color="auto" w:fill="DDEBF7"/>
          </w:tcPr>
          <w:p>
            <w:r>
              <w:rPr>
                <w:rFonts w:ascii="Meiryo UI" w:hAnsi="Meiryo UI"/>
                <w:sz w:val="18"/>
              </w:rPr>
              <w:t>約5%</w:t>
            </w:r>
          </w:p>
        </w:tc>
        <w:tc>
          <w:tcPr>
            <w:tcW w:type="dxa" w:w="2351"/>
            <w:shd w:val="clear" w:color="auto" w:fill="DDEBF7"/>
          </w:tcPr>
          <w:p>
            <w:r>
              <w:rPr>
                <w:rFonts w:ascii="Meiryo UI" w:hAnsi="Meiryo UI"/>
                <w:sz w:val="18"/>
              </w:rPr>
              <w:t>増加傾向</w:t>
            </w:r>
          </w:p>
        </w:tc>
        <w:tc>
          <w:tcPr>
            <w:tcW w:type="dxa" w:w="2351"/>
            <w:shd w:val="clear" w:color="auto" w:fill="DDEBF7"/>
          </w:tcPr>
          <w:p>
            <w:r>
              <w:rPr>
                <w:rFonts w:ascii="Meiryo UI" w:hAnsi="Meiryo UI"/>
                <w:sz w:val="18"/>
              </w:rPr>
            </w:r>
          </w:p>
        </w:tc>
      </w:tr>
      <w:tr>
        <w:tc>
          <w:tcPr>
            <w:tcW w:type="dxa" w:w="2351"/>
          </w:tcPr>
          <w:p>
            <w:r>
              <w:rPr>
                <w:rFonts w:ascii="Meiryo UI" w:hAnsi="Meiryo UI"/>
                <w:sz w:val="18"/>
              </w:rPr>
              <w:t>DCE（デジタル家電）他</w:t>
            </w:r>
          </w:p>
        </w:tc>
        <w:tc>
          <w:tcPr>
            <w:tcW w:type="dxa" w:w="2351"/>
          </w:tcPr>
          <w:p>
            <w:r>
              <w:rPr>
                <w:rFonts w:ascii="Meiryo UI" w:hAnsi="Meiryo UI"/>
                <w:sz w:val="18"/>
              </w:rPr>
              <w:t>約5〜6%</w:t>
            </w:r>
          </w:p>
        </w:tc>
        <w:tc>
          <w:tcPr>
            <w:tcW w:type="dxa" w:w="2351"/>
          </w:tcPr>
          <w:p>
            <w:r>
              <w:rPr>
                <w:rFonts w:ascii="Meiryo UI" w:hAnsi="Meiryo UI"/>
                <w:sz w:val="18"/>
              </w:rPr>
            </w:r>
          </w:p>
        </w:tc>
        <w:tc>
          <w:tcPr>
            <w:tcW w:type="dxa" w:w="2351"/>
          </w:tcPr>
          <w:p>
            <w:r>
              <w:rPr>
                <w:rFonts w:ascii="Meiryo UI" w:hAnsi="Meiryo UI"/>
                <w:sz w:val="18"/>
              </w:rPr>
            </w:r>
          </w:p>
        </w:tc>
      </w:tr>
    </w:tbl>
    <w:p/>
    <w:p>
      <w:pPr>
        <w:pStyle w:val="Heading3"/>
      </w:pPr>
      <w:r>
        <w:rPr>
          <w:rFonts w:ascii="Meiryo UI" w:hAnsi="Meiryo UI"/>
          <w:color w:val="2E74B5"/>
        </w:rPr>
        <w:t>1-3. 競合優位性（経済的堀：Moat）</w:t>
      </w:r>
    </w:p>
    <w:p/>
    <w:p>
      <w:pPr>
        <w:pStyle w:val="ListNumber"/>
      </w:pPr>
      <w:r>
        <w:rPr>
          <w:rFonts w:ascii="Meiryo UI" w:hAnsi="Meiryo UI"/>
          <w:sz w:val="20"/>
        </w:rPr>
        <w:t>技術的独占性：3nm量産（N3E）・2nm（N2）の唯一量産可能メーカー。Samsungは歩留まり問題で競争力低下、IntelのIFS（ファウンドリサービス）は2〜3世代遅れ。</w:t>
      </w:r>
    </w:p>
    <w:p>
      <w:pPr>
        <w:pStyle w:val="ListNumber"/>
      </w:pPr>
      <w:r>
        <w:rPr>
          <w:rFonts w:ascii="Meiryo UI" w:hAnsi="Meiryo UI"/>
          <w:sz w:val="20"/>
        </w:rPr>
        <w:t>顧客ロックイン：Apple・NVIDIA・AMD・Qualcomm・Broadcomは設計資産・IPがTSMCプロセスに最適化。乗り換えコストは数十億ドル規模。</w:t>
      </w:r>
    </w:p>
    <w:p>
      <w:pPr>
        <w:pStyle w:val="ListNumber"/>
      </w:pPr>
      <w:r>
        <w:rPr>
          <w:rFonts w:ascii="Meiryo UI" w:hAnsi="Meiryo UI"/>
          <w:sz w:val="20"/>
        </w:rPr>
        <w:t>規模の経済と学習曲線：歩留まり改善速度がライバルの2〜3倍。N3世代で66.25%粗利は技術的学習曲線の結実。</w:t>
      </w:r>
    </w:p>
    <w:p>
      <w:pPr>
        <w:pStyle w:val="ListNumber"/>
      </w:pPr>
      <w:r>
        <w:rPr>
          <w:rFonts w:ascii="Meiryo UI" w:hAnsi="Meiryo UI"/>
          <w:sz w:val="20"/>
        </w:rPr>
        <w:t>先進パッケージング（CoWoS/SoIC）：AI GPU（NVIDIA H100/B200系）のHBM統合パッケージングはTSMCにしかできない。</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タイムライン</w:t>
            </w:r>
          </w:p>
        </w:tc>
        <w:tc>
          <w:tcPr>
            <w:tcW w:type="dxa" w:w="3135"/>
            <w:shd w:val="clear" w:color="auto" w:fill="2E74B5"/>
          </w:tcPr>
          <w:p>
            <w:r>
              <w:rPr>
                <w:rFonts w:ascii="Meiryo UI" w:hAnsi="Meiryo UI"/>
                <w:b/>
                <w:color w:val="FFFFFF"/>
                <w:sz w:val="18"/>
              </w:rPr>
              <w:t>影響規模</w:t>
            </w:r>
          </w:p>
        </w:tc>
      </w:tr>
      <w:tr>
        <w:tc>
          <w:tcPr>
            <w:tcW w:type="dxa" w:w="3135"/>
          </w:tcPr>
          <w:p>
            <w:r>
              <w:rPr>
                <w:rFonts w:ascii="Meiryo UI" w:hAnsi="Meiryo UI"/>
                <w:sz w:val="18"/>
              </w:rPr>
              <w:t>N2（2nm）量産本格化</w:t>
            </w:r>
          </w:p>
        </w:tc>
        <w:tc>
          <w:tcPr>
            <w:tcW w:type="dxa" w:w="3135"/>
          </w:tcPr>
          <w:p>
            <w:r>
              <w:rPr>
                <w:rFonts w:ascii="Meiryo UI" w:hAnsi="Meiryo UI"/>
                <w:sz w:val="18"/>
              </w:rPr>
              <w:t>2026年下半期</w:t>
            </w:r>
          </w:p>
        </w:tc>
        <w:tc>
          <w:tcPr>
            <w:tcW w:type="dxa" w:w="3135"/>
          </w:tcPr>
          <w:p>
            <w:r>
              <w:rPr>
                <w:rFonts w:ascii="Meiryo UI" w:hAnsi="Meiryo UI"/>
                <w:sz w:val="18"/>
              </w:rPr>
              <w:t>ASP+15〜20%、粗利率さらなる改善余地</w:t>
            </w:r>
          </w:p>
        </w:tc>
      </w:tr>
      <w:tr>
        <w:tc>
          <w:tcPr>
            <w:tcW w:type="dxa" w:w="3135"/>
            <w:shd w:val="clear" w:color="auto" w:fill="DDEBF7"/>
          </w:tcPr>
          <w:p>
            <w:r>
              <w:rPr>
                <w:rFonts w:ascii="Meiryo UI" w:hAnsi="Meiryo UI"/>
                <w:sz w:val="18"/>
              </w:rPr>
              <w:t>Q2 2026決算（ガイダンス達成確認）</w:t>
            </w:r>
          </w:p>
        </w:tc>
        <w:tc>
          <w:tcPr>
            <w:tcW w:type="dxa" w:w="3135"/>
            <w:shd w:val="clear" w:color="auto" w:fill="DDEBF7"/>
          </w:tcPr>
          <w:p>
            <w:r>
              <w:rPr>
                <w:rFonts w:ascii="Meiryo UI" w:hAnsi="Meiryo UI"/>
                <w:sz w:val="18"/>
              </w:rPr>
              <w:t>2026年7月</w:t>
            </w:r>
          </w:p>
        </w:tc>
        <w:tc>
          <w:tcPr>
            <w:tcW w:type="dxa" w:w="3135"/>
            <w:shd w:val="clear" w:color="auto" w:fill="DDEBF7"/>
          </w:tcPr>
          <w:p>
            <w:r>
              <w:rPr>
                <w:rFonts w:ascii="Meiryo UI" w:hAnsi="Meiryo UI"/>
                <w:sz w:val="18"/>
              </w:rPr>
              <w:t>USD39〜40B達成でセンチメント回復</w:t>
            </w:r>
          </w:p>
        </w:tc>
      </w:tr>
      <w:tr>
        <w:tc>
          <w:tcPr>
            <w:tcW w:type="dxa" w:w="3135"/>
          </w:tcPr>
          <w:p>
            <w:r>
              <w:rPr>
                <w:rFonts w:ascii="Meiryo UI" w:hAnsi="Meiryo UI"/>
                <w:sz w:val="18"/>
              </w:rPr>
              <w:t>CoWoS容量拡大完了</w:t>
            </w:r>
          </w:p>
        </w:tc>
        <w:tc>
          <w:tcPr>
            <w:tcW w:type="dxa" w:w="3135"/>
          </w:tcPr>
          <w:p>
            <w:r>
              <w:rPr>
                <w:rFonts w:ascii="Meiryo UI" w:hAnsi="Meiryo UI"/>
                <w:sz w:val="18"/>
              </w:rPr>
              <w:t>2026Q3〜Q4</w:t>
            </w:r>
          </w:p>
        </w:tc>
        <w:tc>
          <w:tcPr>
            <w:tcW w:type="dxa" w:w="3135"/>
          </w:tcPr>
          <w:p>
            <w:r>
              <w:rPr>
                <w:rFonts w:ascii="Meiryo UI" w:hAnsi="Meiryo UI"/>
                <w:sz w:val="18"/>
              </w:rPr>
              <w:t>AI向けボトルネック解消</w:t>
            </w:r>
          </w:p>
        </w:tc>
      </w:tr>
      <w:tr>
        <w:tc>
          <w:tcPr>
            <w:tcW w:type="dxa" w:w="3135"/>
            <w:shd w:val="clear" w:color="auto" w:fill="DDEBF7"/>
          </w:tcPr>
          <w:p>
            <w:r>
              <w:rPr>
                <w:rFonts w:ascii="Meiryo UI" w:hAnsi="Meiryo UI"/>
                <w:sz w:val="18"/>
              </w:rPr>
              <w:t>Arizona/Japan工場稼働</w:t>
            </w:r>
          </w:p>
        </w:tc>
        <w:tc>
          <w:tcPr>
            <w:tcW w:type="dxa" w:w="3135"/>
            <w:shd w:val="clear" w:color="auto" w:fill="DDEBF7"/>
          </w:tcPr>
          <w:p>
            <w:r>
              <w:rPr>
                <w:rFonts w:ascii="Meiryo UI" w:hAnsi="Meiryo UI"/>
                <w:sz w:val="18"/>
              </w:rPr>
              <w:t>2026〜2027</w:t>
            </w:r>
          </w:p>
        </w:tc>
        <w:tc>
          <w:tcPr>
            <w:tcW w:type="dxa" w:w="3135"/>
            <w:shd w:val="clear" w:color="auto" w:fill="DDEBF7"/>
          </w:tcPr>
          <w:p>
            <w:r>
              <w:rPr>
                <w:rFonts w:ascii="Meiryo UI" w:hAnsi="Meiryo UI"/>
                <w:sz w:val="18"/>
              </w:rPr>
              <w:t>地政学リスクディスカウント一部解消</w:t>
            </w:r>
          </w:p>
        </w:tc>
      </w:tr>
      <w:tr>
        <w:tc>
          <w:tcPr>
            <w:tcW w:type="dxa" w:w="3135"/>
          </w:tcPr>
          <w:p>
            <w:r>
              <w:rPr>
                <w:rFonts w:ascii="Meiryo UI" w:hAnsi="Meiryo UI"/>
                <w:sz w:val="18"/>
              </w:rPr>
              <w:t>Apple A20プロセス受注確定報道</w:t>
            </w:r>
          </w:p>
        </w:tc>
        <w:tc>
          <w:tcPr>
            <w:tcW w:type="dxa" w:w="3135"/>
          </w:tcPr>
          <w:p>
            <w:r>
              <w:rPr>
                <w:rFonts w:ascii="Meiryo UI" w:hAnsi="Meiryo UI"/>
                <w:sz w:val="18"/>
              </w:rPr>
              <w:t>随時</w:t>
            </w:r>
          </w:p>
        </w:tc>
        <w:tc>
          <w:tcPr>
            <w:tcW w:type="dxa" w:w="3135"/>
          </w:tcPr>
          <w:p>
            <w:r>
              <w:rPr>
                <w:rFonts w:ascii="Meiryo UI" w:hAnsi="Meiryo UI"/>
                <w:sz w:val="18"/>
              </w:rPr>
              <w:t>株価短期触媒</w:t>
            </w:r>
          </w:p>
        </w:tc>
      </w:tr>
    </w:tbl>
    <w:p/>
    <w:p>
      <w:r>
        <w:t>──────────────────────────────────────────────────</w:t>
      </w:r>
    </w:p>
    <w:p/>
    <w:p>
      <w:pPr>
        <w:pStyle w:val="Heading2"/>
      </w:pPr>
      <w:r>
        <w:rPr>
          <w:rFonts w:ascii="Meiryo UI" w:hAnsi="Meiryo UI"/>
          <w:color w:val="2E74B5"/>
        </w:rPr>
        <w:t>セクション2：社長指示重点分析（V2執行命令完全対応）</w:t>
      </w:r>
    </w:p>
    <w:p/>
    <w:p>
      <w:pPr>
        <w:pStyle w:val="Heading3"/>
      </w:pPr>
      <w:r>
        <w:rPr>
          <w:rFonts w:ascii="Meiryo UI" w:hAnsi="Meiryo UI"/>
          <w:color w:val="2E74B5"/>
        </w:rPr>
        <w:t>2-1. V1推計値の廃棄と確定値への全面更新</w:t>
      </w:r>
    </w:p>
    <w:p/>
    <w:p>
      <w:r>
        <w:rPr>
          <w:rFonts w:ascii="Meiryo UI" w:hAnsi="Meiryo UI"/>
          <w:sz w:val="20"/>
        </w:rPr>
        <w:t>V1との差分（V1誤謬の全廃棄）：</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V1（廃棄）</w:t>
            </w:r>
          </w:p>
        </w:tc>
        <w:tc>
          <w:tcPr>
            <w:tcW w:type="dxa" w:w="2351"/>
            <w:shd w:val="clear" w:color="auto" w:fill="2E74B5"/>
          </w:tcPr>
          <w:p>
            <w:r>
              <w:rPr>
                <w:rFonts w:ascii="Meiryo UI" w:hAnsi="Meiryo UI"/>
                <w:b/>
                <w:color w:val="FFFFFF"/>
                <w:sz w:val="18"/>
              </w:rPr>
              <w:t>V2確定値</w:t>
            </w:r>
          </w:p>
        </w:tc>
        <w:tc>
          <w:tcPr>
            <w:tcW w:type="dxa" w:w="2351"/>
            <w:shd w:val="clear" w:color="auto" w:fill="2E74B5"/>
          </w:tcPr>
          <w:p>
            <w:r>
              <w:rPr>
                <w:rFonts w:ascii="Meiryo UI" w:hAnsi="Meiryo UI"/>
                <w:b/>
                <w:color w:val="FFFFFF"/>
                <w:sz w:val="18"/>
              </w:rPr>
              <w:t>差分・影響</w:t>
            </w:r>
          </w:p>
        </w:tc>
      </w:tr>
      <w:tr>
        <w:tc>
          <w:tcPr>
            <w:tcW w:type="dxa" w:w="2351"/>
          </w:tcPr>
          <w:p>
            <w:r>
              <w:rPr>
                <w:rFonts w:ascii="Meiryo UI" w:hAnsi="Meiryo UI"/>
                <w:sz w:val="18"/>
              </w:rPr>
              <w:t>Q1 2026売上高</w:t>
            </w:r>
          </w:p>
        </w:tc>
        <w:tc>
          <w:tcPr>
            <w:tcW w:type="dxa" w:w="2351"/>
          </w:tcPr>
          <w:p>
            <w:r>
              <w:rPr>
                <w:rFonts w:ascii="Meiryo UI" w:hAnsi="Meiryo UI"/>
                <w:sz w:val="18"/>
              </w:rPr>
              <w:t>NT$839B（前年Q1値を誤用）</w:t>
            </w:r>
          </w:p>
        </w:tc>
        <w:tc>
          <w:tcPr>
            <w:tcW w:type="dxa" w:w="2351"/>
          </w:tcPr>
          <w:p>
            <w:r>
              <w:rPr>
                <w:rFonts w:ascii="Meiryo UI" w:hAnsi="Meiryo UI"/>
                <w:sz w:val="18"/>
              </w:rPr>
              <w:t>NT$1,134,100M</w:t>
            </w:r>
          </w:p>
        </w:tc>
        <w:tc>
          <w:tcPr>
            <w:tcW w:type="dxa" w:w="2351"/>
          </w:tcPr>
          <w:p>
            <w:r>
              <w:rPr>
                <w:rFonts w:ascii="Meiryo UI" w:hAnsi="Meiryo UI"/>
                <w:sz w:val="18"/>
              </w:rPr>
              <w:t>+35.2%過小評価</w:t>
            </w:r>
          </w:p>
        </w:tc>
      </w:tr>
      <w:tr>
        <w:tc>
          <w:tcPr>
            <w:tcW w:type="dxa" w:w="2351"/>
            <w:shd w:val="clear" w:color="auto" w:fill="DDEBF7"/>
          </w:tcPr>
          <w:p>
            <w:r>
              <w:rPr>
                <w:rFonts w:ascii="Meiryo UI" w:hAnsi="Meiryo UI"/>
                <w:sz w:val="18"/>
              </w:rPr>
              <w:t>粗利益率</w:t>
            </w:r>
          </w:p>
        </w:tc>
        <w:tc>
          <w:tcPr>
            <w:tcW w:type="dxa" w:w="2351"/>
            <w:shd w:val="clear" w:color="auto" w:fill="DDEBF7"/>
          </w:tcPr>
          <w:p>
            <w:r>
              <w:rPr>
                <w:rFonts w:ascii="Meiryo UI" w:hAnsi="Meiryo UI"/>
                <w:sz w:val="18"/>
              </w:rPr>
              <w:t>推計58.8%</w:t>
            </w:r>
          </w:p>
        </w:tc>
        <w:tc>
          <w:tcPr>
            <w:tcW w:type="dxa" w:w="2351"/>
            <w:shd w:val="clear" w:color="auto" w:fill="DDEBF7"/>
          </w:tcPr>
          <w:p>
            <w:r>
              <w:rPr>
                <w:rFonts w:ascii="Meiryo UI" w:hAnsi="Meiryo UI"/>
                <w:sz w:val="18"/>
              </w:rPr>
              <w:t>66.25%</w:t>
            </w:r>
          </w:p>
        </w:tc>
        <w:tc>
          <w:tcPr>
            <w:tcW w:type="dxa" w:w="2351"/>
            <w:shd w:val="clear" w:color="auto" w:fill="DDEBF7"/>
          </w:tcPr>
          <w:p>
            <w:r>
              <w:rPr>
                <w:rFonts w:ascii="Meiryo UI" w:hAnsi="Meiryo UI"/>
                <w:sz w:val="18"/>
              </w:rPr>
              <w:t>+745bp過小評価</w:t>
            </w:r>
          </w:p>
        </w:tc>
      </w:tr>
      <w:tr>
        <w:tc>
          <w:tcPr>
            <w:tcW w:type="dxa" w:w="2351"/>
          </w:tcPr>
          <w:p>
            <w:r>
              <w:rPr>
                <w:rFonts w:ascii="Meiryo UI" w:hAnsi="Meiryo UI"/>
                <w:sz w:val="18"/>
              </w:rPr>
              <w:t>営業利益率</w:t>
            </w:r>
          </w:p>
        </w:tc>
        <w:tc>
          <w:tcPr>
            <w:tcW w:type="dxa" w:w="2351"/>
          </w:tcPr>
          <w:p>
            <w:r>
              <w:rPr>
                <w:rFonts w:ascii="Meiryo UI" w:hAnsi="Meiryo UI"/>
                <w:sz w:val="18"/>
              </w:rPr>
              <w:t>推計48.5%</w:t>
            </w:r>
          </w:p>
        </w:tc>
        <w:tc>
          <w:tcPr>
            <w:tcW w:type="dxa" w:w="2351"/>
          </w:tcPr>
          <w:p>
            <w:r>
              <w:rPr>
                <w:rFonts w:ascii="Meiryo UI" w:hAnsi="Meiryo UI"/>
                <w:sz w:val="18"/>
              </w:rPr>
              <w:t>58.10%</w:t>
            </w:r>
          </w:p>
        </w:tc>
        <w:tc>
          <w:tcPr>
            <w:tcW w:type="dxa" w:w="2351"/>
          </w:tcPr>
          <w:p>
            <w:r>
              <w:rPr>
                <w:rFonts w:ascii="Meiryo UI" w:hAnsi="Meiryo UI"/>
                <w:sz w:val="18"/>
              </w:rPr>
              <w:t>+960bp過小評価</w:t>
            </w:r>
          </w:p>
        </w:tc>
      </w:tr>
      <w:tr>
        <w:tc>
          <w:tcPr>
            <w:tcW w:type="dxa" w:w="2351"/>
            <w:shd w:val="clear" w:color="auto" w:fill="DDEBF7"/>
          </w:tcPr>
          <w:p>
            <w:r>
              <w:rPr>
                <w:rFonts w:ascii="Meiryo UI" w:hAnsi="Meiryo UI"/>
                <w:sz w:val="18"/>
              </w:rPr>
              <w:t>純利益率</w:t>
            </w:r>
          </w:p>
        </w:tc>
        <w:tc>
          <w:tcPr>
            <w:tcW w:type="dxa" w:w="2351"/>
            <w:shd w:val="clear" w:color="auto" w:fill="DDEBF7"/>
          </w:tcPr>
          <w:p>
            <w:r>
              <w:rPr>
                <w:rFonts w:ascii="Meiryo UI" w:hAnsi="Meiryo UI"/>
                <w:sz w:val="18"/>
              </w:rPr>
              <w:t>推計38.7%</w:t>
            </w:r>
          </w:p>
        </w:tc>
        <w:tc>
          <w:tcPr>
            <w:tcW w:type="dxa" w:w="2351"/>
            <w:shd w:val="clear" w:color="auto" w:fill="DDEBF7"/>
          </w:tcPr>
          <w:p>
            <w:r>
              <w:rPr>
                <w:rFonts w:ascii="Meiryo UI" w:hAnsi="Meiryo UI"/>
                <w:sz w:val="18"/>
              </w:rPr>
              <w:t>50.51%</w:t>
            </w:r>
          </w:p>
        </w:tc>
        <w:tc>
          <w:tcPr>
            <w:tcW w:type="dxa" w:w="2351"/>
            <w:shd w:val="clear" w:color="auto" w:fill="DDEBF7"/>
          </w:tcPr>
          <w:p>
            <w:r>
              <w:rPr>
                <w:rFonts w:ascii="Meiryo UI" w:hAnsi="Meiryo UI"/>
                <w:sz w:val="18"/>
              </w:rPr>
              <w:t>+1,181bp過小評価</w:t>
            </w:r>
          </w:p>
        </w:tc>
      </w:tr>
      <w:tr>
        <w:tc>
          <w:tcPr>
            <w:tcW w:type="dxa" w:w="2351"/>
          </w:tcPr>
          <w:p>
            <w:r>
              <w:rPr>
                <w:rFonts w:ascii="Meiryo UI" w:hAnsi="Meiryo UI"/>
                <w:sz w:val="18"/>
              </w:rPr>
              <w:t>EPS（Q1）</w:t>
            </w:r>
          </w:p>
        </w:tc>
        <w:tc>
          <w:tcPr>
            <w:tcW w:type="dxa" w:w="2351"/>
          </w:tcPr>
          <w:p>
            <w:r>
              <w:rPr>
                <w:rFonts w:ascii="Meiryo UI" w:hAnsi="Meiryo UI"/>
                <w:sz w:val="18"/>
              </w:rPr>
              <w:t>未記載/推計</w:t>
            </w:r>
          </w:p>
        </w:tc>
        <w:tc>
          <w:tcPr>
            <w:tcW w:type="dxa" w:w="2351"/>
          </w:tcPr>
          <w:p>
            <w:r>
              <w:rPr>
                <w:rFonts w:ascii="Meiryo UI" w:hAnsi="Meiryo UI"/>
                <w:sz w:val="18"/>
              </w:rPr>
              <w:t>NT$110.40</w:t>
            </w:r>
          </w:p>
        </w:tc>
        <w:tc>
          <w:tcPr>
            <w:tcW w:type="dxa" w:w="2351"/>
          </w:tcPr>
          <w:p>
            <w:r>
              <w:rPr>
                <w:rFonts w:ascii="Meiryo UI" w:hAnsi="Meiryo UI"/>
                <w:sz w:val="18"/>
              </w:rPr>
              <w:t>大幅過小</w:t>
            </w:r>
          </w:p>
        </w:tc>
      </w:tr>
      <w:tr>
        <w:tc>
          <w:tcPr>
            <w:tcW w:type="dxa" w:w="2351"/>
            <w:shd w:val="clear" w:color="auto" w:fill="DDEBF7"/>
          </w:tcPr>
          <w:p>
            <w:r>
              <w:rPr>
                <w:rFonts w:ascii="Meiryo UI" w:hAnsi="Meiryo UI"/>
                <w:sz w:val="18"/>
              </w:rPr>
              <w:t>Q2ガイダンス</w:t>
            </w:r>
          </w:p>
        </w:tc>
        <w:tc>
          <w:tcPr>
            <w:tcW w:type="dxa" w:w="2351"/>
            <w:shd w:val="clear" w:color="auto" w:fill="DDEBF7"/>
          </w:tcPr>
          <w:p>
            <w:r>
              <w:rPr>
                <w:rFonts w:ascii="Meiryo UI" w:hAnsi="Meiryo UI"/>
                <w:sz w:val="18"/>
              </w:rPr>
              <w:t>推計NT$883〜933B</w:t>
            </w:r>
          </w:p>
        </w:tc>
        <w:tc>
          <w:tcPr>
            <w:tcW w:type="dxa" w:w="2351"/>
            <w:shd w:val="clear" w:color="auto" w:fill="DDEBF7"/>
          </w:tcPr>
          <w:p>
            <w:r>
              <w:rPr>
                <w:rFonts w:ascii="Meiryo UI" w:hAnsi="Meiryo UI"/>
                <w:sz w:val="18"/>
              </w:rPr>
              <w:t>NT$1,233〜1,265B（USD39〜40B）</w:t>
            </w:r>
          </w:p>
        </w:tc>
        <w:tc>
          <w:tcPr>
            <w:tcW w:type="dxa" w:w="2351"/>
            <w:shd w:val="clear" w:color="auto" w:fill="DDEBF7"/>
          </w:tcPr>
          <w:p>
            <w:r>
              <w:rPr>
                <w:rFonts w:ascii="Meiryo UI" w:hAnsi="Meiryo UI"/>
                <w:sz w:val="18"/>
              </w:rPr>
              <w:t>+35〜40%過小評価</w:t>
            </w:r>
          </w:p>
        </w:tc>
      </w:tr>
    </w:tbl>
    <w:p/>
    <w:p>
      <w:r>
        <w:rPr>
          <w:rFonts w:ascii="Meiryo UI" w:hAnsi="Meiryo UI"/>
          <w:sz w:val="20"/>
        </w:rPr>
        <w:t>&gt; V1は根本的に前年Q1値を当年Q1に誤適用していた。本V2レポートにおいてV1数値は全て廃棄し、2026-04-15公式確定値のみを使用する。</w:t>
      </w:r>
    </w:p>
    <w:p/>
    <w:p>
      <w:pPr>
        <w:pStyle w:val="Heading3"/>
      </w:pPr>
      <w:r>
        <w:rPr>
          <w:rFonts w:ascii="Meiryo UI" w:hAnsi="Meiryo UI"/>
          <w:color w:val="2E74B5"/>
        </w:rPr>
        <w:t>2-2. 決算後-3.13%下落の背景分析（売りオンニュース解剖）</w:t>
      </w:r>
    </w:p>
    <w:p/>
    <w:p>
      <w:r>
        <w:rPr>
          <w:rFonts w:ascii="Meiryo UI" w:hAnsi="Meiryo UI"/>
          <w:sz w:val="20"/>
        </w:rPr>
        <w:t>下落の構造分解：</w:t>
      </w:r>
    </w:p>
    <w:p/>
    <w:p>
      <w:pPr>
        <w:shd w:val="clear" w:color="auto" w:fill="F2F2F2"/>
      </w:pPr>
      <w:r>
        <w:rPr>
          <w:rFonts w:ascii="Courier New" w:hAnsi="Courier New"/>
          <w:sz w:val="16"/>
        </w:rPr>
        <w:t>決算前コンセンサス期待 vs 実績</w:t>
        <w:br/>
        <w:t>─────────────────────────────────────────</w:t>
        <w:br/>
        <w:t>項目              コンセンサス期待    Q1確定実績     判定</w:t>
        <w:br/>
        <w:t>─────────────────────────────────────────</w:t>
        <w:br/>
        <w:t>売上高（USD）      USD5.8〜6.0B     USD5.9B相当    ≒ In-Line</w:t>
        <w:br/>
        <w:t>粗利益率          65.0〜65.5%      66.25%         小幅Beat</w:t>
        <w:br/>
        <w:t>EPS（ADR換算）    約$10.40〜10.60   $10.49         In-Line〜小幅Beat</w:t>
        <w:br/>
        <w:t>Q2ガイダンス      USD38〜40B       USD39〜40B      In-Line</w:t>
        <w:br/>
        <w:t>─────────────────────────────────────────</w:t>
      </w:r>
    </w:p>
    <w:p/>
    <w:p>
      <w:r>
        <w:rPr>
          <w:rFonts w:ascii="Meiryo UI" w:hAnsi="Meiryo UI"/>
          <w:sz w:val="20"/>
        </w:rPr>
        <w:t>-3.13%下落の真因（5段階分析）：</w:t>
      </w:r>
    </w:p>
    <w:p/>
    <w:p>
      <w:pPr>
        <w:pStyle w:val="ListNumber"/>
      </w:pPr>
      <w:r>
        <w:rPr>
          <w:rFonts w:ascii="Meiryo UI" w:hAnsi="Meiryo UI"/>
          <w:sz w:val="20"/>
        </w:rPr>
        <w:t>「astronomical expectations」効果：決算前に株価はすでに業績完全織り込み済みだった。完璧な決算でも追加買いの余地がなく、むしろ確定売りの圧力が勝った。</w:t>
      </w:r>
    </w:p>
    <w:p>
      <w:pPr>
        <w:pStyle w:val="ListNumber"/>
      </w:pPr>
      <w:r>
        <w:rPr>
          <w:rFonts w:ascii="Meiryo UI" w:hAnsi="Meiryo UI"/>
          <w:sz w:val="20"/>
        </w:rPr>
        <w:t>Q2ガイダンスUSD39〜40Bは「既知の範囲」：市場は一部でUSD40B超を期待していたとの観測もあり、ガイダンス上限が$40Bで頭打ちとなったことへの微妙な失望。</w:t>
      </w:r>
    </w:p>
    <w:p>
      <w:pPr>
        <w:pStyle w:val="ListNumber"/>
      </w:pPr>
      <w:r>
        <w:rPr>
          <w:rFonts w:ascii="Meiryo UI" w:hAnsi="Meiryo UI"/>
          <w:sz w:val="20"/>
        </w:rPr>
        <w:t>米中規制懸念の再浮上：決算発表前後にAI向けエクスポートコントロール強化の観測記事が流れており、地政学プレミアムが一時拡大。</w:t>
      </w:r>
    </w:p>
    <w:p>
      <w:pPr>
        <w:pStyle w:val="ListNumber"/>
      </w:pPr>
      <w:r>
        <w:rPr>
          <w:rFonts w:ascii="Meiryo UI" w:hAnsi="Meiryo UI"/>
          <w:sz w:val="20"/>
        </w:rPr>
        <w:t>テクニカル的過買い状態：直近数週間の急騰でRSIが過買い圏に入っており、材料出尽くしで機械的売りが発動。</w:t>
      </w:r>
    </w:p>
    <w:p>
      <w:pPr>
        <w:pStyle w:val="ListNumber"/>
      </w:pPr>
      <w:r>
        <w:rPr>
          <w:rFonts w:ascii="Meiryo UI" w:hAnsi="Meiryo UI"/>
          <w:sz w:val="20"/>
        </w:rPr>
        <w:t>「Good news = 利確機会」心理：機関投資家の四半期リバランス・ポジション整理と重なった。</w:t>
      </w:r>
    </w:p>
    <w:p/>
    <w:p>
      <w:r>
        <w:rPr>
          <w:rFonts w:ascii="Meiryo UI" w:hAnsi="Meiryo UI"/>
          <w:sz w:val="20"/>
        </w:rPr>
        <w:t>深井の結論：今回の-3.13%下落は業績・ビジネスモデルとは無関係の「期待調整型売り」。本質的価値（DCFベース）は寧ろ確定値によって上方改定される。これはテクニカルな押し目であり、バリュー観点では「買いの好機」と判断する。</w:t>
      </w:r>
    </w:p>
    <w:p/>
    <w:p>
      <w:r>
        <w:t>──────────────────────────────────────────────────</w:t>
      </w:r>
    </w:p>
    <w:p/>
    <w:p>
      <w:pPr>
        <w:pStyle w:val="Heading2"/>
      </w:pPr>
      <w:r>
        <w:rPr>
          <w:rFonts w:ascii="Meiryo UI" w:hAnsi="Meiryo UI"/>
          <w:color w:val="2E74B5"/>
        </w:rPr>
        <w:t>セクション3：財務ハイライト</w:t>
      </w:r>
    </w:p>
    <w:p/>
    <w:p>
      <w:pPr>
        <w:pStyle w:val="Heading3"/>
      </w:pPr>
      <w:r>
        <w:rPr>
          <w:rFonts w:ascii="Meiryo UI" w:hAnsi="Meiryo UI"/>
          <w:color w:val="2E74B5"/>
        </w:rPr>
        <w:t>3-1. 四半期業績推移（確定値）</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Q2 2025</w:t>
            </w:r>
          </w:p>
        </w:tc>
        <w:tc>
          <w:tcPr>
            <w:tcW w:type="dxa" w:w="1568"/>
            <w:shd w:val="clear" w:color="auto" w:fill="2E74B5"/>
          </w:tcPr>
          <w:p>
            <w:r>
              <w:rPr>
                <w:rFonts w:ascii="Meiryo UI" w:hAnsi="Meiryo UI"/>
                <w:b/>
                <w:color w:val="FFFFFF"/>
                <w:sz w:val="18"/>
              </w:rPr>
              <w:t>Q3 2025</w:t>
            </w:r>
          </w:p>
        </w:tc>
        <w:tc>
          <w:tcPr>
            <w:tcW w:type="dxa" w:w="1568"/>
            <w:shd w:val="clear" w:color="auto" w:fill="2E74B5"/>
          </w:tcPr>
          <w:p>
            <w:r>
              <w:rPr>
                <w:rFonts w:ascii="Meiryo UI" w:hAnsi="Meiryo UI"/>
                <w:b/>
                <w:color w:val="FFFFFF"/>
                <w:sz w:val="18"/>
              </w:rPr>
              <w:t>Q4 2025</w:t>
            </w:r>
          </w:p>
        </w:tc>
        <w:tc>
          <w:tcPr>
            <w:tcW w:type="dxa" w:w="1568"/>
            <w:shd w:val="clear" w:color="auto" w:fill="2E74B5"/>
          </w:tcPr>
          <w:p>
            <w:r>
              <w:rPr>
                <w:rFonts w:ascii="Meiryo UI" w:hAnsi="Meiryo UI"/>
                <w:b/>
                <w:color w:val="FFFFFF"/>
                <w:sz w:val="18"/>
              </w:rPr>
              <w:t>Q1 2026（確定）</w:t>
            </w:r>
          </w:p>
        </w:tc>
        <w:tc>
          <w:tcPr>
            <w:tcW w:type="dxa" w:w="1568"/>
            <w:shd w:val="clear" w:color="auto" w:fill="2E74B5"/>
          </w:tcPr>
          <w:p>
            <w:r>
              <w:rPr>
                <w:rFonts w:ascii="Meiryo UI" w:hAnsi="Meiryo UI"/>
                <w:b/>
                <w:color w:val="FFFFFF"/>
                <w:sz w:val="18"/>
              </w:rPr>
              <w:t>QoQ変化</w:t>
            </w:r>
          </w:p>
        </w:tc>
      </w:tr>
      <w:tr>
        <w:tc>
          <w:tcPr>
            <w:tcW w:type="dxa" w:w="1568"/>
          </w:tcPr>
          <w:p>
            <w:r>
              <w:rPr>
                <w:rFonts w:ascii="Meiryo UI" w:hAnsi="Meiryo UI"/>
                <w:sz w:val="18"/>
              </w:rPr>
              <w:t>売上高（NT$M）</w:t>
            </w:r>
          </w:p>
        </w:tc>
        <w:tc>
          <w:tcPr>
            <w:tcW w:type="dxa" w:w="1568"/>
          </w:tcPr>
          <w:p>
            <w:r>
              <w:rPr>
                <w:rFonts w:ascii="Meiryo UI" w:hAnsi="Meiryo UI"/>
                <w:sz w:val="18"/>
              </w:rPr>
              <w:t>933,792</w:t>
            </w:r>
          </w:p>
        </w:tc>
        <w:tc>
          <w:tcPr>
            <w:tcW w:type="dxa" w:w="1568"/>
          </w:tcPr>
          <w:p>
            <w:r>
              <w:rPr>
                <w:rFonts w:ascii="Meiryo UI" w:hAnsi="Meiryo UI"/>
                <w:sz w:val="18"/>
              </w:rPr>
              <w:t>989,918</w:t>
            </w:r>
          </w:p>
        </w:tc>
        <w:tc>
          <w:tcPr>
            <w:tcW w:type="dxa" w:w="1568"/>
          </w:tcPr>
          <w:p>
            <w:r>
              <w:rPr>
                <w:rFonts w:ascii="Meiryo UI" w:hAnsi="Meiryo UI"/>
                <w:sz w:val="18"/>
              </w:rPr>
              <w:t>1,046,090</w:t>
            </w:r>
          </w:p>
        </w:tc>
        <w:tc>
          <w:tcPr>
            <w:tcW w:type="dxa" w:w="1568"/>
          </w:tcPr>
          <w:p>
            <w:r>
              <w:rPr>
                <w:rFonts w:ascii="Meiryo UI" w:hAnsi="Meiryo UI"/>
                <w:sz w:val="18"/>
              </w:rPr>
              <w:t>1,134,100</w:t>
            </w:r>
          </w:p>
        </w:tc>
        <w:tc>
          <w:tcPr>
            <w:tcW w:type="dxa" w:w="1568"/>
          </w:tcPr>
          <w:p>
            <w:r>
              <w:rPr>
                <w:rFonts w:ascii="Meiryo UI" w:hAnsi="Meiryo UI"/>
                <w:sz w:val="18"/>
              </w:rPr>
              <w:t>+8.41%</w:t>
            </w:r>
          </w:p>
        </w:tc>
      </w:tr>
      <w:tr>
        <w:tc>
          <w:tcPr>
            <w:tcW w:type="dxa" w:w="1568"/>
            <w:shd w:val="clear" w:color="auto" w:fill="DDEBF7"/>
          </w:tcPr>
          <w:p>
            <w:r>
              <w:rPr>
                <w:rFonts w:ascii="Meiryo UI" w:hAnsi="Meiryo UI"/>
                <w:sz w:val="18"/>
              </w:rPr>
              <w:t>粗利益率</w:t>
            </w:r>
          </w:p>
        </w:tc>
        <w:tc>
          <w:tcPr>
            <w:tcW w:type="dxa" w:w="1568"/>
            <w:shd w:val="clear" w:color="auto" w:fill="DDEBF7"/>
          </w:tcPr>
          <w:p>
            <w:r>
              <w:rPr>
                <w:rFonts w:ascii="Meiryo UI" w:hAnsi="Meiryo UI"/>
                <w:sz w:val="18"/>
              </w:rPr>
              <w:t>58.62%</w:t>
            </w:r>
          </w:p>
        </w:tc>
        <w:tc>
          <w:tcPr>
            <w:tcW w:type="dxa" w:w="1568"/>
            <w:shd w:val="clear" w:color="auto" w:fill="DDEBF7"/>
          </w:tcPr>
          <w:p>
            <w:r>
              <w:rPr>
                <w:rFonts w:ascii="Meiryo UI" w:hAnsi="Meiryo UI"/>
                <w:sz w:val="18"/>
              </w:rPr>
              <w:t>59.45%</w:t>
            </w:r>
          </w:p>
        </w:tc>
        <w:tc>
          <w:tcPr>
            <w:tcW w:type="dxa" w:w="1568"/>
            <w:shd w:val="clear" w:color="auto" w:fill="DDEBF7"/>
          </w:tcPr>
          <w:p>
            <w:r>
              <w:rPr>
                <w:rFonts w:ascii="Meiryo UI" w:hAnsi="Meiryo UI"/>
                <w:sz w:val="18"/>
              </w:rPr>
              <w:t>62.33%</w:t>
            </w:r>
          </w:p>
        </w:tc>
        <w:tc>
          <w:tcPr>
            <w:tcW w:type="dxa" w:w="1568"/>
            <w:shd w:val="clear" w:color="auto" w:fill="DDEBF7"/>
          </w:tcPr>
          <w:p>
            <w:r>
              <w:rPr>
                <w:rFonts w:ascii="Meiryo UI" w:hAnsi="Meiryo UI"/>
                <w:sz w:val="18"/>
              </w:rPr>
              <w:t>66.25%</w:t>
            </w:r>
          </w:p>
        </w:tc>
        <w:tc>
          <w:tcPr>
            <w:tcW w:type="dxa" w:w="1568"/>
            <w:shd w:val="clear" w:color="auto" w:fill="DDEBF7"/>
          </w:tcPr>
          <w:p>
            <w:r>
              <w:rPr>
                <w:rFonts w:ascii="Meiryo UI" w:hAnsi="Meiryo UI"/>
                <w:sz w:val="18"/>
              </w:rPr>
              <w:t>+392bp</w:t>
            </w:r>
          </w:p>
        </w:tc>
      </w:tr>
      <w:tr>
        <w:tc>
          <w:tcPr>
            <w:tcW w:type="dxa" w:w="1568"/>
          </w:tcPr>
          <w:p>
            <w:r>
              <w:rPr>
                <w:rFonts w:ascii="Meiryo UI" w:hAnsi="Meiryo UI"/>
                <w:sz w:val="18"/>
              </w:rPr>
              <w:t>純利益率</w:t>
            </w:r>
          </w:p>
        </w:tc>
        <w:tc>
          <w:tcPr>
            <w:tcW w:type="dxa" w:w="1568"/>
          </w:tcPr>
          <w:p>
            <w:r>
              <w:rPr>
                <w:rFonts w:ascii="Meiryo UI" w:hAnsi="Meiryo UI"/>
                <w:sz w:val="18"/>
              </w:rPr>
              <w:t>42.57%</w:t>
            </w:r>
          </w:p>
        </w:tc>
        <w:tc>
          <w:tcPr>
            <w:tcW w:type="dxa" w:w="1568"/>
          </w:tcPr>
          <w:p>
            <w:r>
              <w:rPr>
                <w:rFonts w:ascii="Meiryo UI" w:hAnsi="Meiryo UI"/>
                <w:sz w:val="18"/>
              </w:rPr>
              <w:t>45.64%</w:t>
            </w:r>
          </w:p>
        </w:tc>
        <w:tc>
          <w:tcPr>
            <w:tcW w:type="dxa" w:w="1568"/>
          </w:tcPr>
          <w:p>
            <w:r>
              <w:rPr>
                <w:rFonts w:ascii="Meiryo UI" w:hAnsi="Meiryo UI"/>
                <w:sz w:val="18"/>
              </w:rPr>
              <w:t>48.31%</w:t>
            </w:r>
          </w:p>
        </w:tc>
        <w:tc>
          <w:tcPr>
            <w:tcW w:type="dxa" w:w="1568"/>
          </w:tcPr>
          <w:p>
            <w:r>
              <w:rPr>
                <w:rFonts w:ascii="Meiryo UI" w:hAnsi="Meiryo UI"/>
                <w:sz w:val="18"/>
              </w:rPr>
              <w:t>50.51%</w:t>
            </w:r>
          </w:p>
        </w:tc>
        <w:tc>
          <w:tcPr>
            <w:tcW w:type="dxa" w:w="1568"/>
          </w:tcPr>
          <w:p>
            <w:r>
              <w:rPr>
                <w:rFonts w:ascii="Meiryo UI" w:hAnsi="Meiryo UI"/>
                <w:sz w:val="18"/>
              </w:rPr>
              <w:t>+220bp</w:t>
            </w:r>
          </w:p>
        </w:tc>
      </w:tr>
      <w:tr>
        <w:tc>
          <w:tcPr>
            <w:tcW w:type="dxa" w:w="1568"/>
            <w:shd w:val="clear" w:color="auto" w:fill="DDEBF7"/>
          </w:tcPr>
          <w:p>
            <w:r>
              <w:rPr>
                <w:rFonts w:ascii="Meiryo UI" w:hAnsi="Meiryo UI"/>
                <w:sz w:val="18"/>
              </w:rPr>
              <w:t>EPS（NT$/株）</w:t>
            </w:r>
          </w:p>
        </w:tc>
        <w:tc>
          <w:tcPr>
            <w:tcW w:type="dxa" w:w="1568"/>
            <w:shd w:val="clear" w:color="auto" w:fill="DDEBF7"/>
          </w:tcPr>
          <w:p>
            <w:r>
              <w:rPr>
                <w:rFonts w:ascii="Meiryo UI" w:hAnsi="Meiryo UI"/>
                <w:sz w:val="18"/>
              </w:rPr>
              <w:t>76.80</w:t>
            </w:r>
          </w:p>
        </w:tc>
        <w:tc>
          <w:tcPr>
            <w:tcW w:type="dxa" w:w="1568"/>
            <w:shd w:val="clear" w:color="auto" w:fill="DDEBF7"/>
          </w:tcPr>
          <w:p>
            <w:r>
              <w:rPr>
                <w:rFonts w:ascii="Meiryo UI" w:hAnsi="Meiryo UI"/>
                <w:sz w:val="18"/>
              </w:rPr>
              <w:t>87.20</w:t>
            </w:r>
          </w:p>
        </w:tc>
        <w:tc>
          <w:tcPr>
            <w:tcW w:type="dxa" w:w="1568"/>
            <w:shd w:val="clear" w:color="auto" w:fill="DDEBF7"/>
          </w:tcPr>
          <w:p>
            <w:r>
              <w:rPr>
                <w:rFonts w:ascii="Meiryo UI" w:hAnsi="Meiryo UI"/>
                <w:sz w:val="18"/>
              </w:rPr>
              <w:t>97.50</w:t>
            </w:r>
          </w:p>
        </w:tc>
        <w:tc>
          <w:tcPr>
            <w:tcW w:type="dxa" w:w="1568"/>
            <w:shd w:val="clear" w:color="auto" w:fill="DDEBF7"/>
          </w:tcPr>
          <w:p>
            <w:r>
              <w:rPr>
                <w:rFonts w:ascii="Meiryo UI" w:hAnsi="Meiryo UI"/>
                <w:sz w:val="18"/>
              </w:rPr>
              <w:t>110.40</w:t>
            </w:r>
          </w:p>
        </w:tc>
        <w:tc>
          <w:tcPr>
            <w:tcW w:type="dxa" w:w="1568"/>
            <w:shd w:val="clear" w:color="auto" w:fill="DDEBF7"/>
          </w:tcPr>
          <w:p>
            <w:r>
              <w:rPr>
                <w:rFonts w:ascii="Meiryo UI" w:hAnsi="Meiryo UI"/>
                <w:sz w:val="18"/>
              </w:rPr>
              <w:t>+13.23%</w:t>
            </w:r>
          </w:p>
        </w:tc>
      </w:tr>
    </w:tbl>
    <w:p/>
    <w:p>
      <w:pPr>
        <w:pStyle w:val="Heading3"/>
      </w:pPr>
      <w:r>
        <w:rPr>
          <w:rFonts w:ascii="Meiryo UI" w:hAnsi="Meiryo UI"/>
          <w:color w:val="2E74B5"/>
        </w:rPr>
        <w:t>3-2. FY2026コンセンサス予想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FY2025実績推定</w:t>
            </w:r>
          </w:p>
        </w:tc>
        <w:tc>
          <w:tcPr>
            <w:tcW w:type="dxa" w:w="2351"/>
            <w:shd w:val="clear" w:color="auto" w:fill="2E74B5"/>
          </w:tcPr>
          <w:p>
            <w:r>
              <w:rPr>
                <w:rFonts w:ascii="Meiryo UI" w:hAnsi="Meiryo UI"/>
                <w:b/>
                <w:color w:val="FFFFFF"/>
                <w:sz w:val="18"/>
              </w:rPr>
              <w:t>FY2026Eコンセンサス</w:t>
            </w:r>
          </w:p>
        </w:tc>
        <w:tc>
          <w:tcPr>
            <w:tcW w:type="dxa" w:w="2351"/>
            <w:shd w:val="clear" w:color="auto" w:fill="2E74B5"/>
          </w:tcPr>
          <w:p>
            <w:r>
              <w:rPr>
                <w:rFonts w:ascii="Meiryo UI" w:hAnsi="Meiryo UI"/>
                <w:b/>
                <w:color w:val="FFFFFF"/>
                <w:sz w:val="18"/>
              </w:rPr>
              <w:t>YoY成長率</w:t>
            </w:r>
          </w:p>
        </w:tc>
      </w:tr>
      <w:tr>
        <w:tc>
          <w:tcPr>
            <w:tcW w:type="dxa" w:w="2351"/>
          </w:tcPr>
          <w:p>
            <w:r>
              <w:rPr>
                <w:rFonts w:ascii="Meiryo UI" w:hAnsi="Meiryo UI"/>
                <w:sz w:val="18"/>
              </w:rPr>
              <w:t>売上高（NT$T）</w:t>
            </w:r>
          </w:p>
        </w:tc>
        <w:tc>
          <w:tcPr>
            <w:tcW w:type="dxa" w:w="2351"/>
          </w:tcPr>
          <w:p>
            <w:r>
              <w:rPr>
                <w:rFonts w:ascii="Meiryo UI" w:hAnsi="Meiryo UI"/>
                <w:sz w:val="18"/>
              </w:rPr>
              <w:t>約3.81T</w:t>
            </w:r>
          </w:p>
        </w:tc>
        <w:tc>
          <w:tcPr>
            <w:tcW w:type="dxa" w:w="2351"/>
          </w:tcPr>
          <w:p>
            <w:r>
              <w:rPr>
                <w:rFonts w:ascii="Meiryo UI" w:hAnsi="Meiryo UI"/>
                <w:sz w:val="18"/>
              </w:rPr>
              <w:t>5.12T</w:t>
            </w:r>
          </w:p>
        </w:tc>
        <w:tc>
          <w:tcPr>
            <w:tcW w:type="dxa" w:w="2351"/>
          </w:tcPr>
          <w:p>
            <w:r>
              <w:rPr>
                <w:rFonts w:ascii="Meiryo UI" w:hAnsi="Meiryo UI"/>
                <w:sz w:val="18"/>
              </w:rPr>
              <w:t>+34.52%</w:t>
            </w:r>
          </w:p>
        </w:tc>
      </w:tr>
      <w:tr>
        <w:tc>
          <w:tcPr>
            <w:tcW w:type="dxa" w:w="2351"/>
            <w:shd w:val="clear" w:color="auto" w:fill="DDEBF7"/>
          </w:tcPr>
          <w:p>
            <w:r>
              <w:rPr>
                <w:rFonts w:ascii="Meiryo UI" w:hAnsi="Meiryo UI"/>
                <w:sz w:val="18"/>
              </w:rPr>
              <w:t>売上高（USD換算）</w:t>
            </w:r>
          </w:p>
        </w:tc>
        <w:tc>
          <w:tcPr>
            <w:tcW w:type="dxa" w:w="2351"/>
            <w:shd w:val="clear" w:color="auto" w:fill="DDEBF7"/>
          </w:tcPr>
          <w:p>
            <w:r>
              <w:rPr>
                <w:rFonts w:ascii="Meiryo UI" w:hAnsi="Meiryo UI"/>
                <w:sz w:val="18"/>
              </w:rPr>
              <w:t>約USD46B</w:t>
            </w:r>
          </w:p>
        </w:tc>
        <w:tc>
          <w:tcPr>
            <w:tcW w:type="dxa" w:w="2351"/>
            <w:shd w:val="clear" w:color="auto" w:fill="DDEBF7"/>
          </w:tcPr>
          <w:p>
            <w:r>
              <w:rPr>
                <w:rFonts w:ascii="Meiryo UI" w:hAnsi="Meiryo UI"/>
                <w:sz w:val="18"/>
              </w:rPr>
              <w:t>約USD61.9B</w:t>
            </w:r>
          </w:p>
        </w:tc>
        <w:tc>
          <w:tcPr>
            <w:tcW w:type="dxa" w:w="2351"/>
            <w:shd w:val="clear" w:color="auto" w:fill="DDEBF7"/>
          </w:tcPr>
          <w:p>
            <w:r>
              <w:rPr>
                <w:rFonts w:ascii="Meiryo UI" w:hAnsi="Meiryo UI"/>
                <w:sz w:val="18"/>
              </w:rPr>
              <w:t>+34.5%</w:t>
            </w:r>
          </w:p>
        </w:tc>
      </w:tr>
      <w:tr>
        <w:tc>
          <w:tcPr>
            <w:tcW w:type="dxa" w:w="2351"/>
          </w:tcPr>
          <w:p>
            <w:r>
              <w:rPr>
                <w:rFonts w:ascii="Meiryo UI" w:hAnsi="Meiryo UI"/>
                <w:sz w:val="18"/>
              </w:rPr>
              <w:t>EPS（NT$/株・ポストスプリット）</w:t>
            </w:r>
          </w:p>
        </w:tc>
        <w:tc>
          <w:tcPr>
            <w:tcW w:type="dxa" w:w="2351"/>
          </w:tcPr>
          <w:p>
            <w:r>
              <w:rPr>
                <w:rFonts w:ascii="Meiryo UI" w:hAnsi="Meiryo UI"/>
                <w:sz w:val="18"/>
              </w:rPr>
              <w:t>約66.2</w:t>
            </w:r>
          </w:p>
        </w:tc>
        <w:tc>
          <w:tcPr>
            <w:tcW w:type="dxa" w:w="2351"/>
          </w:tcPr>
          <w:p>
            <w:r>
              <w:rPr>
                <w:rFonts w:ascii="Meiryo UI" w:hAnsi="Meiryo UI"/>
                <w:sz w:val="18"/>
              </w:rPr>
              <w:t>92.16</w:t>
            </w:r>
          </w:p>
        </w:tc>
        <w:tc>
          <w:tcPr>
            <w:tcW w:type="dxa" w:w="2351"/>
          </w:tcPr>
          <w:p>
            <w:r>
              <w:rPr>
                <w:rFonts w:ascii="Meiryo UI" w:hAnsi="Meiryo UI"/>
                <w:sz w:val="18"/>
              </w:rPr>
              <w:t>+39.10%</w:t>
            </w:r>
          </w:p>
        </w:tc>
      </w:tr>
      <w:tr>
        <w:tc>
          <w:tcPr>
            <w:tcW w:type="dxa" w:w="2351"/>
            <w:shd w:val="clear" w:color="auto" w:fill="DDEBF7"/>
          </w:tcPr>
          <w:p>
            <w:r>
              <w:rPr>
                <w:rFonts w:ascii="Meiryo UI" w:hAnsi="Meiryo UI"/>
                <w:sz w:val="18"/>
              </w:rPr>
              <w:t>FY2027E売上</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NT$6.41T</w:t>
            </w:r>
          </w:p>
        </w:tc>
        <w:tc>
          <w:tcPr>
            <w:tcW w:type="dxa" w:w="2351"/>
            <w:shd w:val="clear" w:color="auto" w:fill="DDEBF7"/>
          </w:tcPr>
          <w:p>
            <w:r>
              <w:rPr>
                <w:rFonts w:ascii="Meiryo UI" w:hAnsi="Meiryo UI"/>
                <w:sz w:val="18"/>
              </w:rPr>
              <w:t>+25.2%</w:t>
            </w:r>
          </w:p>
        </w:tc>
      </w:tr>
      <w:tr>
        <w:tc>
          <w:tcPr>
            <w:tcW w:type="dxa" w:w="2351"/>
          </w:tcPr>
          <w:p>
            <w:r>
              <w:rPr>
                <w:rFonts w:ascii="Meiryo UI" w:hAnsi="Meiryo UI"/>
                <w:sz w:val="18"/>
              </w:rPr>
              <w:t>FY2027E EPS</w:t>
            </w:r>
          </w:p>
        </w:tc>
        <w:tc>
          <w:tcPr>
            <w:tcW w:type="dxa" w:w="2351"/>
          </w:tcPr>
          <w:p>
            <w:r>
              <w:rPr>
                <w:rFonts w:ascii="Meiryo UI" w:hAnsi="Meiryo UI"/>
                <w:sz w:val="18"/>
              </w:rPr>
              <w:t>—</w:t>
            </w:r>
          </w:p>
        </w:tc>
        <w:tc>
          <w:tcPr>
            <w:tcW w:type="dxa" w:w="2351"/>
          </w:tcPr>
          <w:p>
            <w:r>
              <w:rPr>
                <w:rFonts w:ascii="Meiryo UI" w:hAnsi="Meiryo UI"/>
                <w:sz w:val="18"/>
              </w:rPr>
              <w:t>NT$115.21</w:t>
            </w:r>
          </w:p>
        </w:tc>
        <w:tc>
          <w:tcPr>
            <w:tcW w:type="dxa" w:w="2351"/>
          </w:tcPr>
          <w:p>
            <w:r>
              <w:rPr>
                <w:rFonts w:ascii="Meiryo UI" w:hAnsi="Meiryo UI"/>
                <w:sz w:val="18"/>
              </w:rPr>
              <w:t>+25.0%</w:t>
            </w:r>
          </w:p>
        </w:tc>
      </w:tr>
    </w:tbl>
    <w:p/>
    <w:p>
      <w:pPr>
        <w:pStyle w:val="Heading3"/>
      </w:pPr>
      <w:r>
        <w:rPr>
          <w:rFonts w:ascii="Meiryo UI" w:hAnsi="Meiryo UI"/>
          <w:color w:val="2E74B5"/>
        </w:rPr>
        <w:t>3-3. FCFマージン分析</w:t>
      </w:r>
    </w:p>
    <w:p/>
    <w:p>
      <w:r>
        <w:rPr>
          <w:rFonts w:ascii="Meiryo UI" w:hAnsi="Meiryo UI"/>
          <w:sz w:val="20"/>
        </w:rPr>
        <w:t>FY2026E FCF構造（確定値ベース）：</w:t>
      </w:r>
    </w:p>
    <w:p/>
    <w:p>
      <w:pPr>
        <w:shd w:val="clear" w:color="auto" w:fill="F2F2F2"/>
      </w:pPr>
      <w:r>
        <w:rPr>
          <w:rFonts w:ascii="Courier New" w:hAnsi="Courier New"/>
          <w:sz w:val="16"/>
        </w:rPr>
        <w:t>売上高（USD）         ：約 USD 61.9B</w:t>
        <w:br/>
        <w:t>純利益率              ：50.51%（Q1確定値トレンド維持）</w:t>
        <w:br/>
        <w:t>純利益（USD）         ：約 USD 31.3B</w:t>
        <w:br/>
        <w:br/>
        <w:t>CAPEX（FY2026E）      ：推定 USD 38〜42B（売上比 62〜68%）</w:t>
        <w:br/>
        <w:t xml:space="preserve">  ※ TSMC FY2026E CAPEX公式ガイダンス：約USD38〜42B（N2工場・AZ拡張）</w:t>
        <w:br/>
        <w:t>D&amp;A（FY2026E）        ：推定 USD 12〜14B</w:t>
        <w:br/>
        <w:t>Net CAPEX (CAPEX-D&amp;A) ：USD 26〜30B</w:t>
        <w:br/>
        <w:br/>
        <w:t>FCF（純利益 - Net CAPEX）：USD 31.3B - USD 28B = 約 USD 3〜5B</w:t>
        <w:br/>
        <w:t>FCFマージン            ：約 5〜8%（CAPEX集中投資期のため低位）</w:t>
        <w:br/>
        <w:t>─────────────────────────────────────────</w:t>
        <w:br/>
        <w:t>⚠️ 注：V2指示の「FCF変換率85%・Net CAPEX≈0」シナリオは、</w:t>
        <w:br/>
        <w:t xml:space="preserve">   FY2026において CAPEX USD38〜42B が見込まれるため採用不可。</w:t>
        <w:br/>
        <w:t xml:space="preserve">   正確なFCFはCAPEX水準を明示した上で計算する。</w:t>
        <w:br/>
        <w:br/>
        <w:t xml:space="preserve">   ただし FY2028E以降（CAPEX落ち着き期）：</w:t>
        <w:br/>
        <w:t xml:space="preserve">   FCFマージン = 純利益率50% × 変換率85% ≒ 42〜45%</w:t>
        <w:br/>
        <w:t xml:space="preserve">   FY2028E FCF = USD 85B（売上） × 42% ≒ USD 35〜38B 想定</w:t>
      </w:r>
    </w:p>
    <w:p/>
    <w:p>
      <w:r>
        <w:t>──────────────────────────────────────────────────</w:t>
      </w:r>
    </w:p>
    <w:p/>
    <w:p>
      <w:pPr>
        <w:pStyle w:val="Heading2"/>
      </w:pPr>
      <w:r>
        <w:rPr>
          <w:rFonts w:ascii="Meiryo UI" w:hAnsi="Meiryo UI"/>
          <w:color w:val="2E74B5"/>
        </w:rPr>
        <w:t>セクション4：DCFバリュエーション</w:t>
      </w:r>
    </w:p>
    <w:p/>
    <w:p>
      <w:pPr>
        <w:pStyle w:val="Heading3"/>
      </w:pPr>
      <w:r>
        <w:rPr>
          <w:rFonts w:ascii="Meiryo UI" w:hAnsi="Meiryo UI"/>
          <w:color w:val="2E74B5"/>
        </w:rPr>
        <w:t>4-1. 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4.300%</w:t>
            </w:r>
          </w:p>
        </w:tc>
        <w:tc>
          <w:tcPr>
            <w:tcW w:type="dxa" w:w="3135"/>
          </w:tcPr>
          <w:p>
            <w:r>
              <w:rPr>
                <w:rFonts w:ascii="Meiryo UI" w:hAnsi="Meiryo UI"/>
                <w:sz w:val="18"/>
              </w:rPr>
              <w:t>米10年国債（US10Y）2026-04-17確定値</w:t>
            </w:r>
          </w:p>
        </w:tc>
      </w:tr>
      <w:tr>
        <w:tc>
          <w:tcPr>
            <w:tcW w:type="dxa" w:w="3135"/>
            <w:shd w:val="clear" w:color="auto" w:fill="DDEBF7"/>
          </w:tcPr>
          <w:p>
            <w:r>
              <w:rPr>
                <w:rFonts w:ascii="Meiryo UI" w:hAnsi="Meiryo UI"/>
                <w:sz w:val="18"/>
              </w:rPr>
              <w:t>ERP（市場リスクプレミアム）</w:t>
            </w:r>
          </w:p>
        </w:tc>
        <w:tc>
          <w:tcPr>
            <w:tcW w:type="dxa" w:w="3135"/>
            <w:shd w:val="clear" w:color="auto" w:fill="DDEBF7"/>
          </w:tcPr>
          <w:p>
            <w:r>
              <w:rPr>
                <w:rFonts w:ascii="Meiryo UI" w:hAnsi="Meiryo UI"/>
                <w:sz w:val="18"/>
              </w:rPr>
              <w:t>5.0%</w:t>
            </w:r>
          </w:p>
        </w:tc>
        <w:tc>
          <w:tcPr>
            <w:tcW w:type="dxa" w:w="3135"/>
            <w:shd w:val="clear" w:color="auto" w:fill="DDEBF7"/>
          </w:tcPr>
          <w:p>
            <w:r>
              <w:rPr>
                <w:rFonts w:ascii="Meiryo UI" w:hAnsi="Meiryo UI"/>
                <w:sz w:val="18"/>
              </w:rPr>
              <w:t>Damodaran 2026推定（米国市場ERP）</w:t>
            </w:r>
          </w:p>
        </w:tc>
      </w:tr>
      <w:tr>
        <w:tc>
          <w:tcPr>
            <w:tcW w:type="dxa" w:w="3135"/>
          </w:tcPr>
          <w:p>
            <w:r>
              <w:rPr>
                <w:rFonts w:ascii="Meiryo UI" w:hAnsi="Meiryo UI"/>
                <w:sz w:val="18"/>
              </w:rPr>
              <w:t>β（ベータ）</w:t>
            </w:r>
          </w:p>
        </w:tc>
        <w:tc>
          <w:tcPr>
            <w:tcW w:type="dxa" w:w="3135"/>
          </w:tcPr>
          <w:p>
            <w:r>
              <w:rPr>
                <w:rFonts w:ascii="Meiryo UI" w:hAnsi="Meiryo UI"/>
                <w:sz w:val="18"/>
              </w:rPr>
              <w:t>1.10</w:t>
            </w:r>
          </w:p>
        </w:tc>
        <w:tc>
          <w:tcPr>
            <w:tcW w:type="dxa" w:w="3135"/>
          </w:tcPr>
          <w:p>
            <w:r>
              <w:rPr>
                <w:rFonts w:ascii="Meiryo UI" w:hAnsi="Meiryo UI"/>
                <w:sz w:val="18"/>
              </w:rPr>
              <w:t>TSM 2年実績β（NASDAQ対比）</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4.300% + 1.10 × 5.0% = 9.80%</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Rd（借入コスト）</w:t>
            </w:r>
          </w:p>
        </w:tc>
        <w:tc>
          <w:tcPr>
            <w:tcW w:type="dxa" w:w="3135"/>
          </w:tcPr>
          <w:p>
            <w:r>
              <w:rPr>
                <w:rFonts w:ascii="Meiryo UI" w:hAnsi="Meiryo UI"/>
                <w:sz w:val="18"/>
              </w:rPr>
              <w:t>4.8%</w:t>
            </w:r>
          </w:p>
        </w:tc>
        <w:tc>
          <w:tcPr>
            <w:tcW w:type="dxa" w:w="3135"/>
          </w:tcPr>
          <w:p>
            <w:r>
              <w:rPr>
                <w:rFonts w:ascii="Meiryo UI" w:hAnsi="Meiryo UI"/>
                <w:sz w:val="18"/>
              </w:rPr>
              <w:t>TSMCの社債レート推定</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台湾法人税率</w:t>
            </w:r>
          </w:p>
        </w:tc>
      </w:tr>
      <w:tr>
        <w:tc>
          <w:tcPr>
            <w:tcW w:type="dxa" w:w="3135"/>
          </w:tcPr>
          <w:p>
            <w:r>
              <w:rPr>
                <w:rFonts w:ascii="Meiryo UI" w:hAnsi="Meiryo UI"/>
                <w:sz w:val="18"/>
              </w:rPr>
              <w:t>D/E比率（簿価）</w:t>
            </w:r>
          </w:p>
        </w:tc>
        <w:tc>
          <w:tcPr>
            <w:tcW w:type="dxa" w:w="3135"/>
          </w:tcPr>
          <w:p>
            <w:r>
              <w:rPr>
                <w:rFonts w:ascii="Meiryo UI" w:hAnsi="Meiryo UI"/>
                <w:sz w:val="18"/>
              </w:rPr>
              <w:t>D=10%, E=90%</w:t>
            </w:r>
          </w:p>
        </w:tc>
        <w:tc>
          <w:tcPr>
            <w:tcW w:type="dxa" w:w="3135"/>
          </w:tcPr>
          <w:p>
            <w:r>
              <w:rPr>
                <w:rFonts w:ascii="Meiryo UI" w:hAnsi="Meiryo UI"/>
                <w:sz w:val="18"/>
              </w:rPr>
              <w:t>TSMCは低レバレッジ</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9.80% × 90% + 4.80% × (1-15%) × 10% = 8.82% + 0.41% = 9.23%</w:t>
            </w:r>
          </w:p>
        </w:tc>
        <w:tc>
          <w:tcPr>
            <w:tcW w:type="dxa" w:w="3135"/>
            <w:shd w:val="clear" w:color="auto" w:fill="DDEBF7"/>
          </w:tcPr>
          <w:p>
            <w:r>
              <w:rPr>
                <w:rFonts w:ascii="Meiryo UI" w:hAnsi="Meiryo UI"/>
                <w:sz w:val="18"/>
              </w:rPr>
              <w:t>上記より</w:t>
            </w:r>
          </w:p>
        </w:tc>
      </w:tr>
      <w:tr>
        <w:tc>
          <w:tcPr>
            <w:tcW w:type="dxa" w:w="3135"/>
          </w:tcPr>
          <w:p>
            <w:r>
              <w:rPr>
                <w:rFonts w:ascii="Meiryo UI" w:hAnsi="Meiryo UI"/>
                <w:sz w:val="18"/>
              </w:rPr>
              <w:t>ターミナル成長率（g）</w:t>
            </w:r>
          </w:p>
        </w:tc>
        <w:tc>
          <w:tcPr>
            <w:tcW w:type="dxa" w:w="3135"/>
          </w:tcPr>
          <w:p>
            <w:r>
              <w:rPr>
                <w:rFonts w:ascii="Meiryo UI" w:hAnsi="Meiryo UI"/>
                <w:sz w:val="18"/>
              </w:rPr>
              <w:t>5.5%（基本）</w:t>
            </w:r>
          </w:p>
        </w:tc>
        <w:tc>
          <w:tcPr>
            <w:tcW w:type="dxa" w:w="3135"/>
          </w:tcPr>
          <w:p>
            <w:r>
              <w:rPr>
                <w:rFonts w:ascii="Meiryo UI" w:hAnsi="Meiryo UI"/>
                <w:sz w:val="18"/>
              </w:rPr>
              <w:t>AI独占的地位・半導体長期CAGR考慮</w:t>
            </w:r>
          </w:p>
        </w:tc>
      </w:tr>
      <w:tr>
        <w:tc>
          <w:tcPr>
            <w:tcW w:type="dxa" w:w="3135"/>
            <w:shd w:val="clear" w:color="auto" w:fill="DDEBF7"/>
          </w:tcPr>
          <w:p>
            <w:r>
              <w:rPr>
                <w:rFonts w:ascii="Meiryo UI" w:hAnsi="Meiryo UI"/>
                <w:sz w:val="18"/>
              </w:rPr>
              <w:t>予測期間</w:t>
            </w:r>
          </w:p>
        </w:tc>
        <w:tc>
          <w:tcPr>
            <w:tcW w:type="dxa" w:w="3135"/>
            <w:shd w:val="clear" w:color="auto" w:fill="DDEBF7"/>
          </w:tcPr>
          <w:p>
            <w:r>
              <w:rPr>
                <w:rFonts w:ascii="Meiryo UI" w:hAnsi="Meiryo UI"/>
                <w:sz w:val="18"/>
              </w:rPr>
              <w:t>10年（FY2026〜FY2035）</w:t>
            </w:r>
          </w:p>
        </w:tc>
        <w:tc>
          <w:tcPr>
            <w:tcW w:type="dxa" w:w="3135"/>
            <w:shd w:val="clear" w:color="auto" w:fill="DDEBF7"/>
          </w:tcPr>
          <w:p>
            <w:r>
              <w:rPr>
                <w:rFonts w:ascii="Meiryo UI" w:hAnsi="Meiryo UI"/>
                <w:sz w:val="18"/>
              </w:rPr>
            </w:r>
          </w:p>
        </w:tc>
      </w:tr>
      <w:tr>
        <w:tc>
          <w:tcPr>
            <w:tcW w:type="dxa" w:w="3135"/>
          </w:tcPr>
          <w:p>
            <w:r>
              <w:rPr>
                <w:rFonts w:ascii="Meiryo UI" w:hAnsi="Meiryo UI"/>
                <w:sz w:val="18"/>
              </w:rPr>
              <w:t>為替</w:t>
            </w:r>
          </w:p>
        </w:tc>
        <w:tc>
          <w:tcPr>
            <w:tcW w:type="dxa" w:w="3135"/>
          </w:tcPr>
          <w:p>
            <w:r>
              <w:rPr>
                <w:rFonts w:ascii="Meiryo UI" w:hAnsi="Meiryo UI"/>
                <w:sz w:val="18"/>
              </w:rPr>
              <w:t>NT$/USD = 31.62</w:t>
            </w:r>
          </w:p>
        </w:tc>
        <w:tc>
          <w:tcPr>
            <w:tcW w:type="dxa" w:w="3135"/>
          </w:tcPr>
          <w:p>
            <w:r>
              <w:rPr>
                <w:rFonts w:ascii="Meiryo UI" w:hAnsi="Meiryo UI"/>
                <w:sz w:val="18"/>
              </w:rPr>
              <w:t>2026-04-16確定値</w:t>
            </w:r>
          </w:p>
        </w:tc>
      </w:tr>
    </w:tbl>
    <w:p/>
    <w:p>
      <w:r>
        <w:rPr>
          <w:rFonts w:ascii="Meiryo UI" w:hAnsi="Meiryo UI"/>
          <w:sz w:val="20"/>
        </w:rPr>
        <w:t>&gt; WACC計算詳細：</w:t>
      </w:r>
    </w:p>
    <w:p>
      <w:r>
        <w:rPr>
          <w:rFonts w:ascii="Meiryo UI" w:hAnsi="Meiryo UI"/>
          <w:sz w:val="20"/>
        </w:rPr>
        <w:t>&gt; - Re = 4.300% + 1.10 × 5.0% = 9.800%</w:t>
      </w:r>
    </w:p>
    <w:p>
      <w:r>
        <w:rPr>
          <w:rFonts w:ascii="Meiryo UI" w:hAnsi="Meiryo UI"/>
          <w:sz w:val="20"/>
        </w:rPr>
        <w:t>&gt; - WACC = (0.90 × 9.800%) + (0.10 × 4.800% × 0.85) = 8.820% + 0.408% = 9.228% ≈ 9.23%</w:t>
      </w:r>
    </w:p>
    <w:p/>
    <w:p>
      <w:pPr>
        <w:pStyle w:val="Heading3"/>
      </w:pPr>
      <w:r>
        <w:rPr>
          <w:rFonts w:ascii="Meiryo UI" w:hAnsi="Meiryo UI"/>
          <w:color w:val="2E74B5"/>
        </w:rPr>
        <w:t>4-2. FCF予測（10年モデル・DCFコア）</w:t>
      </w:r>
    </w:p>
    <w:p/>
    <w:p>
      <w:r>
        <w:rPr>
          <w:rFonts w:ascii="Meiryo UI" w:hAnsi="Meiryo UI"/>
          <w:sz w:val="20"/>
        </w:rPr>
        <w:t>売上高成長率前提：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年率成長率</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高成長期1</w:t>
            </w:r>
          </w:p>
        </w:tc>
        <w:tc>
          <w:tcPr>
            <w:tcW w:type="dxa" w:w="2351"/>
          </w:tcPr>
          <w:p>
            <w:r>
              <w:rPr>
                <w:rFonts w:ascii="Meiryo UI" w:hAnsi="Meiryo UI"/>
                <w:sz w:val="18"/>
              </w:rPr>
              <w:t>FY2026〜FY2028</w:t>
            </w:r>
          </w:p>
        </w:tc>
        <w:tc>
          <w:tcPr>
            <w:tcW w:type="dxa" w:w="2351"/>
          </w:tcPr>
          <w:p>
            <w:r>
              <w:rPr>
                <w:rFonts w:ascii="Meiryo UI" w:hAnsi="Meiryo UI"/>
                <w:sz w:val="18"/>
              </w:rPr>
              <w:t>+30%, +25%, +20%</w:t>
            </w:r>
          </w:p>
        </w:tc>
        <w:tc>
          <w:tcPr>
            <w:tcW w:type="dxa" w:w="2351"/>
          </w:tcPr>
          <w:p>
            <w:r>
              <w:rPr>
                <w:rFonts w:ascii="Meiryo UI" w:hAnsi="Meiryo UI"/>
                <w:sz w:val="18"/>
              </w:rPr>
              <w:t>AI需要・N2本格化・コンセンサス+25%</w:t>
            </w:r>
          </w:p>
        </w:tc>
      </w:tr>
      <w:tr>
        <w:tc>
          <w:tcPr>
            <w:tcW w:type="dxa" w:w="2351"/>
            <w:shd w:val="clear" w:color="auto" w:fill="DDEBF7"/>
          </w:tcPr>
          <w:p>
            <w:r>
              <w:rPr>
                <w:rFonts w:ascii="Meiryo UI" w:hAnsi="Meiryo UI"/>
                <w:sz w:val="18"/>
              </w:rPr>
              <w:t>高成長期2</w:t>
            </w:r>
          </w:p>
        </w:tc>
        <w:tc>
          <w:tcPr>
            <w:tcW w:type="dxa" w:w="2351"/>
            <w:shd w:val="clear" w:color="auto" w:fill="DDEBF7"/>
          </w:tcPr>
          <w:p>
            <w:r>
              <w:rPr>
                <w:rFonts w:ascii="Meiryo UI" w:hAnsi="Meiryo UI"/>
                <w:sz w:val="18"/>
              </w:rPr>
              <w:t>FY2029〜FY2031</w:t>
            </w:r>
          </w:p>
        </w:tc>
        <w:tc>
          <w:tcPr>
            <w:tcW w:type="dxa" w:w="2351"/>
            <w:shd w:val="clear" w:color="auto" w:fill="DDEBF7"/>
          </w:tcPr>
          <w:p>
            <w:r>
              <w:rPr>
                <w:rFonts w:ascii="Meiryo UI" w:hAnsi="Meiryo UI"/>
                <w:sz w:val="18"/>
              </w:rPr>
              <w:t>+15%, +12%, +10%</w:t>
            </w:r>
          </w:p>
        </w:tc>
        <w:tc>
          <w:tcPr>
            <w:tcW w:type="dxa" w:w="2351"/>
            <w:shd w:val="clear" w:color="auto" w:fill="DDEBF7"/>
          </w:tcPr>
          <w:p>
            <w:r>
              <w:rPr>
                <w:rFonts w:ascii="Meiryo UI" w:hAnsi="Meiryo UI"/>
                <w:sz w:val="18"/>
              </w:rPr>
              <w:t>AIインフラ投資継続も成熟化</w:t>
            </w:r>
          </w:p>
        </w:tc>
      </w:tr>
      <w:tr>
        <w:tc>
          <w:tcPr>
            <w:tcW w:type="dxa" w:w="2351"/>
          </w:tcPr>
          <w:p>
            <w:r>
              <w:rPr>
                <w:rFonts w:ascii="Meiryo UI" w:hAnsi="Meiryo UI"/>
                <w:sz w:val="18"/>
              </w:rPr>
              <w:t>安定期</w:t>
            </w:r>
          </w:p>
        </w:tc>
        <w:tc>
          <w:tcPr>
            <w:tcW w:type="dxa" w:w="2351"/>
          </w:tcPr>
          <w:p>
            <w:r>
              <w:rPr>
                <w:rFonts w:ascii="Meiryo UI" w:hAnsi="Meiryo UI"/>
                <w:sz w:val="18"/>
              </w:rPr>
              <w:t>FY2032〜FY2035</w:t>
            </w:r>
          </w:p>
        </w:tc>
        <w:tc>
          <w:tcPr>
            <w:tcW w:type="dxa" w:w="2351"/>
          </w:tcPr>
          <w:p>
            <w:r>
              <w:rPr>
                <w:rFonts w:ascii="Meiryo UI" w:hAnsi="Meiryo UI"/>
                <w:sz w:val="18"/>
              </w:rPr>
              <w:t>+8%, +7%, +6%, +6%</w:t>
            </w:r>
          </w:p>
        </w:tc>
        <w:tc>
          <w:tcPr>
            <w:tcW w:type="dxa" w:w="2351"/>
          </w:tcPr>
          <w:p>
            <w:r>
              <w:rPr>
                <w:rFonts w:ascii="Meiryo UI" w:hAnsi="Meiryo UI"/>
                <w:sz w:val="18"/>
              </w:rPr>
              <w:t>半導体市場成熟・グローバルシェア安定</w:t>
            </w:r>
          </w:p>
        </w:tc>
      </w:tr>
    </w:tbl>
    <w:p/>
    <w:p>
      <w:r>
        <w:rPr>
          <w:rFonts w:ascii="Meiryo UI" w:hAnsi="Meiryo UI"/>
          <w:sz w:val="20"/>
        </w:rPr>
        <w:t>FCFモデル（ベースケース）：</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年度</w:t>
            </w:r>
          </w:p>
        </w:tc>
        <w:tc>
          <w:tcPr>
            <w:tcW w:type="dxa" w:w="1176"/>
            <w:shd w:val="clear" w:color="auto" w:fill="2E74B5"/>
          </w:tcPr>
          <w:p>
            <w:r>
              <w:rPr>
                <w:rFonts w:ascii="Meiryo UI" w:hAnsi="Meiryo UI"/>
                <w:b/>
                <w:color w:val="FFFFFF"/>
                <w:sz w:val="18"/>
              </w:rPr>
              <w:t>売上高（USD B）</w:t>
            </w:r>
          </w:p>
        </w:tc>
        <w:tc>
          <w:tcPr>
            <w:tcW w:type="dxa" w:w="1176"/>
            <w:shd w:val="clear" w:color="auto" w:fill="2E74B5"/>
          </w:tcPr>
          <w:p>
            <w:r>
              <w:rPr>
                <w:rFonts w:ascii="Meiryo UI" w:hAnsi="Meiryo UI"/>
                <w:b/>
                <w:color w:val="FFFFFF"/>
                <w:sz w:val="18"/>
              </w:rPr>
              <w:t>純利益率</w:t>
            </w:r>
          </w:p>
        </w:tc>
        <w:tc>
          <w:tcPr>
            <w:tcW w:type="dxa" w:w="1176"/>
            <w:shd w:val="clear" w:color="auto" w:fill="2E74B5"/>
          </w:tcPr>
          <w:p>
            <w:r>
              <w:rPr>
                <w:rFonts w:ascii="Meiryo UI" w:hAnsi="Meiryo UI"/>
                <w:b/>
                <w:color w:val="FFFFFF"/>
                <w:sz w:val="18"/>
              </w:rPr>
              <w:t>純利益（USD B）</w:t>
            </w:r>
          </w:p>
        </w:tc>
        <w:tc>
          <w:tcPr>
            <w:tcW w:type="dxa" w:w="1176"/>
            <w:shd w:val="clear" w:color="auto" w:fill="2E74B5"/>
          </w:tcPr>
          <w:p>
            <w:r>
              <w:rPr>
                <w:rFonts w:ascii="Meiryo UI" w:hAnsi="Meiryo UI"/>
                <w:b/>
                <w:color w:val="FFFFFF"/>
                <w:sz w:val="18"/>
              </w:rPr>
              <w:t>CAPEX（USD B）</w:t>
            </w:r>
          </w:p>
        </w:tc>
        <w:tc>
          <w:tcPr>
            <w:tcW w:type="dxa" w:w="1176"/>
            <w:shd w:val="clear" w:color="auto" w:fill="2E74B5"/>
          </w:tcPr>
          <w:p>
            <w:r>
              <w:rPr>
                <w:rFonts w:ascii="Meiryo UI" w:hAnsi="Meiryo UI"/>
                <w:b/>
                <w:color w:val="FFFFFF"/>
                <w:sz w:val="18"/>
              </w:rPr>
              <w:t>D&amp;A（USD B）</w:t>
            </w:r>
          </w:p>
        </w:tc>
        <w:tc>
          <w:tcPr>
            <w:tcW w:type="dxa" w:w="1176"/>
            <w:shd w:val="clear" w:color="auto" w:fill="2E74B5"/>
          </w:tcPr>
          <w:p>
            <w:r>
              <w:rPr>
                <w:rFonts w:ascii="Meiryo UI" w:hAnsi="Meiryo UI"/>
                <w:b/>
                <w:color w:val="FFFFFF"/>
                <w:sz w:val="18"/>
              </w:rPr>
              <w:t>Net CAPEX</w:t>
            </w:r>
          </w:p>
        </w:tc>
        <w:tc>
          <w:tcPr>
            <w:tcW w:type="dxa" w:w="1176"/>
            <w:shd w:val="clear" w:color="auto" w:fill="2E74B5"/>
          </w:tcPr>
          <w:p>
            <w:r>
              <w:rPr>
                <w:rFonts w:ascii="Meiryo UI" w:hAnsi="Meiryo UI"/>
                <w:b/>
                <w:color w:val="FFFFFF"/>
                <w:sz w:val="18"/>
              </w:rPr>
              <w:t>FCF（USD B）</w:t>
            </w:r>
          </w:p>
        </w:tc>
      </w:tr>
      <w:tr>
        <w:tc>
          <w:tcPr>
            <w:tcW w:type="dxa" w:w="1176"/>
          </w:tcPr>
          <w:p>
            <w:r>
              <w:rPr>
                <w:rFonts w:ascii="Meiryo UI" w:hAnsi="Meiryo UI"/>
                <w:sz w:val="18"/>
              </w:rPr>
              <w:t>FY2026E</w:t>
            </w:r>
          </w:p>
        </w:tc>
        <w:tc>
          <w:tcPr>
            <w:tcW w:type="dxa" w:w="1176"/>
          </w:tcPr>
          <w:p>
            <w:r>
              <w:rPr>
                <w:rFonts w:ascii="Meiryo UI" w:hAnsi="Meiryo UI"/>
                <w:sz w:val="18"/>
              </w:rPr>
              <w:t>61.9</w:t>
            </w:r>
          </w:p>
        </w:tc>
        <w:tc>
          <w:tcPr>
            <w:tcW w:type="dxa" w:w="1176"/>
          </w:tcPr>
          <w:p>
            <w:r>
              <w:rPr>
                <w:rFonts w:ascii="Meiryo UI" w:hAnsi="Meiryo UI"/>
                <w:sz w:val="18"/>
              </w:rPr>
              <w:t>50.5%</w:t>
            </w:r>
          </w:p>
        </w:tc>
        <w:tc>
          <w:tcPr>
            <w:tcW w:type="dxa" w:w="1176"/>
          </w:tcPr>
          <w:p>
            <w:r>
              <w:rPr>
                <w:rFonts w:ascii="Meiryo UI" w:hAnsi="Meiryo UI"/>
                <w:sz w:val="18"/>
              </w:rPr>
              <w:t>31.3</w:t>
            </w:r>
          </w:p>
        </w:tc>
        <w:tc>
          <w:tcPr>
            <w:tcW w:type="dxa" w:w="1176"/>
          </w:tcPr>
          <w:p>
            <w:r>
              <w:rPr>
                <w:rFonts w:ascii="Meiryo UI" w:hAnsi="Meiryo UI"/>
                <w:sz w:val="18"/>
              </w:rPr>
              <w:t>40.0</w:t>
            </w:r>
          </w:p>
        </w:tc>
        <w:tc>
          <w:tcPr>
            <w:tcW w:type="dxa" w:w="1176"/>
          </w:tcPr>
          <w:p>
            <w:r>
              <w:rPr>
                <w:rFonts w:ascii="Meiryo UI" w:hAnsi="Meiryo UI"/>
                <w:sz w:val="18"/>
              </w:rPr>
              <w:t>13.0</w:t>
            </w:r>
          </w:p>
        </w:tc>
        <w:tc>
          <w:tcPr>
            <w:tcW w:type="dxa" w:w="1176"/>
          </w:tcPr>
          <w:p>
            <w:r>
              <w:rPr>
                <w:rFonts w:ascii="Meiryo UI" w:hAnsi="Meiryo UI"/>
                <w:sz w:val="18"/>
              </w:rPr>
              <w:t>27.0</w:t>
            </w:r>
          </w:p>
        </w:tc>
        <w:tc>
          <w:tcPr>
            <w:tcW w:type="dxa" w:w="1176"/>
          </w:tcPr>
          <w:p>
            <w:r>
              <w:rPr>
                <w:rFonts w:ascii="Meiryo UI" w:hAnsi="Meiryo UI"/>
                <w:sz w:val="18"/>
              </w:rPr>
              <w:t>4.3</w:t>
            </w:r>
          </w:p>
        </w:tc>
      </w:tr>
      <w:tr>
        <w:tc>
          <w:tcPr>
            <w:tcW w:type="dxa" w:w="1176"/>
            <w:shd w:val="clear" w:color="auto" w:fill="DDEBF7"/>
          </w:tcPr>
          <w:p>
            <w:r>
              <w:rPr>
                <w:rFonts w:ascii="Meiryo UI" w:hAnsi="Meiryo UI"/>
                <w:sz w:val="18"/>
              </w:rPr>
              <w:t>FY2027E</w:t>
            </w:r>
          </w:p>
        </w:tc>
        <w:tc>
          <w:tcPr>
            <w:tcW w:type="dxa" w:w="1176"/>
            <w:shd w:val="clear" w:color="auto" w:fill="DDEBF7"/>
          </w:tcPr>
          <w:p>
            <w:r>
              <w:rPr>
                <w:rFonts w:ascii="Meiryo UI" w:hAnsi="Meiryo UI"/>
                <w:sz w:val="18"/>
              </w:rPr>
              <w:t>77.4</w:t>
            </w:r>
          </w:p>
        </w:tc>
        <w:tc>
          <w:tcPr>
            <w:tcW w:type="dxa" w:w="1176"/>
            <w:shd w:val="clear" w:color="auto" w:fill="DDEBF7"/>
          </w:tcPr>
          <w:p>
            <w:r>
              <w:rPr>
                <w:rFonts w:ascii="Meiryo UI" w:hAnsi="Meiryo UI"/>
                <w:sz w:val="18"/>
              </w:rPr>
              <w:t>51.0%</w:t>
            </w:r>
          </w:p>
        </w:tc>
        <w:tc>
          <w:tcPr>
            <w:tcW w:type="dxa" w:w="1176"/>
            <w:shd w:val="clear" w:color="auto" w:fill="DDEBF7"/>
          </w:tcPr>
          <w:p>
            <w:r>
              <w:rPr>
                <w:rFonts w:ascii="Meiryo UI" w:hAnsi="Meiryo UI"/>
                <w:sz w:val="18"/>
              </w:rPr>
              <w:t>39.5</w:t>
            </w:r>
          </w:p>
        </w:tc>
        <w:tc>
          <w:tcPr>
            <w:tcW w:type="dxa" w:w="1176"/>
            <w:shd w:val="clear" w:color="auto" w:fill="DDEBF7"/>
          </w:tcPr>
          <w:p>
            <w:r>
              <w:rPr>
                <w:rFonts w:ascii="Meiryo UI" w:hAnsi="Meiryo UI"/>
                <w:sz w:val="18"/>
              </w:rPr>
              <w:t>42.0</w:t>
            </w:r>
          </w:p>
        </w:tc>
        <w:tc>
          <w:tcPr>
            <w:tcW w:type="dxa" w:w="1176"/>
            <w:shd w:val="clear" w:color="auto" w:fill="DDEBF7"/>
          </w:tcPr>
          <w:p>
            <w:r>
              <w:rPr>
                <w:rFonts w:ascii="Meiryo UI" w:hAnsi="Meiryo UI"/>
                <w:sz w:val="18"/>
              </w:rPr>
              <w:t>16.0</w:t>
            </w:r>
          </w:p>
        </w:tc>
        <w:tc>
          <w:tcPr>
            <w:tcW w:type="dxa" w:w="1176"/>
            <w:shd w:val="clear" w:color="auto" w:fill="DDEBF7"/>
          </w:tcPr>
          <w:p>
            <w:r>
              <w:rPr>
                <w:rFonts w:ascii="Meiryo UI" w:hAnsi="Meiryo UI"/>
                <w:sz w:val="18"/>
              </w:rPr>
              <w:t>26.0</w:t>
            </w:r>
          </w:p>
        </w:tc>
        <w:tc>
          <w:tcPr>
            <w:tcW w:type="dxa" w:w="1176"/>
            <w:shd w:val="clear" w:color="auto" w:fill="DDEBF7"/>
          </w:tcPr>
          <w:p>
            <w:r>
              <w:rPr>
                <w:rFonts w:ascii="Meiryo UI" w:hAnsi="Meiryo UI"/>
                <w:sz w:val="18"/>
              </w:rPr>
              <w:t>13.5</w:t>
            </w:r>
          </w:p>
        </w:tc>
      </w:tr>
      <w:tr>
        <w:tc>
          <w:tcPr>
            <w:tcW w:type="dxa" w:w="1176"/>
          </w:tcPr>
          <w:p>
            <w:r>
              <w:rPr>
                <w:rFonts w:ascii="Meiryo UI" w:hAnsi="Meiryo UI"/>
                <w:sz w:val="18"/>
              </w:rPr>
              <w:t>FY2028E</w:t>
            </w:r>
          </w:p>
        </w:tc>
        <w:tc>
          <w:tcPr>
            <w:tcW w:type="dxa" w:w="1176"/>
          </w:tcPr>
          <w:p>
            <w:r>
              <w:rPr>
                <w:rFonts w:ascii="Meiryo UI" w:hAnsi="Meiryo UI"/>
                <w:sz w:val="18"/>
              </w:rPr>
              <w:t>92.9</w:t>
            </w:r>
          </w:p>
        </w:tc>
        <w:tc>
          <w:tcPr>
            <w:tcW w:type="dxa" w:w="1176"/>
          </w:tcPr>
          <w:p>
            <w:r>
              <w:rPr>
                <w:rFonts w:ascii="Meiryo UI" w:hAnsi="Meiryo UI"/>
                <w:sz w:val="18"/>
              </w:rPr>
              <w:t>51.5%</w:t>
            </w:r>
          </w:p>
        </w:tc>
        <w:tc>
          <w:tcPr>
            <w:tcW w:type="dxa" w:w="1176"/>
          </w:tcPr>
          <w:p>
            <w:r>
              <w:rPr>
                <w:rFonts w:ascii="Meiryo UI" w:hAnsi="Meiryo UI"/>
                <w:sz w:val="18"/>
              </w:rPr>
              <w:t>47.8</w:t>
            </w:r>
          </w:p>
        </w:tc>
        <w:tc>
          <w:tcPr>
            <w:tcW w:type="dxa" w:w="1176"/>
          </w:tcPr>
          <w:p>
            <w:r>
              <w:rPr>
                <w:rFonts w:ascii="Meiryo UI" w:hAnsi="Meiryo UI"/>
                <w:sz w:val="18"/>
              </w:rPr>
              <w:t>38.0</w:t>
            </w:r>
          </w:p>
        </w:tc>
        <w:tc>
          <w:tcPr>
            <w:tcW w:type="dxa" w:w="1176"/>
          </w:tcPr>
          <w:p>
            <w:r>
              <w:rPr>
                <w:rFonts w:ascii="Meiryo UI" w:hAnsi="Meiryo UI"/>
                <w:sz w:val="18"/>
              </w:rPr>
              <w:t>18.0</w:t>
            </w:r>
          </w:p>
        </w:tc>
        <w:tc>
          <w:tcPr>
            <w:tcW w:type="dxa" w:w="1176"/>
          </w:tcPr>
          <w:p>
            <w:r>
              <w:rPr>
                <w:rFonts w:ascii="Meiryo UI" w:hAnsi="Meiryo UI"/>
                <w:sz w:val="18"/>
              </w:rPr>
              <w:t>20.0</w:t>
            </w:r>
          </w:p>
        </w:tc>
        <w:tc>
          <w:tcPr>
            <w:tcW w:type="dxa" w:w="1176"/>
          </w:tcPr>
          <w:p>
            <w:r>
              <w:rPr>
                <w:rFonts w:ascii="Meiryo UI" w:hAnsi="Meiryo UI"/>
                <w:sz w:val="18"/>
              </w:rPr>
              <w:t>27.8</w:t>
            </w:r>
          </w:p>
        </w:tc>
      </w:tr>
      <w:tr>
        <w:tc>
          <w:tcPr>
            <w:tcW w:type="dxa" w:w="1176"/>
            <w:shd w:val="clear" w:color="auto" w:fill="DDEBF7"/>
          </w:tcPr>
          <w:p>
            <w:r>
              <w:rPr>
                <w:rFonts w:ascii="Meiryo UI" w:hAnsi="Meiryo UI"/>
                <w:sz w:val="18"/>
              </w:rPr>
              <w:t>FY2029E</w:t>
            </w:r>
          </w:p>
        </w:tc>
        <w:tc>
          <w:tcPr>
            <w:tcW w:type="dxa" w:w="1176"/>
            <w:shd w:val="clear" w:color="auto" w:fill="DDEBF7"/>
          </w:tcPr>
          <w:p>
            <w:r>
              <w:rPr>
                <w:rFonts w:ascii="Meiryo UI" w:hAnsi="Meiryo UI"/>
                <w:sz w:val="18"/>
              </w:rPr>
              <w:t>106.8</w:t>
            </w:r>
          </w:p>
        </w:tc>
        <w:tc>
          <w:tcPr>
            <w:tcW w:type="dxa" w:w="1176"/>
            <w:shd w:val="clear" w:color="auto" w:fill="DDEBF7"/>
          </w:tcPr>
          <w:p>
            <w:r>
              <w:rPr>
                <w:rFonts w:ascii="Meiryo UI" w:hAnsi="Meiryo UI"/>
                <w:sz w:val="18"/>
              </w:rPr>
              <w:t>52.0%</w:t>
            </w:r>
          </w:p>
        </w:tc>
        <w:tc>
          <w:tcPr>
            <w:tcW w:type="dxa" w:w="1176"/>
            <w:shd w:val="clear" w:color="auto" w:fill="DDEBF7"/>
          </w:tcPr>
          <w:p>
            <w:r>
              <w:rPr>
                <w:rFonts w:ascii="Meiryo UI" w:hAnsi="Meiryo UI"/>
                <w:sz w:val="18"/>
              </w:rPr>
              <w:t>55.5</w:t>
            </w:r>
          </w:p>
        </w:tc>
        <w:tc>
          <w:tcPr>
            <w:tcW w:type="dxa" w:w="1176"/>
            <w:shd w:val="clear" w:color="auto" w:fill="DDEBF7"/>
          </w:tcPr>
          <w:p>
            <w:r>
              <w:rPr>
                <w:rFonts w:ascii="Meiryo UI" w:hAnsi="Meiryo UI"/>
                <w:sz w:val="18"/>
              </w:rPr>
              <w:t>35.0</w:t>
            </w:r>
          </w:p>
        </w:tc>
        <w:tc>
          <w:tcPr>
            <w:tcW w:type="dxa" w:w="1176"/>
            <w:shd w:val="clear" w:color="auto" w:fill="DDEBF7"/>
          </w:tcPr>
          <w:p>
            <w:r>
              <w:rPr>
                <w:rFonts w:ascii="Meiryo UI" w:hAnsi="Meiryo UI"/>
                <w:sz w:val="18"/>
              </w:rPr>
              <w:t>20.0</w:t>
            </w:r>
          </w:p>
        </w:tc>
        <w:tc>
          <w:tcPr>
            <w:tcW w:type="dxa" w:w="1176"/>
            <w:shd w:val="clear" w:color="auto" w:fill="DDEBF7"/>
          </w:tcPr>
          <w:p>
            <w:r>
              <w:rPr>
                <w:rFonts w:ascii="Meiryo UI" w:hAnsi="Meiryo UI"/>
                <w:sz w:val="18"/>
              </w:rPr>
              <w:t>15.0</w:t>
            </w:r>
          </w:p>
        </w:tc>
        <w:tc>
          <w:tcPr>
            <w:tcW w:type="dxa" w:w="1176"/>
            <w:shd w:val="clear" w:color="auto" w:fill="DDEBF7"/>
          </w:tcPr>
          <w:p>
            <w:r>
              <w:rPr>
                <w:rFonts w:ascii="Meiryo UI" w:hAnsi="Meiryo UI"/>
                <w:sz w:val="18"/>
              </w:rPr>
              <w:t>40.5</w:t>
            </w:r>
          </w:p>
        </w:tc>
      </w:tr>
      <w:tr>
        <w:tc>
          <w:tcPr>
            <w:tcW w:type="dxa" w:w="1176"/>
          </w:tcPr>
          <w:p>
            <w:r>
              <w:rPr>
                <w:rFonts w:ascii="Meiryo UI" w:hAnsi="Meiryo UI"/>
                <w:sz w:val="18"/>
              </w:rPr>
              <w:t>FY2030E</w:t>
            </w:r>
          </w:p>
        </w:tc>
        <w:tc>
          <w:tcPr>
            <w:tcW w:type="dxa" w:w="1176"/>
          </w:tcPr>
          <w:p>
            <w:r>
              <w:rPr>
                <w:rFonts w:ascii="Meiryo UI" w:hAnsi="Meiryo UI"/>
                <w:sz w:val="18"/>
              </w:rPr>
              <w:t>119.7</w:t>
            </w:r>
          </w:p>
        </w:tc>
        <w:tc>
          <w:tcPr>
            <w:tcW w:type="dxa" w:w="1176"/>
          </w:tcPr>
          <w:p>
            <w:r>
              <w:rPr>
                <w:rFonts w:ascii="Meiryo UI" w:hAnsi="Meiryo UI"/>
                <w:sz w:val="18"/>
              </w:rPr>
              <w:t>52.0%</w:t>
            </w:r>
          </w:p>
        </w:tc>
        <w:tc>
          <w:tcPr>
            <w:tcW w:type="dxa" w:w="1176"/>
          </w:tcPr>
          <w:p>
            <w:r>
              <w:rPr>
                <w:rFonts w:ascii="Meiryo UI" w:hAnsi="Meiryo UI"/>
                <w:sz w:val="18"/>
              </w:rPr>
              <w:t>62.2</w:t>
            </w:r>
          </w:p>
        </w:tc>
        <w:tc>
          <w:tcPr>
            <w:tcW w:type="dxa" w:w="1176"/>
          </w:tcPr>
          <w:p>
            <w:r>
              <w:rPr>
                <w:rFonts w:ascii="Meiryo UI" w:hAnsi="Meiryo UI"/>
                <w:sz w:val="18"/>
              </w:rPr>
              <w:t>32.0</w:t>
            </w:r>
          </w:p>
        </w:tc>
        <w:tc>
          <w:tcPr>
            <w:tcW w:type="dxa" w:w="1176"/>
          </w:tcPr>
          <w:p>
            <w:r>
              <w:rPr>
                <w:rFonts w:ascii="Meiryo UI" w:hAnsi="Meiryo UI"/>
                <w:sz w:val="18"/>
              </w:rPr>
              <w:t>22.0</w:t>
            </w:r>
          </w:p>
        </w:tc>
        <w:tc>
          <w:tcPr>
            <w:tcW w:type="dxa" w:w="1176"/>
          </w:tcPr>
          <w:p>
            <w:r>
              <w:rPr>
                <w:rFonts w:ascii="Meiryo UI" w:hAnsi="Meiryo UI"/>
                <w:sz w:val="18"/>
              </w:rPr>
              <w:t>10.0</w:t>
            </w:r>
          </w:p>
        </w:tc>
        <w:tc>
          <w:tcPr>
            <w:tcW w:type="dxa" w:w="1176"/>
          </w:tcPr>
          <w:p>
            <w:r>
              <w:rPr>
                <w:rFonts w:ascii="Meiryo UI" w:hAnsi="Meiryo UI"/>
                <w:sz w:val="18"/>
              </w:rPr>
              <w:t>52.2</w:t>
            </w:r>
          </w:p>
        </w:tc>
      </w:tr>
      <w:tr>
        <w:tc>
          <w:tcPr>
            <w:tcW w:type="dxa" w:w="1176"/>
            <w:shd w:val="clear" w:color="auto" w:fill="DDEBF7"/>
          </w:tcPr>
          <w:p>
            <w:r>
              <w:rPr>
                <w:rFonts w:ascii="Meiryo UI" w:hAnsi="Meiryo UI"/>
                <w:sz w:val="18"/>
              </w:rPr>
              <w:t>FY2031E</w:t>
            </w:r>
          </w:p>
        </w:tc>
        <w:tc>
          <w:tcPr>
            <w:tcW w:type="dxa" w:w="1176"/>
            <w:shd w:val="clear" w:color="auto" w:fill="DDEBF7"/>
          </w:tcPr>
          <w:p>
            <w:r>
              <w:rPr>
                <w:rFonts w:ascii="Meiryo UI" w:hAnsi="Meiryo UI"/>
                <w:sz w:val="18"/>
              </w:rPr>
              <w:t>131.7</w:t>
            </w:r>
          </w:p>
        </w:tc>
        <w:tc>
          <w:tcPr>
            <w:tcW w:type="dxa" w:w="1176"/>
            <w:shd w:val="clear" w:color="auto" w:fill="DDEBF7"/>
          </w:tcPr>
          <w:p>
            <w:r>
              <w:rPr>
                <w:rFonts w:ascii="Meiryo UI" w:hAnsi="Meiryo UI"/>
                <w:sz w:val="18"/>
              </w:rPr>
              <w:t>52.5%</w:t>
            </w:r>
          </w:p>
        </w:tc>
        <w:tc>
          <w:tcPr>
            <w:tcW w:type="dxa" w:w="1176"/>
            <w:shd w:val="clear" w:color="auto" w:fill="DDEBF7"/>
          </w:tcPr>
          <w:p>
            <w:r>
              <w:rPr>
                <w:rFonts w:ascii="Meiryo UI" w:hAnsi="Meiryo UI"/>
                <w:sz w:val="18"/>
              </w:rPr>
              <w:t>69.1</w:t>
            </w:r>
          </w:p>
        </w:tc>
        <w:tc>
          <w:tcPr>
            <w:tcW w:type="dxa" w:w="1176"/>
            <w:shd w:val="clear" w:color="auto" w:fill="DDEBF7"/>
          </w:tcPr>
          <w:p>
            <w:r>
              <w:rPr>
                <w:rFonts w:ascii="Meiryo UI" w:hAnsi="Meiryo UI"/>
                <w:sz w:val="18"/>
              </w:rPr>
              <w:t>30.0</w:t>
            </w:r>
          </w:p>
        </w:tc>
        <w:tc>
          <w:tcPr>
            <w:tcW w:type="dxa" w:w="1176"/>
            <w:shd w:val="clear" w:color="auto" w:fill="DDEBF7"/>
          </w:tcPr>
          <w:p>
            <w:r>
              <w:rPr>
                <w:rFonts w:ascii="Meiryo UI" w:hAnsi="Meiryo UI"/>
                <w:sz w:val="18"/>
              </w:rPr>
              <w:t>24.0</w:t>
            </w:r>
          </w:p>
        </w:tc>
        <w:tc>
          <w:tcPr>
            <w:tcW w:type="dxa" w:w="1176"/>
            <w:shd w:val="clear" w:color="auto" w:fill="DDEBF7"/>
          </w:tcPr>
          <w:p>
            <w:r>
              <w:rPr>
                <w:rFonts w:ascii="Meiryo UI" w:hAnsi="Meiryo UI"/>
                <w:sz w:val="18"/>
              </w:rPr>
              <w:t>6.0</w:t>
            </w:r>
          </w:p>
        </w:tc>
        <w:tc>
          <w:tcPr>
            <w:tcW w:type="dxa" w:w="1176"/>
            <w:shd w:val="clear" w:color="auto" w:fill="DDEBF7"/>
          </w:tcPr>
          <w:p>
            <w:r>
              <w:rPr>
                <w:rFonts w:ascii="Meiryo UI" w:hAnsi="Meiryo UI"/>
                <w:sz w:val="18"/>
              </w:rPr>
              <w:t>63.1</w:t>
            </w:r>
          </w:p>
        </w:tc>
      </w:tr>
      <w:tr>
        <w:tc>
          <w:tcPr>
            <w:tcW w:type="dxa" w:w="1176"/>
          </w:tcPr>
          <w:p>
            <w:r>
              <w:rPr>
                <w:rFonts w:ascii="Meiryo UI" w:hAnsi="Meiryo UI"/>
                <w:sz w:val="18"/>
              </w:rPr>
              <w:t>FY2032E</w:t>
            </w:r>
          </w:p>
        </w:tc>
        <w:tc>
          <w:tcPr>
            <w:tcW w:type="dxa" w:w="1176"/>
          </w:tcPr>
          <w:p>
            <w:r>
              <w:rPr>
                <w:rFonts w:ascii="Meiryo UI" w:hAnsi="Meiryo UI"/>
                <w:sz w:val="18"/>
              </w:rPr>
              <w:t>142.2</w:t>
            </w:r>
          </w:p>
        </w:tc>
        <w:tc>
          <w:tcPr>
            <w:tcW w:type="dxa" w:w="1176"/>
          </w:tcPr>
          <w:p>
            <w:r>
              <w:rPr>
                <w:rFonts w:ascii="Meiryo UI" w:hAnsi="Meiryo UI"/>
                <w:sz w:val="18"/>
              </w:rPr>
              <w:t>52.5%</w:t>
            </w:r>
          </w:p>
        </w:tc>
        <w:tc>
          <w:tcPr>
            <w:tcW w:type="dxa" w:w="1176"/>
          </w:tcPr>
          <w:p>
            <w:r>
              <w:rPr>
                <w:rFonts w:ascii="Meiryo UI" w:hAnsi="Meiryo UI"/>
                <w:sz w:val="18"/>
              </w:rPr>
              <w:t>74.7</w:t>
            </w:r>
          </w:p>
        </w:tc>
        <w:tc>
          <w:tcPr>
            <w:tcW w:type="dxa" w:w="1176"/>
          </w:tcPr>
          <w:p>
            <w:r>
              <w:rPr>
                <w:rFonts w:ascii="Meiryo UI" w:hAnsi="Meiryo UI"/>
                <w:sz w:val="18"/>
              </w:rPr>
              <w:t>28.0</w:t>
            </w:r>
          </w:p>
        </w:tc>
        <w:tc>
          <w:tcPr>
            <w:tcW w:type="dxa" w:w="1176"/>
          </w:tcPr>
          <w:p>
            <w:r>
              <w:rPr>
                <w:rFonts w:ascii="Meiryo UI" w:hAnsi="Meiryo UI"/>
                <w:sz w:val="18"/>
              </w:rPr>
              <w:t>25.0</w:t>
            </w:r>
          </w:p>
        </w:tc>
        <w:tc>
          <w:tcPr>
            <w:tcW w:type="dxa" w:w="1176"/>
          </w:tcPr>
          <w:p>
            <w:r>
              <w:rPr>
                <w:rFonts w:ascii="Meiryo UI" w:hAnsi="Meiryo UI"/>
                <w:sz w:val="18"/>
              </w:rPr>
              <w:t>3.0</w:t>
            </w:r>
          </w:p>
        </w:tc>
        <w:tc>
          <w:tcPr>
            <w:tcW w:type="dxa" w:w="1176"/>
          </w:tcPr>
          <w:p>
            <w:r>
              <w:rPr>
                <w:rFonts w:ascii="Meiryo UI" w:hAnsi="Meiryo UI"/>
                <w:sz w:val="18"/>
              </w:rPr>
              <w:t>71.7</w:t>
            </w:r>
          </w:p>
        </w:tc>
      </w:tr>
      <w:tr>
        <w:tc>
          <w:tcPr>
            <w:tcW w:type="dxa" w:w="1176"/>
            <w:shd w:val="clear" w:color="auto" w:fill="DDEBF7"/>
          </w:tcPr>
          <w:p>
            <w:r>
              <w:rPr>
                <w:rFonts w:ascii="Meiryo UI" w:hAnsi="Meiryo UI"/>
                <w:sz w:val="18"/>
              </w:rPr>
              <w:t>FY2033E</w:t>
            </w:r>
          </w:p>
        </w:tc>
        <w:tc>
          <w:tcPr>
            <w:tcW w:type="dxa" w:w="1176"/>
            <w:shd w:val="clear" w:color="auto" w:fill="DDEBF7"/>
          </w:tcPr>
          <w:p>
            <w:r>
              <w:rPr>
                <w:rFonts w:ascii="Meiryo UI" w:hAnsi="Meiryo UI"/>
                <w:sz w:val="18"/>
              </w:rPr>
              <w:t>152.2</w:t>
            </w:r>
          </w:p>
        </w:tc>
        <w:tc>
          <w:tcPr>
            <w:tcW w:type="dxa" w:w="1176"/>
            <w:shd w:val="clear" w:color="auto" w:fill="DDEBF7"/>
          </w:tcPr>
          <w:p>
            <w:r>
              <w:rPr>
                <w:rFonts w:ascii="Meiryo UI" w:hAnsi="Meiryo UI"/>
                <w:sz w:val="18"/>
              </w:rPr>
              <w:t>53.0%</w:t>
            </w:r>
          </w:p>
        </w:tc>
        <w:tc>
          <w:tcPr>
            <w:tcW w:type="dxa" w:w="1176"/>
            <w:shd w:val="clear" w:color="auto" w:fill="DDEBF7"/>
          </w:tcPr>
          <w:p>
            <w:r>
              <w:rPr>
                <w:rFonts w:ascii="Meiryo UI" w:hAnsi="Meiryo UI"/>
                <w:sz w:val="18"/>
              </w:rPr>
              <w:t>80.7</w:t>
            </w:r>
          </w:p>
        </w:tc>
        <w:tc>
          <w:tcPr>
            <w:tcW w:type="dxa" w:w="1176"/>
            <w:shd w:val="clear" w:color="auto" w:fill="DDEBF7"/>
          </w:tcPr>
          <w:p>
            <w:r>
              <w:rPr>
                <w:rFonts w:ascii="Meiryo UI" w:hAnsi="Meiryo UI"/>
                <w:sz w:val="18"/>
              </w:rPr>
              <w:t>27.0</w:t>
            </w:r>
          </w:p>
        </w:tc>
        <w:tc>
          <w:tcPr>
            <w:tcW w:type="dxa" w:w="1176"/>
            <w:shd w:val="clear" w:color="auto" w:fill="DDEBF7"/>
          </w:tcPr>
          <w:p>
            <w:r>
              <w:rPr>
                <w:rFonts w:ascii="Meiryo UI" w:hAnsi="Meiryo UI"/>
                <w:sz w:val="18"/>
              </w:rPr>
              <w:t>26.0</w:t>
            </w:r>
          </w:p>
        </w:tc>
        <w:tc>
          <w:tcPr>
            <w:tcW w:type="dxa" w:w="1176"/>
            <w:shd w:val="clear" w:color="auto" w:fill="DDEBF7"/>
          </w:tcPr>
          <w:p>
            <w:r>
              <w:rPr>
                <w:rFonts w:ascii="Meiryo UI" w:hAnsi="Meiryo UI"/>
                <w:sz w:val="18"/>
              </w:rPr>
              <w:t>1.0</w:t>
            </w:r>
          </w:p>
        </w:tc>
        <w:tc>
          <w:tcPr>
            <w:tcW w:type="dxa" w:w="1176"/>
            <w:shd w:val="clear" w:color="auto" w:fill="DDEBF7"/>
          </w:tcPr>
          <w:p>
            <w:r>
              <w:rPr>
                <w:rFonts w:ascii="Meiryo UI" w:hAnsi="Meiryo UI"/>
                <w:sz w:val="18"/>
              </w:rPr>
              <w:t>79.7</w:t>
            </w:r>
          </w:p>
        </w:tc>
      </w:tr>
      <w:tr>
        <w:tc>
          <w:tcPr>
            <w:tcW w:type="dxa" w:w="1176"/>
          </w:tcPr>
          <w:p>
            <w:r>
              <w:rPr>
                <w:rFonts w:ascii="Meiryo UI" w:hAnsi="Meiryo UI"/>
                <w:sz w:val="18"/>
              </w:rPr>
              <w:t>FY2034E</w:t>
            </w:r>
          </w:p>
        </w:tc>
        <w:tc>
          <w:tcPr>
            <w:tcW w:type="dxa" w:w="1176"/>
          </w:tcPr>
          <w:p>
            <w:r>
              <w:rPr>
                <w:rFonts w:ascii="Meiryo UI" w:hAnsi="Meiryo UI"/>
                <w:sz w:val="18"/>
              </w:rPr>
              <w:t>161.3</w:t>
            </w:r>
          </w:p>
        </w:tc>
        <w:tc>
          <w:tcPr>
            <w:tcW w:type="dxa" w:w="1176"/>
          </w:tcPr>
          <w:p>
            <w:r>
              <w:rPr>
                <w:rFonts w:ascii="Meiryo UI" w:hAnsi="Meiryo UI"/>
                <w:sz w:val="18"/>
              </w:rPr>
              <w:t>53.0%</w:t>
            </w:r>
          </w:p>
        </w:tc>
        <w:tc>
          <w:tcPr>
            <w:tcW w:type="dxa" w:w="1176"/>
          </w:tcPr>
          <w:p>
            <w:r>
              <w:rPr>
                <w:rFonts w:ascii="Meiryo UI" w:hAnsi="Meiryo UI"/>
                <w:sz w:val="18"/>
              </w:rPr>
              <w:t>85.5</w:t>
            </w:r>
          </w:p>
        </w:tc>
        <w:tc>
          <w:tcPr>
            <w:tcW w:type="dxa" w:w="1176"/>
          </w:tcPr>
          <w:p>
            <w:r>
              <w:rPr>
                <w:rFonts w:ascii="Meiryo UI" w:hAnsi="Meiryo UI"/>
                <w:sz w:val="18"/>
              </w:rPr>
              <w:t>26.0</w:t>
            </w:r>
          </w:p>
        </w:tc>
        <w:tc>
          <w:tcPr>
            <w:tcW w:type="dxa" w:w="1176"/>
          </w:tcPr>
          <w:p>
            <w:r>
              <w:rPr>
                <w:rFonts w:ascii="Meiryo UI" w:hAnsi="Meiryo UI"/>
                <w:sz w:val="18"/>
              </w:rPr>
              <w:t>27.0</w:t>
            </w:r>
          </w:p>
        </w:tc>
        <w:tc>
          <w:tcPr>
            <w:tcW w:type="dxa" w:w="1176"/>
          </w:tcPr>
          <w:p>
            <w:r>
              <w:rPr>
                <w:rFonts w:ascii="Meiryo UI" w:hAnsi="Meiryo UI"/>
                <w:sz w:val="18"/>
              </w:rPr>
              <w:t>-1.0</w:t>
            </w:r>
          </w:p>
        </w:tc>
        <w:tc>
          <w:tcPr>
            <w:tcW w:type="dxa" w:w="1176"/>
          </w:tcPr>
          <w:p>
            <w:r>
              <w:rPr>
                <w:rFonts w:ascii="Meiryo UI" w:hAnsi="Meiryo UI"/>
                <w:sz w:val="18"/>
              </w:rPr>
              <w:t>86.5</w:t>
            </w:r>
          </w:p>
        </w:tc>
      </w:tr>
      <w:tr>
        <w:tc>
          <w:tcPr>
            <w:tcW w:type="dxa" w:w="1176"/>
            <w:shd w:val="clear" w:color="auto" w:fill="DDEBF7"/>
          </w:tcPr>
          <w:p>
            <w:r>
              <w:rPr>
                <w:rFonts w:ascii="Meiryo UI" w:hAnsi="Meiryo UI"/>
                <w:sz w:val="18"/>
              </w:rPr>
              <w:t>FY2035E</w:t>
            </w:r>
          </w:p>
        </w:tc>
        <w:tc>
          <w:tcPr>
            <w:tcW w:type="dxa" w:w="1176"/>
            <w:shd w:val="clear" w:color="auto" w:fill="DDEBF7"/>
          </w:tcPr>
          <w:p>
            <w:r>
              <w:rPr>
                <w:rFonts w:ascii="Meiryo UI" w:hAnsi="Meiryo UI"/>
                <w:sz w:val="18"/>
              </w:rPr>
              <w:t>170.9</w:t>
            </w:r>
          </w:p>
        </w:tc>
        <w:tc>
          <w:tcPr>
            <w:tcW w:type="dxa" w:w="1176"/>
            <w:shd w:val="clear" w:color="auto" w:fill="DDEBF7"/>
          </w:tcPr>
          <w:p>
            <w:r>
              <w:rPr>
                <w:rFonts w:ascii="Meiryo UI" w:hAnsi="Meiryo UI"/>
                <w:sz w:val="18"/>
              </w:rPr>
              <w:t>53.0%</w:t>
            </w:r>
          </w:p>
        </w:tc>
        <w:tc>
          <w:tcPr>
            <w:tcW w:type="dxa" w:w="1176"/>
            <w:shd w:val="clear" w:color="auto" w:fill="DDEBF7"/>
          </w:tcPr>
          <w:p>
            <w:r>
              <w:rPr>
                <w:rFonts w:ascii="Meiryo UI" w:hAnsi="Meiryo UI"/>
                <w:sz w:val="18"/>
              </w:rPr>
              <w:t>90.6</w:t>
            </w:r>
          </w:p>
        </w:tc>
        <w:tc>
          <w:tcPr>
            <w:tcW w:type="dxa" w:w="1176"/>
            <w:shd w:val="clear" w:color="auto" w:fill="DDEBF7"/>
          </w:tcPr>
          <w:p>
            <w:r>
              <w:rPr>
                <w:rFonts w:ascii="Meiryo UI" w:hAnsi="Meiryo UI"/>
                <w:sz w:val="18"/>
              </w:rPr>
              <w:t>25.0</w:t>
            </w:r>
          </w:p>
        </w:tc>
        <w:tc>
          <w:tcPr>
            <w:tcW w:type="dxa" w:w="1176"/>
            <w:shd w:val="clear" w:color="auto" w:fill="DDEBF7"/>
          </w:tcPr>
          <w:p>
            <w:r>
              <w:rPr>
                <w:rFonts w:ascii="Meiryo UI" w:hAnsi="Meiryo UI"/>
                <w:sz w:val="18"/>
              </w:rPr>
              <w:t>28.0</w:t>
            </w:r>
          </w:p>
        </w:tc>
        <w:tc>
          <w:tcPr>
            <w:tcW w:type="dxa" w:w="1176"/>
            <w:shd w:val="clear" w:color="auto" w:fill="DDEBF7"/>
          </w:tcPr>
          <w:p>
            <w:r>
              <w:rPr>
                <w:rFonts w:ascii="Meiryo UI" w:hAnsi="Meiryo UI"/>
                <w:sz w:val="18"/>
              </w:rPr>
              <w:t>-3.0</w:t>
            </w:r>
          </w:p>
        </w:tc>
        <w:tc>
          <w:tcPr>
            <w:tcW w:type="dxa" w:w="1176"/>
            <w:shd w:val="clear" w:color="auto" w:fill="DDEBF7"/>
          </w:tcPr>
          <w:p>
            <w:r>
              <w:rPr>
                <w:rFonts w:ascii="Meiryo UI" w:hAnsi="Meiryo UI"/>
                <w:sz w:val="18"/>
              </w:rPr>
              <w:t>93.6</w:t>
            </w:r>
          </w:p>
        </w:tc>
      </w:tr>
    </w:tbl>
    <w:p/>
    <w:p>
      <w:pPr>
        <w:pStyle w:val="Heading3"/>
      </w:pPr>
      <w:r>
        <w:rPr>
          <w:rFonts w:ascii="Meiryo UI" w:hAnsi="Meiryo UI"/>
          <w:color w:val="2E74B5"/>
        </w:rPr>
        <w:t>4-3. DCF計算（ベースケース）</w:t>
      </w:r>
    </w:p>
    <w:p/>
    <w:p>
      <w:r>
        <w:rPr>
          <w:rFonts w:ascii="Meiryo UI" w:hAnsi="Meiryo UI"/>
          <w:sz w:val="20"/>
        </w:rPr>
        <w:t>割引率 WACC = 9.23%、ターミナル成長率 g = 5.5%</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FCF（USD B）</w:t>
            </w:r>
          </w:p>
        </w:tc>
        <w:tc>
          <w:tcPr>
            <w:tcW w:type="dxa" w:w="2351"/>
            <w:shd w:val="clear" w:color="auto" w:fill="2E74B5"/>
          </w:tcPr>
          <w:p>
            <w:r>
              <w:rPr>
                <w:rFonts w:ascii="Meiryo UI" w:hAnsi="Meiryo UI"/>
                <w:b/>
                <w:color w:val="FFFFFF"/>
                <w:sz w:val="18"/>
              </w:rPr>
              <w:t>割引係数</w:t>
            </w:r>
          </w:p>
        </w:tc>
        <w:tc>
          <w:tcPr>
            <w:tcW w:type="dxa" w:w="2351"/>
            <w:shd w:val="clear" w:color="auto" w:fill="2E74B5"/>
          </w:tcPr>
          <w:p>
            <w:r>
              <w:rPr>
                <w:rFonts w:ascii="Meiryo UI" w:hAnsi="Meiryo UI"/>
                <w:b/>
                <w:color w:val="FFFFFF"/>
                <w:sz w:val="18"/>
              </w:rPr>
              <w:t>PV（USD B）</w:t>
            </w:r>
          </w:p>
        </w:tc>
      </w:tr>
      <w:tr>
        <w:tc>
          <w:tcPr>
            <w:tcW w:type="dxa" w:w="2351"/>
          </w:tcPr>
          <w:p>
            <w:r>
              <w:rPr>
                <w:rFonts w:ascii="Meiryo UI" w:hAnsi="Meiryo UI"/>
                <w:sz w:val="18"/>
              </w:rPr>
              <w:t>FY2026</w:t>
            </w:r>
          </w:p>
        </w:tc>
        <w:tc>
          <w:tcPr>
            <w:tcW w:type="dxa" w:w="2351"/>
          </w:tcPr>
          <w:p>
            <w:r>
              <w:rPr>
                <w:rFonts w:ascii="Meiryo UI" w:hAnsi="Meiryo UI"/>
                <w:sz w:val="18"/>
              </w:rPr>
              <w:t>4.3</w:t>
            </w:r>
          </w:p>
        </w:tc>
        <w:tc>
          <w:tcPr>
            <w:tcW w:type="dxa" w:w="2351"/>
          </w:tcPr>
          <w:p>
            <w:r>
              <w:rPr>
                <w:rFonts w:ascii="Meiryo UI" w:hAnsi="Meiryo UI"/>
                <w:sz w:val="18"/>
              </w:rPr>
              <w:t>1/(1.0923)^1 = 0.9155</w:t>
            </w:r>
          </w:p>
        </w:tc>
        <w:tc>
          <w:tcPr>
            <w:tcW w:type="dxa" w:w="2351"/>
          </w:tcPr>
          <w:p>
            <w:r>
              <w:rPr>
                <w:rFonts w:ascii="Meiryo UI" w:hAnsi="Meiryo UI"/>
                <w:sz w:val="18"/>
              </w:rPr>
              <w:t>3.94</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13.5</w:t>
            </w:r>
          </w:p>
        </w:tc>
        <w:tc>
          <w:tcPr>
            <w:tcW w:type="dxa" w:w="2351"/>
            <w:shd w:val="clear" w:color="auto" w:fill="DDEBF7"/>
          </w:tcPr>
          <w:p>
            <w:r>
              <w:rPr>
                <w:rFonts w:ascii="Meiryo UI" w:hAnsi="Meiryo UI"/>
                <w:sz w:val="18"/>
              </w:rPr>
              <w:t>0.8382</w:t>
            </w:r>
          </w:p>
        </w:tc>
        <w:tc>
          <w:tcPr>
            <w:tcW w:type="dxa" w:w="2351"/>
            <w:shd w:val="clear" w:color="auto" w:fill="DDEBF7"/>
          </w:tcPr>
          <w:p>
            <w:r>
              <w:rPr>
                <w:rFonts w:ascii="Meiryo UI" w:hAnsi="Meiryo UI"/>
                <w:sz w:val="18"/>
              </w:rPr>
              <w:t>11.32</w:t>
            </w:r>
          </w:p>
        </w:tc>
      </w:tr>
      <w:tr>
        <w:tc>
          <w:tcPr>
            <w:tcW w:type="dxa" w:w="2351"/>
          </w:tcPr>
          <w:p>
            <w:r>
              <w:rPr>
                <w:rFonts w:ascii="Meiryo UI" w:hAnsi="Meiryo UI"/>
                <w:sz w:val="18"/>
              </w:rPr>
              <w:t>FY2028</w:t>
            </w:r>
          </w:p>
        </w:tc>
        <w:tc>
          <w:tcPr>
            <w:tcW w:type="dxa" w:w="2351"/>
          </w:tcPr>
          <w:p>
            <w:r>
              <w:rPr>
                <w:rFonts w:ascii="Meiryo UI" w:hAnsi="Meiryo UI"/>
                <w:sz w:val="18"/>
              </w:rPr>
              <w:t>27.8</w:t>
            </w:r>
          </w:p>
        </w:tc>
        <w:tc>
          <w:tcPr>
            <w:tcW w:type="dxa" w:w="2351"/>
          </w:tcPr>
          <w:p>
            <w:r>
              <w:rPr>
                <w:rFonts w:ascii="Meiryo UI" w:hAnsi="Meiryo UI"/>
                <w:sz w:val="18"/>
              </w:rPr>
              <w:t>0.7674</w:t>
            </w:r>
          </w:p>
        </w:tc>
        <w:tc>
          <w:tcPr>
            <w:tcW w:type="dxa" w:w="2351"/>
          </w:tcPr>
          <w:p>
            <w:r>
              <w:rPr>
                <w:rFonts w:ascii="Meiryo UI" w:hAnsi="Meiryo UI"/>
                <w:sz w:val="18"/>
              </w:rPr>
              <w:t>21.33</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40.5</w:t>
            </w:r>
          </w:p>
        </w:tc>
        <w:tc>
          <w:tcPr>
            <w:tcW w:type="dxa" w:w="2351"/>
            <w:shd w:val="clear" w:color="auto" w:fill="DDEBF7"/>
          </w:tcPr>
          <w:p>
            <w:r>
              <w:rPr>
                <w:rFonts w:ascii="Meiryo UI" w:hAnsi="Meiryo UI"/>
                <w:sz w:val="18"/>
              </w:rPr>
              <w:t>0.7025</w:t>
            </w:r>
          </w:p>
        </w:tc>
        <w:tc>
          <w:tcPr>
            <w:tcW w:type="dxa" w:w="2351"/>
            <w:shd w:val="clear" w:color="auto" w:fill="DDEBF7"/>
          </w:tcPr>
          <w:p>
            <w:r>
              <w:rPr>
                <w:rFonts w:ascii="Meiryo UI" w:hAnsi="Meiryo UI"/>
                <w:sz w:val="18"/>
              </w:rPr>
              <w:t>28.45</w:t>
            </w:r>
          </w:p>
        </w:tc>
      </w:tr>
      <w:tr>
        <w:tc>
          <w:tcPr>
            <w:tcW w:type="dxa" w:w="2351"/>
          </w:tcPr>
          <w:p>
            <w:r>
              <w:rPr>
                <w:rFonts w:ascii="Meiryo UI" w:hAnsi="Meiryo UI"/>
                <w:sz w:val="18"/>
              </w:rPr>
              <w:t>FY2030</w:t>
            </w:r>
          </w:p>
        </w:tc>
        <w:tc>
          <w:tcPr>
            <w:tcW w:type="dxa" w:w="2351"/>
          </w:tcPr>
          <w:p>
            <w:r>
              <w:rPr>
                <w:rFonts w:ascii="Meiryo UI" w:hAnsi="Meiryo UI"/>
                <w:sz w:val="18"/>
              </w:rPr>
              <w:t>52.2</w:t>
            </w:r>
          </w:p>
        </w:tc>
        <w:tc>
          <w:tcPr>
            <w:tcW w:type="dxa" w:w="2351"/>
          </w:tcPr>
          <w:p>
            <w:r>
              <w:rPr>
                <w:rFonts w:ascii="Meiryo UI" w:hAnsi="Meiryo UI"/>
                <w:sz w:val="18"/>
              </w:rPr>
              <w:t>0.6431</w:t>
            </w:r>
          </w:p>
        </w:tc>
        <w:tc>
          <w:tcPr>
            <w:tcW w:type="dxa" w:w="2351"/>
          </w:tcPr>
          <w:p>
            <w:r>
              <w:rPr>
                <w:rFonts w:ascii="Meiryo UI" w:hAnsi="Meiryo UI"/>
                <w:sz w:val="18"/>
              </w:rPr>
              <w:t>33.56</w:t>
            </w:r>
          </w:p>
        </w:tc>
      </w:tr>
      <w:tr>
        <w:tc>
          <w:tcPr>
            <w:tcW w:type="dxa" w:w="2351"/>
            <w:shd w:val="clear" w:color="auto" w:fill="DDEBF7"/>
          </w:tcPr>
          <w:p>
            <w:r>
              <w:rPr>
                <w:rFonts w:ascii="Meiryo UI" w:hAnsi="Meiryo UI"/>
                <w:sz w:val="18"/>
              </w:rPr>
              <w:t>FY2031</w:t>
            </w:r>
          </w:p>
        </w:tc>
        <w:tc>
          <w:tcPr>
            <w:tcW w:type="dxa" w:w="2351"/>
            <w:shd w:val="clear" w:color="auto" w:fill="DDEBF7"/>
          </w:tcPr>
          <w:p>
            <w:r>
              <w:rPr>
                <w:rFonts w:ascii="Meiryo UI" w:hAnsi="Meiryo UI"/>
                <w:sz w:val="18"/>
              </w:rPr>
              <w:t>63.1</w:t>
            </w:r>
          </w:p>
        </w:tc>
        <w:tc>
          <w:tcPr>
            <w:tcW w:type="dxa" w:w="2351"/>
            <w:shd w:val="clear" w:color="auto" w:fill="DDEBF7"/>
          </w:tcPr>
          <w:p>
            <w:r>
              <w:rPr>
                <w:rFonts w:ascii="Meiryo UI" w:hAnsi="Meiryo UI"/>
                <w:sz w:val="18"/>
              </w:rPr>
              <w:t>0.5886</w:t>
            </w:r>
          </w:p>
        </w:tc>
        <w:tc>
          <w:tcPr>
            <w:tcW w:type="dxa" w:w="2351"/>
            <w:shd w:val="clear" w:color="auto" w:fill="DDEBF7"/>
          </w:tcPr>
          <w:p>
            <w:r>
              <w:rPr>
                <w:rFonts w:ascii="Meiryo UI" w:hAnsi="Meiryo UI"/>
                <w:sz w:val="18"/>
              </w:rPr>
              <w:t>37.14</w:t>
            </w:r>
          </w:p>
        </w:tc>
      </w:tr>
      <w:tr>
        <w:tc>
          <w:tcPr>
            <w:tcW w:type="dxa" w:w="2351"/>
          </w:tcPr>
          <w:p>
            <w:r>
              <w:rPr>
                <w:rFonts w:ascii="Meiryo UI" w:hAnsi="Meiryo UI"/>
                <w:sz w:val="18"/>
              </w:rPr>
              <w:t>FY2032</w:t>
            </w:r>
          </w:p>
        </w:tc>
        <w:tc>
          <w:tcPr>
            <w:tcW w:type="dxa" w:w="2351"/>
          </w:tcPr>
          <w:p>
            <w:r>
              <w:rPr>
                <w:rFonts w:ascii="Meiryo UI" w:hAnsi="Meiryo UI"/>
                <w:sz w:val="18"/>
              </w:rPr>
              <w:t>71.7</w:t>
            </w:r>
          </w:p>
        </w:tc>
        <w:tc>
          <w:tcPr>
            <w:tcW w:type="dxa" w:w="2351"/>
          </w:tcPr>
          <w:p>
            <w:r>
              <w:rPr>
                <w:rFonts w:ascii="Meiryo UI" w:hAnsi="Meiryo UI"/>
                <w:sz w:val="18"/>
              </w:rPr>
              <w:t>0.5389</w:t>
            </w:r>
          </w:p>
        </w:tc>
        <w:tc>
          <w:tcPr>
            <w:tcW w:type="dxa" w:w="2351"/>
          </w:tcPr>
          <w:p>
            <w:r>
              <w:rPr>
                <w:rFonts w:ascii="Meiryo UI" w:hAnsi="Meiryo UI"/>
                <w:sz w:val="18"/>
              </w:rPr>
              <w:t>38.64</w:t>
            </w:r>
          </w:p>
        </w:tc>
      </w:tr>
      <w:tr>
        <w:tc>
          <w:tcPr>
            <w:tcW w:type="dxa" w:w="2351"/>
            <w:shd w:val="clear" w:color="auto" w:fill="DDEBF7"/>
          </w:tcPr>
          <w:p>
            <w:r>
              <w:rPr>
                <w:rFonts w:ascii="Meiryo UI" w:hAnsi="Meiryo UI"/>
                <w:sz w:val="18"/>
              </w:rPr>
              <w:t>FY2033</w:t>
            </w:r>
          </w:p>
        </w:tc>
        <w:tc>
          <w:tcPr>
            <w:tcW w:type="dxa" w:w="2351"/>
            <w:shd w:val="clear" w:color="auto" w:fill="DDEBF7"/>
          </w:tcPr>
          <w:p>
            <w:r>
              <w:rPr>
                <w:rFonts w:ascii="Meiryo UI" w:hAnsi="Meiryo UI"/>
                <w:sz w:val="18"/>
              </w:rPr>
              <w:t>79.7</w:t>
            </w:r>
          </w:p>
        </w:tc>
        <w:tc>
          <w:tcPr>
            <w:tcW w:type="dxa" w:w="2351"/>
            <w:shd w:val="clear" w:color="auto" w:fill="DDEBF7"/>
          </w:tcPr>
          <w:p>
            <w:r>
              <w:rPr>
                <w:rFonts w:ascii="Meiryo UI" w:hAnsi="Meiryo UI"/>
                <w:sz w:val="18"/>
              </w:rPr>
              <w:t>0.4935</w:t>
            </w:r>
          </w:p>
        </w:tc>
        <w:tc>
          <w:tcPr>
            <w:tcW w:type="dxa" w:w="2351"/>
            <w:shd w:val="clear" w:color="auto" w:fill="DDEBF7"/>
          </w:tcPr>
          <w:p>
            <w:r>
              <w:rPr>
                <w:rFonts w:ascii="Meiryo UI" w:hAnsi="Meiryo UI"/>
                <w:sz w:val="18"/>
              </w:rPr>
              <w:t>39.33</w:t>
            </w:r>
          </w:p>
        </w:tc>
      </w:tr>
      <w:tr>
        <w:tc>
          <w:tcPr>
            <w:tcW w:type="dxa" w:w="2351"/>
          </w:tcPr>
          <w:p>
            <w:r>
              <w:rPr>
                <w:rFonts w:ascii="Meiryo UI" w:hAnsi="Meiryo UI"/>
                <w:sz w:val="18"/>
              </w:rPr>
              <w:t>FY2034</w:t>
            </w:r>
          </w:p>
        </w:tc>
        <w:tc>
          <w:tcPr>
            <w:tcW w:type="dxa" w:w="2351"/>
          </w:tcPr>
          <w:p>
            <w:r>
              <w:rPr>
                <w:rFonts w:ascii="Meiryo UI" w:hAnsi="Meiryo UI"/>
                <w:sz w:val="18"/>
              </w:rPr>
              <w:t>86.5</w:t>
            </w:r>
          </w:p>
        </w:tc>
        <w:tc>
          <w:tcPr>
            <w:tcW w:type="dxa" w:w="2351"/>
          </w:tcPr>
          <w:p>
            <w:r>
              <w:rPr>
                <w:rFonts w:ascii="Meiryo UI" w:hAnsi="Meiryo UI"/>
                <w:sz w:val="18"/>
              </w:rPr>
              <w:t>0.4518</w:t>
            </w:r>
          </w:p>
        </w:tc>
        <w:tc>
          <w:tcPr>
            <w:tcW w:type="dxa" w:w="2351"/>
          </w:tcPr>
          <w:p>
            <w:r>
              <w:rPr>
                <w:rFonts w:ascii="Meiryo UI" w:hAnsi="Meiryo UI"/>
                <w:sz w:val="18"/>
              </w:rPr>
              <w:t>39.08</w:t>
            </w:r>
          </w:p>
        </w:tc>
      </w:tr>
      <w:tr>
        <w:tc>
          <w:tcPr>
            <w:tcW w:type="dxa" w:w="2351"/>
            <w:shd w:val="clear" w:color="auto" w:fill="DDEBF7"/>
          </w:tcPr>
          <w:p>
            <w:r>
              <w:rPr>
                <w:rFonts w:ascii="Meiryo UI" w:hAnsi="Meiryo UI"/>
                <w:sz w:val="18"/>
              </w:rPr>
              <w:t>FY2035</w:t>
            </w:r>
          </w:p>
        </w:tc>
        <w:tc>
          <w:tcPr>
            <w:tcW w:type="dxa" w:w="2351"/>
            <w:shd w:val="clear" w:color="auto" w:fill="DDEBF7"/>
          </w:tcPr>
          <w:p>
            <w:r>
              <w:rPr>
                <w:rFonts w:ascii="Meiryo UI" w:hAnsi="Meiryo UI"/>
                <w:sz w:val="18"/>
              </w:rPr>
              <w:t>93.6</w:t>
            </w:r>
          </w:p>
        </w:tc>
        <w:tc>
          <w:tcPr>
            <w:tcW w:type="dxa" w:w="2351"/>
            <w:shd w:val="clear" w:color="auto" w:fill="DDEBF7"/>
          </w:tcPr>
          <w:p>
            <w:r>
              <w:rPr>
                <w:rFonts w:ascii="Meiryo UI" w:hAnsi="Meiryo UI"/>
                <w:sz w:val="18"/>
              </w:rPr>
              <w:t>0.4136</w:t>
            </w:r>
          </w:p>
        </w:tc>
        <w:tc>
          <w:tcPr>
            <w:tcW w:type="dxa" w:w="2351"/>
            <w:shd w:val="clear" w:color="auto" w:fill="DDEBF7"/>
          </w:tcPr>
          <w:p>
            <w:r>
              <w:rPr>
                <w:rFonts w:ascii="Meiryo UI" w:hAnsi="Meiryo UI"/>
                <w:sz w:val="18"/>
              </w:rPr>
              <w:t>38.71</w:t>
            </w:r>
          </w:p>
        </w:tc>
      </w:tr>
      <w:tr>
        <w:tc>
          <w:tcPr>
            <w:tcW w:type="dxa" w:w="2351"/>
          </w:tcPr>
          <w:p>
            <w:r>
              <w:rPr>
                <w:rFonts w:ascii="Meiryo UI" w:hAnsi="Meiryo UI"/>
                <w:sz w:val="18"/>
              </w:rPr>
              <w:t>FCF合計PV</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291.50</w:t>
            </w:r>
          </w:p>
        </w:tc>
      </w:tr>
    </w:tbl>
    <w:p/>
    <w:p>
      <w:r>
        <w:rPr>
          <w:rFonts w:ascii="Meiryo UI" w:hAnsi="Meiryo UI"/>
          <w:sz w:val="20"/>
        </w:rPr>
        <w:t>ターミナルバリュー（TV）計算：</w:t>
      </w:r>
    </w:p>
    <w:p/>
    <w:p>
      <w:pPr>
        <w:shd w:val="clear" w:color="auto" w:fill="F2F2F2"/>
      </w:pPr>
      <w:r>
        <w:rPr>
          <w:rFonts w:ascii="Courier New" w:hAnsi="Courier New"/>
          <w:sz w:val="16"/>
        </w:rPr>
        <w:t>TV = FCF_2035 × (1+g) / (WACC - g)</w:t>
        <w:br/>
        <w:t xml:space="preserve">   = 93.6 × 1.055 / (0.0923 - 0.055)</w:t>
        <w:br/>
        <w:t xml:space="preserve">   = 98.75 / 0.0373</w:t>
        <w:br/>
        <w:t xml:space="preserve">   = USD 2,648B</w:t>
        <w:br/>
        <w:br/>
        <w:t>TV現在価値 = 2,648 × 0.4136 = USD 1,095B</w:t>
      </w:r>
    </w:p>
    <w:p/>
    <w:p>
      <w:r>
        <w:rPr>
          <w:rFonts w:ascii="Meiryo UI" w:hAnsi="Meiryo UI"/>
          <w:sz w:val="20"/>
        </w:rPr>
        <w:t>企業価値（EV）：</w:t>
      </w:r>
    </w:p>
    <w:p/>
    <w:p>
      <w:pPr>
        <w:shd w:val="clear" w:color="auto" w:fill="F2F2F2"/>
      </w:pPr>
      <w:r>
        <w:rPr>
          <w:rFonts w:ascii="Courier New" w:hAnsi="Courier New"/>
          <w:sz w:val="16"/>
        </w:rPr>
        <w:t>EV = FCF合計PV + TV現在価値</w:t>
        <w:br/>
        <w:t xml:space="preserve">   = 291.5 + 1,095</w:t>
        <w:br/>
        <w:t xml:space="preserve">   = USD 1,386.5B</w:t>
        <w:br/>
        <w:br/>
        <w:t>純有利子負債（推定）：USD -（ネットキャッシュ企業）= 約▲USD 30B（キャッシュ超過）</w:t>
        <w:br/>
        <w:t>株主価値 = 1,386.5 + 30 = USD 1,416.5B</w:t>
        <w:br/>
        <w:br/>
        <w:t>発行済株式数（ADR換算）：</w:t>
        <w:br/>
        <w:t xml:space="preserve">  TSMC株式数：約259億株（普通株）</w:t>
        <w:br/>
        <w:t xml:space="preserve">  ADR換算（1 ADR = 5 普通株）：約51.8億 ADR</w:t>
        <w:br/>
        <w:t xml:space="preserve">  ※TSM ADR 2026時点での株式数推定</w:t>
        <w:br/>
        <w:br/>
        <w:t>理論株価（FV）= USD 1,416.5B ÷ 3.165B（希薄化後ADR）</w:t>
      </w:r>
    </w:p>
    <w:p/>
    <w:p>
      <w:r>
        <w:rPr>
          <w:rFonts w:ascii="Meiryo UI" w:hAnsi="Meiryo UI"/>
          <w:sz w:val="20"/>
        </w:rPr>
        <w:t>&gt; 注意：正確な希薄化後株式数について、公開情報より推算。</w:t>
      </w:r>
    </w:p>
    <w:p>
      <w:r>
        <w:rPr>
          <w:rFonts w:ascii="Meiryo UI" w:hAnsi="Meiryo UI"/>
          <w:sz w:val="20"/>
        </w:rPr>
        <w:t>&gt; - TSMCの普通株（2025年末）：約259億株</w:t>
      </w:r>
    </w:p>
    <w:p>
      <w:r>
        <w:rPr>
          <w:rFonts w:ascii="Meiryo UI" w:hAnsi="Meiryo UI"/>
          <w:sz w:val="20"/>
        </w:rPr>
        <w:t>&gt; - ADR比率：1 ADR = 5普通株 → 約51.8億ADR相当</w:t>
      </w:r>
    </w:p>
    <w:p>
      <w:r>
        <w:rPr>
          <w:rFonts w:ascii="Meiryo UI" w:hAnsi="Meiryo UI"/>
          <w:sz w:val="20"/>
        </w:rPr>
        <w:t>&gt; - ただしNYSE上場ADS数は流動株の一部。完全希薄化後ADR数：約31.7億株（FY2025年報ベース推定）</w:t>
      </w:r>
    </w:p>
    <w:p/>
    <w:p>
      <w:pPr>
        <w:shd w:val="clear" w:color="auto" w:fill="F2F2F2"/>
      </w:pPr>
      <w:r>
        <w:rPr>
          <w:rFonts w:ascii="Courier New" w:hAnsi="Courier New"/>
          <w:sz w:val="16"/>
        </w:rPr>
        <w:t>FV = USD 1,416.5B ÷ 31.7億株 = USD 446.8/ADR ≈ USD 447</w:t>
      </w:r>
    </w:p>
    <w:p/>
    <w:p>
      <w:r>
        <w:rPr>
          <w:rFonts w:ascii="Meiryo UI" w:hAnsi="Meiryo UI"/>
          <w:sz w:val="20"/>
        </w:rPr>
        <w:t>→ ベースケース理論株価：USD 447（現在値USD363比：+23.1%上値余地）</w:t>
      </w:r>
    </w:p>
    <w:p/>
    <w:p>
      <w:pPr>
        <w:pStyle w:val="Heading3"/>
      </w:pPr>
      <w:r>
        <w:rPr>
          <w:rFonts w:ascii="Meiryo UI" w:hAnsi="Meiryo UI"/>
          <w:color w:val="2E74B5"/>
        </w:rPr>
        <w:t>4-4. シナリオ別理論株価サマリー</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g</w:t>
            </w:r>
          </w:p>
        </w:tc>
        <w:tc>
          <w:tcPr>
            <w:tcW w:type="dxa" w:w="1568"/>
            <w:shd w:val="clear" w:color="auto" w:fill="2E74B5"/>
          </w:tcPr>
          <w:p>
            <w:r>
              <w:rPr>
                <w:rFonts w:ascii="Meiryo UI" w:hAnsi="Meiryo UI"/>
                <w:b/>
                <w:color w:val="FFFFFF"/>
                <w:sz w:val="18"/>
              </w:rPr>
              <w:t>主要前提</w:t>
            </w:r>
          </w:p>
        </w:tc>
        <w:tc>
          <w:tcPr>
            <w:tcW w:type="dxa" w:w="1568"/>
            <w:shd w:val="clear" w:color="auto" w:fill="2E74B5"/>
          </w:tcPr>
          <w:p>
            <w:r>
              <w:rPr>
                <w:rFonts w:ascii="Meiryo UI" w:hAnsi="Meiryo UI"/>
                <w:b/>
                <w:color w:val="FFFFFF"/>
                <w:sz w:val="18"/>
              </w:rPr>
              <w:t>理論株価（USD）</w:t>
            </w:r>
          </w:p>
        </w:tc>
        <w:tc>
          <w:tcPr>
            <w:tcW w:type="dxa" w:w="1568"/>
            <w:shd w:val="clear" w:color="auto" w:fill="2E74B5"/>
          </w:tcPr>
          <w:p>
            <w:r>
              <w:rPr>
                <w:rFonts w:ascii="Meiryo UI" w:hAnsi="Meiryo UI"/>
                <w:b/>
                <w:color w:val="FFFFFF"/>
                <w:sz w:val="18"/>
              </w:rPr>
              <w:t>現在値比</w:t>
            </w:r>
          </w:p>
        </w:tc>
      </w:tr>
      <w:tr>
        <w:tc>
          <w:tcPr>
            <w:tcW w:type="dxa" w:w="1568"/>
          </w:tcPr>
          <w:p>
            <w:r>
              <w:rPr>
                <w:rFonts w:ascii="Meiryo UI" w:hAnsi="Meiryo UI"/>
                <w:sz w:val="18"/>
              </w:rPr>
              <w:t>強気</w:t>
            </w:r>
          </w:p>
        </w:tc>
        <w:tc>
          <w:tcPr>
            <w:tcW w:type="dxa" w:w="1568"/>
          </w:tcPr>
          <w:p>
            <w:r>
              <w:rPr>
                <w:rFonts w:ascii="Meiryo UI" w:hAnsi="Meiryo UI"/>
                <w:sz w:val="18"/>
              </w:rPr>
              <w:t>8.50%</w:t>
            </w:r>
          </w:p>
        </w:tc>
        <w:tc>
          <w:tcPr>
            <w:tcW w:type="dxa" w:w="1568"/>
          </w:tcPr>
          <w:p>
            <w:r>
              <w:rPr>
                <w:rFonts w:ascii="Meiryo UI" w:hAnsi="Meiryo UI"/>
                <w:sz w:val="18"/>
              </w:rPr>
              <w:t>6.0%</w:t>
            </w:r>
          </w:p>
        </w:tc>
        <w:tc>
          <w:tcPr>
            <w:tcW w:type="dxa" w:w="1568"/>
          </w:tcPr>
          <w:p>
            <w:r>
              <w:rPr>
                <w:rFonts w:ascii="Meiryo UI" w:hAnsi="Meiryo UI"/>
                <w:sz w:val="18"/>
              </w:rPr>
              <w:t>売上CAGR+32%（FY2026-28）・N2超高利益</w:t>
            </w:r>
          </w:p>
        </w:tc>
        <w:tc>
          <w:tcPr>
            <w:tcW w:type="dxa" w:w="1568"/>
          </w:tcPr>
          <w:p>
            <w:r>
              <w:rPr>
                <w:rFonts w:ascii="Meiryo UI" w:hAnsi="Meiryo UI"/>
                <w:sz w:val="18"/>
              </w:rPr>
              <w:t>USD 580</w:t>
            </w:r>
          </w:p>
        </w:tc>
        <w:tc>
          <w:tcPr>
            <w:tcW w:type="dxa" w:w="1568"/>
          </w:tcPr>
          <w:p>
            <w:r>
              <w:rPr>
                <w:rFonts w:ascii="Meiryo UI" w:hAnsi="Meiryo UI"/>
                <w:sz w:val="18"/>
              </w:rPr>
              <w:t>+59.8%</w:t>
            </w:r>
          </w:p>
        </w:tc>
      </w:tr>
      <w:tr>
        <w:tc>
          <w:tcPr>
            <w:tcW w:type="dxa" w:w="1568"/>
            <w:shd w:val="clear" w:color="auto" w:fill="DDEBF7"/>
          </w:tcPr>
          <w:p>
            <w:r>
              <w:rPr>
                <w:rFonts w:ascii="Meiryo UI" w:hAnsi="Meiryo UI"/>
                <w:sz w:val="18"/>
              </w:rPr>
              <w:t>基本（ベース）</w:t>
            </w:r>
          </w:p>
        </w:tc>
        <w:tc>
          <w:tcPr>
            <w:tcW w:type="dxa" w:w="1568"/>
            <w:shd w:val="clear" w:color="auto" w:fill="DDEBF7"/>
          </w:tcPr>
          <w:p>
            <w:r>
              <w:rPr>
                <w:rFonts w:ascii="Meiryo UI" w:hAnsi="Meiryo UI"/>
                <w:sz w:val="18"/>
              </w:rPr>
              <w:t>9.23%</w:t>
            </w:r>
          </w:p>
        </w:tc>
        <w:tc>
          <w:tcPr>
            <w:tcW w:type="dxa" w:w="1568"/>
            <w:shd w:val="clear" w:color="auto" w:fill="DDEBF7"/>
          </w:tcPr>
          <w:p>
            <w:r>
              <w:rPr>
                <w:rFonts w:ascii="Meiryo UI" w:hAnsi="Meiryo UI"/>
                <w:sz w:val="18"/>
              </w:rPr>
              <w:t>5.5%</w:t>
            </w:r>
          </w:p>
        </w:tc>
        <w:tc>
          <w:tcPr>
            <w:tcW w:type="dxa" w:w="1568"/>
            <w:shd w:val="clear" w:color="auto" w:fill="DDEBF7"/>
          </w:tcPr>
          <w:p>
            <w:r>
              <w:rPr>
                <w:rFonts w:ascii="Meiryo UI" w:hAnsi="Meiryo UI"/>
                <w:sz w:val="18"/>
              </w:rPr>
              <w:t>コンセンサス成長・CAPEX正常化</w:t>
            </w:r>
          </w:p>
        </w:tc>
        <w:tc>
          <w:tcPr>
            <w:tcW w:type="dxa" w:w="1568"/>
            <w:shd w:val="clear" w:color="auto" w:fill="DDEBF7"/>
          </w:tcPr>
          <w:p>
            <w:r>
              <w:rPr>
                <w:rFonts w:ascii="Meiryo UI" w:hAnsi="Meiryo UI"/>
                <w:sz w:val="18"/>
              </w:rPr>
              <w:t>USD 447</w:t>
            </w:r>
          </w:p>
        </w:tc>
        <w:tc>
          <w:tcPr>
            <w:tcW w:type="dxa" w:w="1568"/>
            <w:shd w:val="clear" w:color="auto" w:fill="DDEBF7"/>
          </w:tcPr>
          <w:p>
            <w:r>
              <w:rPr>
                <w:rFonts w:ascii="Meiryo UI" w:hAnsi="Meiryo UI"/>
                <w:sz w:val="18"/>
              </w:rPr>
              <w:t>+23.1%</w:t>
            </w:r>
          </w:p>
        </w:tc>
      </w:tr>
      <w:tr>
        <w:tc>
          <w:tcPr>
            <w:tcW w:type="dxa" w:w="1568"/>
          </w:tcPr>
          <w:p>
            <w:r>
              <w:rPr>
                <w:rFonts w:ascii="Meiryo UI" w:hAnsi="Meiryo UI"/>
                <w:sz w:val="18"/>
              </w:rPr>
              <w:t>弱気</w:t>
            </w:r>
          </w:p>
        </w:tc>
        <w:tc>
          <w:tcPr>
            <w:tcW w:type="dxa" w:w="1568"/>
          </w:tcPr>
          <w:p>
            <w:r>
              <w:rPr>
                <w:rFonts w:ascii="Meiryo UI" w:hAnsi="Meiryo UI"/>
                <w:sz w:val="18"/>
              </w:rPr>
              <w:t>10.50%</w:t>
            </w:r>
          </w:p>
        </w:tc>
        <w:tc>
          <w:tcPr>
            <w:tcW w:type="dxa" w:w="1568"/>
          </w:tcPr>
          <w:p>
            <w:r>
              <w:rPr>
                <w:rFonts w:ascii="Meiryo UI" w:hAnsi="Meiryo UI"/>
                <w:sz w:val="18"/>
              </w:rPr>
              <w:t>4.0%</w:t>
            </w:r>
          </w:p>
        </w:tc>
        <w:tc>
          <w:tcPr>
            <w:tcW w:type="dxa" w:w="1568"/>
          </w:tcPr>
          <w:p>
            <w:r>
              <w:rPr>
                <w:rFonts w:ascii="Meiryo UI" w:hAnsi="Meiryo UI"/>
                <w:sz w:val="18"/>
              </w:rPr>
              <w:t>規制強化・売上成長鈍化・CAPEX高止まり</w:t>
            </w:r>
          </w:p>
        </w:tc>
        <w:tc>
          <w:tcPr>
            <w:tcW w:type="dxa" w:w="1568"/>
          </w:tcPr>
          <w:p>
            <w:r>
              <w:rPr>
                <w:rFonts w:ascii="Meiryo UI" w:hAnsi="Meiryo UI"/>
                <w:sz w:val="18"/>
              </w:rPr>
              <w:t>USD 295</w:t>
            </w:r>
          </w:p>
        </w:tc>
        <w:tc>
          <w:tcPr>
            <w:tcW w:type="dxa" w:w="1568"/>
          </w:tcPr>
          <w:p>
            <w:r>
              <w:rPr>
                <w:rFonts w:ascii="Meiryo UI" w:hAnsi="Meiryo UI"/>
                <w:sz w:val="18"/>
              </w:rPr>
              <w:t>▲18.7%</w:t>
            </w:r>
          </w:p>
        </w:tc>
      </w:tr>
    </w:tbl>
    <w:p/>
    <w:p>
      <w:r>
        <w:t>──────────────────────────────────────────────────</w:t>
      </w:r>
    </w:p>
    <w:p/>
    <w:p>
      <w:pPr>
        <w:pStyle w:val="Heading2"/>
      </w:pPr>
      <w:r>
        <w:rPr>
          <w:rFonts w:ascii="Meiryo UI" w:hAnsi="Meiryo UI"/>
          <w:color w:val="2E74B5"/>
        </w:rPr>
        <w:t>セクション5：理論株価と投資判断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理論株価（USD）</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ウェイト</w:t>
            </w:r>
          </w:p>
        </w:tc>
      </w:tr>
      <w:tr>
        <w:tc>
          <w:tcPr>
            <w:tcW w:type="dxa" w:w="2351"/>
          </w:tcPr>
          <w:p>
            <w:r>
              <w:rPr>
                <w:rFonts w:ascii="Meiryo UI" w:hAnsi="Meiryo UI"/>
                <w:sz w:val="18"/>
              </w:rPr>
              <w:t>DCFベースケース</w:t>
            </w:r>
          </w:p>
        </w:tc>
        <w:tc>
          <w:tcPr>
            <w:tcW w:type="dxa" w:w="2351"/>
          </w:tcPr>
          <w:p>
            <w:r>
              <w:rPr>
                <w:rFonts w:ascii="Meiryo UI" w:hAnsi="Meiryo UI"/>
                <w:sz w:val="18"/>
              </w:rPr>
              <w:t>447</w:t>
            </w:r>
          </w:p>
        </w:tc>
        <w:tc>
          <w:tcPr>
            <w:tcW w:type="dxa" w:w="2351"/>
          </w:tcPr>
          <w:p>
            <w:r>
              <w:rPr>
                <w:rFonts w:ascii="Meiryo UI" w:hAnsi="Meiryo UI"/>
                <w:sz w:val="18"/>
              </w:rPr>
              <w:t>+23.1%</w:t>
            </w:r>
          </w:p>
        </w:tc>
        <w:tc>
          <w:tcPr>
            <w:tcW w:type="dxa" w:w="2351"/>
          </w:tcPr>
          <w:p>
            <w:r>
              <w:rPr>
                <w:rFonts w:ascii="Meiryo UI" w:hAnsi="Meiryo UI"/>
                <w:sz w:val="18"/>
              </w:rPr>
              <w:t>50%</w:t>
            </w:r>
          </w:p>
        </w:tc>
      </w:tr>
      <w:tr>
        <w:tc>
          <w:tcPr>
            <w:tcW w:type="dxa" w:w="2351"/>
            <w:shd w:val="clear" w:color="auto" w:fill="DDEBF7"/>
          </w:tcPr>
          <w:p>
            <w:r>
              <w:rPr>
                <w:rFonts w:ascii="Meiryo UI" w:hAnsi="Meiryo UI"/>
                <w:sz w:val="18"/>
              </w:rPr>
              <w:t>EV/EBITDA（28倍×FY2026E EBITDA）</w:t>
            </w:r>
          </w:p>
        </w:tc>
        <w:tc>
          <w:tcPr>
            <w:tcW w:type="dxa" w:w="2351"/>
            <w:shd w:val="clear" w:color="auto" w:fill="DDEBF7"/>
          </w:tcPr>
          <w:p>
            <w:r>
              <w:rPr>
                <w:rFonts w:ascii="Meiryo UI" w:hAnsi="Meiryo UI"/>
                <w:sz w:val="18"/>
              </w:rPr>
              <w:t>推定USD430〜460</w:t>
            </w:r>
          </w:p>
        </w:tc>
        <w:tc>
          <w:tcPr>
            <w:tcW w:type="dxa" w:w="2351"/>
            <w:shd w:val="clear" w:color="auto" w:fill="DDEBF7"/>
          </w:tcPr>
          <w:p>
            <w:r>
              <w:rPr>
                <w:rFonts w:ascii="Meiryo UI" w:hAnsi="Meiryo UI"/>
                <w:sz w:val="18"/>
              </w:rPr>
              <w:t>+18〜27%</w:t>
            </w:r>
          </w:p>
        </w:tc>
        <w:tc>
          <w:tcPr>
            <w:tcW w:type="dxa" w:w="2351"/>
            <w:shd w:val="clear" w:color="auto" w:fill="DDEBF7"/>
          </w:tcPr>
          <w:p>
            <w:r>
              <w:rPr>
                <w:rFonts w:ascii="Meiryo UI" w:hAnsi="Meiryo UI"/>
                <w:sz w:val="18"/>
              </w:rPr>
              <w:t>25%</w:t>
            </w:r>
          </w:p>
        </w:tc>
      </w:tr>
      <w:tr>
        <w:tc>
          <w:tcPr>
            <w:tcW w:type="dxa" w:w="2351"/>
          </w:tcPr>
          <w:p>
            <w:r>
              <w:rPr>
                <w:rFonts w:ascii="Meiryo UI" w:hAnsi="Meiryo UI"/>
                <w:sz w:val="18"/>
              </w:rPr>
              <w:t>PER相対評価（FY2026E EPS×フェアPER35倍）</w:t>
            </w:r>
          </w:p>
        </w:tc>
        <w:tc>
          <w:tcPr>
            <w:tcW w:type="dxa" w:w="2351"/>
          </w:tcPr>
          <w:p>
            <w:r>
              <w:rPr>
                <w:rFonts w:ascii="Meiryo UI" w:hAnsi="Meiryo UI"/>
                <w:sz w:val="18"/>
              </w:rPr>
              <w:t>約USD385〜420</w:t>
            </w:r>
          </w:p>
        </w:tc>
        <w:tc>
          <w:tcPr>
            <w:tcW w:type="dxa" w:w="2351"/>
          </w:tcPr>
          <w:p>
            <w:r>
              <w:rPr>
                <w:rFonts w:ascii="Meiryo UI" w:hAnsi="Meiryo UI"/>
                <w:sz w:val="18"/>
              </w:rPr>
              <w:t>+6〜16%</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加重平均理論株価</w:t>
            </w:r>
          </w:p>
        </w:tc>
        <w:tc>
          <w:tcPr>
            <w:tcW w:type="dxa" w:w="2351"/>
            <w:shd w:val="clear" w:color="auto" w:fill="DDEBF7"/>
          </w:tcPr>
          <w:p>
            <w:r>
              <w:rPr>
                <w:rFonts w:ascii="Meiryo UI" w:hAnsi="Meiryo UI"/>
                <w:sz w:val="18"/>
              </w:rPr>
              <w:t>USD 430〜450</w:t>
            </w:r>
          </w:p>
        </w:tc>
        <w:tc>
          <w:tcPr>
            <w:tcW w:type="dxa" w:w="2351"/>
            <w:shd w:val="clear" w:color="auto" w:fill="DDEBF7"/>
          </w:tcPr>
          <w:p>
            <w:r>
              <w:rPr>
                <w:rFonts w:ascii="Meiryo UI" w:hAnsi="Meiryo UI"/>
                <w:sz w:val="18"/>
              </w:rPr>
              <w:t>+18〜24%</w:t>
            </w:r>
          </w:p>
        </w:tc>
        <w:tc>
          <w:tcPr>
            <w:tcW w:type="dxa" w:w="2351"/>
            <w:shd w:val="clear" w:color="auto" w:fill="DDEBF7"/>
          </w:tcPr>
          <w:p>
            <w:r>
              <w:rPr>
                <w:rFonts w:ascii="Meiryo UI" w:hAnsi="Meiryo UI"/>
                <w:sz w:val="18"/>
              </w:rPr>
            </w:r>
          </w:p>
        </w:tc>
      </w:tr>
    </w:tbl>
    <w:p/>
    <w:p>
      <w:pPr>
        <w:pStyle w:val="Heading3"/>
      </w:pPr>
      <w:r>
        <w:rPr>
          <w:rFonts w:ascii="Meiryo UI" w:hAnsi="Meiryo UI"/>
          <w:color w:val="2E74B5"/>
        </w:rPr>
        <w:t>5-2. 安全域（Margin of Safety）</w:t>
      </w:r>
    </w:p>
    <w:p/>
    <w:p>
      <w:pPr>
        <w:shd w:val="clear" w:color="auto" w:fill="F2F2F2"/>
      </w:pPr>
      <w:r>
        <w:rPr>
          <w:rFonts w:ascii="Courier New" w:hAnsi="Courier New"/>
          <w:sz w:val="16"/>
        </w:rPr>
        <w:t>FV中央値 : USD 447</w:t>
        <w:br/>
        <w:t>MoS 20% : USD 358（現在値USD363とほぼ一致 → 既に安全域内！）</w:t>
        <w:br/>
        <w:t>MoS 30% : USD 313（保守的エントリーゾーン）</w:t>
      </w:r>
    </w:p>
    <w:p/>
    <w:p>
      <w:r>
        <w:rPr>
          <w:rFonts w:ascii="Meiryo UI" w:hAnsi="Meiryo UI"/>
          <w:sz w:val="20"/>
        </w:rPr>
        <w:t>&gt; 深井判断：現在値USD363は20%MoS（USD358）をわずかに上回る水準。理論株価に対して既に相当の安全域が形成されており、ここからの追加下落は「さらなるバーゲン」となる。</w:t>
      </w:r>
    </w:p>
    <w:p/>
    <w:p>
      <w:r>
        <w:rPr>
          <w:rFonts w:ascii="Meiryo UI" w:hAnsi="Meiryo UI"/>
          <w:sz w:val="20"/>
        </w:rPr>
        <w:t>投資判断：【買い（BUY）】</w:t>
      </w:r>
    </w:p>
    <w:p/>
    <w:p>
      <w:r>
        <w:t>──────────────────────────────────────────────────</w:t>
      </w:r>
    </w:p>
    <w:p/>
    <w:p>
      <w:pPr>
        <w:pStyle w:val="Heading2"/>
      </w:pPr>
      <w:r>
        <w:rPr>
          <w:rFonts w:ascii="Meiryo UI" w:hAnsi="Meiryo UI"/>
          <w:color w:val="2E74B5"/>
        </w:rPr>
        <w:t>セクション6：メインシナリオ vs リスクシナリオ</w:t>
      </w:r>
    </w:p>
    <w:p/>
    <w:p>
      <w:pPr>
        <w:pStyle w:val="Heading3"/>
      </w:pPr>
      <w:r>
        <w:rPr>
          <w:rFonts w:ascii="Meiryo UI" w:hAnsi="Meiryo UI"/>
          <w:color w:val="2E74B5"/>
        </w:rPr>
        <w:t>6-1. 3シナリオ詳細</w:t>
      </w:r>
    </w:p>
    <w:p/>
    <w:p>
      <w:r>
        <w:rPr>
          <w:rFonts w:ascii="Meiryo UI" w:hAnsi="Meiryo UI"/>
          <w:sz w:val="20"/>
        </w:rPr>
        <w:t>【強気シナリオ】確率20%</w:t>
      </w:r>
    </w:p>
    <w:p>
      <w:pPr>
        <w:pStyle w:val="ListBullet"/>
      </w:pPr>
      <w:r>
        <w:rPr>
          <w:rFonts w:ascii="Meiryo UI" w:hAnsi="Meiryo UI"/>
          <w:sz w:val="20"/>
        </w:rPr>
        <w:t>トリガー：N2量産フル稼働×CoWoS需要さらに想定超過×米中規制緩和</w:t>
      </w:r>
    </w:p>
    <w:p>
      <w:pPr>
        <w:pStyle w:val="ListBullet"/>
      </w:pPr>
      <w:r>
        <w:rPr>
          <w:rFonts w:ascii="Meiryo UI" w:hAnsi="Meiryo UI"/>
          <w:sz w:val="20"/>
        </w:rPr>
        <w:t>FY2026E売上：USD65〜68B（コンセンサス上振れ）</w:t>
      </w:r>
    </w:p>
    <w:p>
      <w:pPr>
        <w:pStyle w:val="ListBullet"/>
      </w:pPr>
      <w:r>
        <w:rPr>
          <w:rFonts w:ascii="Meiryo UI" w:hAnsi="Meiryo UI"/>
          <w:sz w:val="20"/>
        </w:rPr>
        <w:t>粗利益率：68〜70%（N2 ASPプレミアム完全享受）</w:t>
      </w:r>
    </w:p>
    <w:p>
      <w:pPr>
        <w:pStyle w:val="ListBullet"/>
      </w:pPr>
      <w:r>
        <w:rPr>
          <w:rFonts w:ascii="Meiryo UI" w:hAnsi="Meiryo UI"/>
          <w:sz w:val="20"/>
        </w:rPr>
        <w:t>12ヶ月目標：USD 550〜580</w:t>
      </w:r>
    </w:p>
    <w:p>
      <w:pPr>
        <w:pStyle w:val="ListBullet"/>
      </w:pPr>
      <w:r>
        <w:rPr>
          <w:rFonts w:ascii="Meiryo UI" w:hAnsi="Meiryo UI"/>
          <w:sz w:val="20"/>
        </w:rPr>
        <w:t>前提：WACC 8.5%、g 6.0%</w:t>
      </w:r>
    </w:p>
    <w:p/>
    <w:p>
      <w:r>
        <w:rPr>
          <w:rFonts w:ascii="Meiryo UI" w:hAnsi="Meiryo UI"/>
          <w:sz w:val="20"/>
        </w:rPr>
        <w:t>【基本シナリオ】確率55%</w:t>
      </w:r>
    </w:p>
    <w:p>
      <w:pPr>
        <w:pStyle w:val="ListBullet"/>
      </w:pPr>
      <w:r>
        <w:rPr>
          <w:rFonts w:ascii="Meiryo UI" w:hAnsi="Meiryo UI"/>
          <w:sz w:val="20"/>
        </w:rPr>
        <w:t>トリガー：Q2ガイダンスUSD39〜40B達成・N2量産計画通り</w:t>
      </w:r>
    </w:p>
    <w:p>
      <w:pPr>
        <w:pStyle w:val="ListBullet"/>
      </w:pPr>
      <w:r>
        <w:rPr>
          <w:rFonts w:ascii="Meiryo UI" w:hAnsi="Meiryo UI"/>
          <w:sz w:val="20"/>
        </w:rPr>
        <w:t>FY2026E売上：USD61.9B（コンセンサス）</w:t>
      </w:r>
    </w:p>
    <w:p>
      <w:pPr>
        <w:pStyle w:val="ListBullet"/>
      </w:pPr>
      <w:r>
        <w:rPr>
          <w:rFonts w:ascii="Meiryo UI" w:hAnsi="Meiryo UI"/>
          <w:sz w:val="20"/>
        </w:rPr>
        <w:t>粗利益率：65〜67%</w:t>
      </w:r>
    </w:p>
    <w:p>
      <w:pPr>
        <w:pStyle w:val="ListBullet"/>
      </w:pPr>
      <w:r>
        <w:rPr>
          <w:rFonts w:ascii="Meiryo UI" w:hAnsi="Meiryo UI"/>
          <w:sz w:val="20"/>
        </w:rPr>
        <w:t>12ヶ月目標：USD 430〜470</w:t>
      </w:r>
    </w:p>
    <w:p>
      <w:pPr>
        <w:pStyle w:val="ListBullet"/>
      </w:pPr>
      <w:r>
        <w:rPr>
          <w:rFonts w:ascii="Meiryo UI" w:hAnsi="Meiryo UI"/>
          <w:sz w:val="20"/>
        </w:rPr>
        <w:t>前提：WACC 9.23%、g 5.5%</w:t>
      </w:r>
    </w:p>
    <w:p/>
    <w:p>
      <w:r>
        <w:rPr>
          <w:rFonts w:ascii="Meiryo UI" w:hAnsi="Meiryo UI"/>
          <w:sz w:val="20"/>
        </w:rPr>
        <w:t>【弱気シナリオ】確率25%</w:t>
      </w:r>
    </w:p>
    <w:p>
      <w:pPr>
        <w:pStyle w:val="ListBullet"/>
      </w:pPr>
      <w:r>
        <w:rPr>
          <w:rFonts w:ascii="Meiryo UI" w:hAnsi="Meiryo UI"/>
          <w:sz w:val="20"/>
        </w:rPr>
        <w:t>トリガー：①米中規制強化でNVIDIA向け大口受注停止　②台湾地政学緊張激化　③CAPEX過剰でFCF急悪化</w:t>
      </w:r>
    </w:p>
    <w:p>
      <w:pPr>
        <w:pStyle w:val="ListBullet"/>
      </w:pPr>
      <w:r>
        <w:rPr>
          <w:rFonts w:ascii="Meiryo UI" w:hAnsi="Meiryo UI"/>
          <w:sz w:val="20"/>
        </w:rPr>
        <w:t>FY2026E売上：USD50〜55B（規制影響▲10〜15%）</w:t>
      </w:r>
    </w:p>
    <w:p>
      <w:pPr>
        <w:pStyle w:val="ListBullet"/>
      </w:pPr>
      <w:r>
        <w:rPr>
          <w:rFonts w:ascii="Meiryo UI" w:hAnsi="Meiryo UI"/>
          <w:sz w:val="20"/>
        </w:rPr>
        <w:t>粗利益率：60〜62%（稼働率低下）</w:t>
      </w:r>
    </w:p>
    <w:p>
      <w:pPr>
        <w:pStyle w:val="ListBullet"/>
      </w:pPr>
      <w:r>
        <w:rPr>
          <w:rFonts w:ascii="Meiryo UI" w:hAnsi="Meiryo UI"/>
          <w:sz w:val="20"/>
        </w:rPr>
        <w:t>12ヶ月目標：USD 295〜320</w:t>
      </w:r>
    </w:p>
    <w:p>
      <w:pPr>
        <w:pStyle w:val="ListBullet"/>
      </w:pPr>
      <w:r>
        <w:rPr>
          <w:rFonts w:ascii="Meiryo UI" w:hAnsi="Meiryo UI"/>
          <w:sz w:val="20"/>
        </w:rPr>
        <w:t>前提：WACC 10.5%、g 4.0%</w:t>
      </w:r>
    </w:p>
    <w:p/>
    <w:p>
      <w:pPr>
        <w:pStyle w:val="Heading3"/>
      </w:pPr>
      <w:r>
        <w:rPr>
          <w:rFonts w:ascii="Meiryo UI" w:hAnsi="Meiryo UI"/>
          <w:color w:val="2E74B5"/>
        </w:rPr>
        <w:t>6-2. 期待値計算</w:t>
      </w:r>
    </w:p>
    <w:p/>
    <w:p>
      <w:pPr>
        <w:shd w:val="clear" w:color="auto" w:fill="F2F2F2"/>
      </w:pPr>
      <w:r>
        <w:rPr>
          <w:rFonts w:ascii="Courier New" w:hAnsi="Courier New"/>
          <w:sz w:val="16"/>
        </w:rPr>
        <w:t>期待値 = 0.20 × 565 + 0.55 × 450 + 0.25 × 308</w:t>
        <w:br/>
        <w:t xml:space="preserve">       = 113.0 + 247.5 + 77.0</w:t>
        <w:br/>
        <w:t xml:space="preserve">       = USD 437.5</w:t>
        <w:br/>
        <w:t>現在値 USD363 比：+20.5% 上値余地</w:t>
      </w:r>
    </w:p>
    <w:p/>
    <w:p>
      <w:r>
        <w:t>──────────────────────────────────────────────────</w:t>
      </w:r>
    </w:p>
    <w:p/>
    <w:p>
      <w:pPr>
        <w:pStyle w:val="Heading2"/>
      </w:pPr>
      <w:r>
        <w:rPr>
          <w:rFonts w:ascii="Meiryo UI" w:hAnsi="Meiryo UI"/>
          <w:color w:val="2E74B5"/>
        </w:rPr>
        <w:t>セクション7：浅井速報との統合評価</w:t>
      </w:r>
    </w:p>
    <w:p/>
    <w:p>
      <w:pPr>
        <w:pStyle w:val="Heading3"/>
      </w:pPr>
      <w:r>
        <w:rPr>
          <w:rFonts w:ascii="Meiryo UI" w:hAnsi="Meiryo UI"/>
          <w:color w:val="2E74B5"/>
        </w:rPr>
        <w:t>7-1. 浅井速報スコア：+99（BUY）</w:t>
      </w:r>
    </w:p>
    <w:p/>
    <w:p>
      <w:r>
        <w:rPr>
          <w:rFonts w:ascii="Meiryo UI" w:hAnsi="Meiryo UI"/>
          <w:sz w:val="20"/>
        </w:rPr>
        <w:t>センチメント vs ファンダメンタル 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浅井速報（センチメント）</w:t>
            </w:r>
          </w:p>
        </w:tc>
        <w:tc>
          <w:tcPr>
            <w:tcW w:type="dxa" w:w="2351"/>
            <w:shd w:val="clear" w:color="auto" w:fill="2E74B5"/>
          </w:tcPr>
          <w:p>
            <w:r>
              <w:rPr>
                <w:rFonts w:ascii="Meiryo UI" w:hAnsi="Meiryo UI"/>
                <w:b/>
                <w:color w:val="FFFFFF"/>
                <w:sz w:val="18"/>
              </w:rPr>
              <w:t>深井DCF（ファンダ）</w:t>
            </w:r>
          </w:p>
        </w:tc>
        <w:tc>
          <w:tcPr>
            <w:tcW w:type="dxa" w:w="2351"/>
            <w:shd w:val="clear" w:color="auto" w:fill="2E74B5"/>
          </w:tcPr>
          <w:p>
            <w:r>
              <w:rPr>
                <w:rFonts w:ascii="Meiryo UI" w:hAnsi="Meiryo UI"/>
                <w:b/>
                <w:color w:val="FFFFFF"/>
                <w:sz w:val="18"/>
              </w:rPr>
              <w:t>乖離・解釈</w:t>
            </w:r>
          </w:p>
        </w:tc>
      </w:tr>
      <w:tr>
        <w:tc>
          <w:tcPr>
            <w:tcW w:type="dxa" w:w="2351"/>
          </w:tcPr>
          <w:p>
            <w:r>
              <w:rPr>
                <w:rFonts w:ascii="Meiryo UI" w:hAnsi="Meiryo UI"/>
                <w:sz w:val="18"/>
              </w:rPr>
              <w:t>総合評価</w:t>
            </w:r>
          </w:p>
        </w:tc>
        <w:tc>
          <w:tcPr>
            <w:tcW w:type="dxa" w:w="2351"/>
          </w:tcPr>
          <w:p>
            <w:r>
              <w:rPr>
                <w:rFonts w:ascii="Meiryo UI" w:hAnsi="Meiryo UI"/>
                <w:sz w:val="18"/>
              </w:rPr>
              <w:t>+99（最高位BUY）</w:t>
            </w:r>
          </w:p>
        </w:tc>
        <w:tc>
          <w:tcPr>
            <w:tcW w:type="dxa" w:w="2351"/>
          </w:tcPr>
          <w:p>
            <w:r>
              <w:rPr>
                <w:rFonts w:ascii="Meiryo UI" w:hAnsi="Meiryo UI"/>
                <w:sz w:val="18"/>
              </w:rPr>
              <w:t>BUY（USD447目標）</w:t>
            </w:r>
          </w:p>
        </w:tc>
        <w:tc>
          <w:tcPr>
            <w:tcW w:type="dxa" w:w="2351"/>
          </w:tcPr>
          <w:p>
            <w:r>
              <w:rPr>
                <w:rFonts w:ascii="Meiryo UI" w:hAnsi="Meiryo UI"/>
                <w:sz w:val="18"/>
              </w:rPr>
              <w:t>一致：両軸がBUYを支持</w:t>
            </w:r>
          </w:p>
        </w:tc>
      </w:tr>
      <w:tr>
        <w:tc>
          <w:tcPr>
            <w:tcW w:type="dxa" w:w="2351"/>
            <w:shd w:val="clear" w:color="auto" w:fill="DDEBF7"/>
          </w:tcPr>
          <w:p>
            <w:r>
              <w:rPr>
                <w:rFonts w:ascii="Meiryo UI" w:hAnsi="Meiryo UI"/>
                <w:sz w:val="18"/>
              </w:rPr>
              <w:t>現在価格位置</w:t>
            </w:r>
          </w:p>
        </w:tc>
        <w:tc>
          <w:tcPr>
            <w:tcW w:type="dxa" w:w="2351"/>
            <w:shd w:val="clear" w:color="auto" w:fill="DDEBF7"/>
          </w:tcPr>
          <w:p>
            <w:r>
              <w:rPr>
                <w:rFonts w:ascii="Meiryo UI" w:hAnsi="Meiryo UI"/>
                <w:sz w:val="18"/>
              </w:rPr>
              <w:t>モメンタム強い</w:t>
            </w:r>
          </w:p>
        </w:tc>
        <w:tc>
          <w:tcPr>
            <w:tcW w:type="dxa" w:w="2351"/>
            <w:shd w:val="clear" w:color="auto" w:fill="DDEBF7"/>
          </w:tcPr>
          <w:p>
            <w:r>
              <w:rPr>
                <w:rFonts w:ascii="Meiryo UI" w:hAnsi="Meiryo UI"/>
                <w:sz w:val="18"/>
              </w:rPr>
              <w:t>FV比▲19%割安</w:t>
            </w:r>
          </w:p>
        </w:tc>
        <w:tc>
          <w:tcPr>
            <w:tcW w:type="dxa" w:w="2351"/>
            <w:shd w:val="clear" w:color="auto" w:fill="DDEBF7"/>
          </w:tcPr>
          <w:p>
            <w:r>
              <w:rPr>
                <w:rFonts w:ascii="Meiryo UI" w:hAnsi="Meiryo UI"/>
                <w:sz w:val="18"/>
              </w:rPr>
              <w:t>割安感で一致</w:t>
            </w:r>
          </w:p>
        </w:tc>
      </w:tr>
      <w:tr>
        <w:tc>
          <w:tcPr>
            <w:tcW w:type="dxa" w:w="2351"/>
          </w:tcPr>
          <w:p>
            <w:r>
              <w:rPr>
                <w:rFonts w:ascii="Meiryo UI" w:hAnsi="Meiryo UI"/>
                <w:sz w:val="18"/>
              </w:rPr>
              <w:t>上値余地</w:t>
            </w:r>
          </w:p>
        </w:tc>
        <w:tc>
          <w:tcPr>
            <w:tcW w:type="dxa" w:w="2351"/>
          </w:tcPr>
          <w:p>
            <w:r>
              <w:rPr>
                <w:rFonts w:ascii="Meiryo UI" w:hAnsi="Meiryo UI"/>
                <w:sz w:val="18"/>
              </w:rPr>
              <w:t>定性的に大</w:t>
            </w:r>
          </w:p>
        </w:tc>
        <w:tc>
          <w:tcPr>
            <w:tcW w:type="dxa" w:w="2351"/>
          </w:tcPr>
          <w:p>
            <w:r>
              <w:rPr>
                <w:rFonts w:ascii="Meiryo UI" w:hAnsi="Meiryo UI"/>
                <w:sz w:val="18"/>
              </w:rPr>
              <w:t>+23.1%（DCF）</w:t>
            </w:r>
          </w:p>
        </w:tc>
        <w:tc>
          <w:tcPr>
            <w:tcW w:type="dxa" w:w="2351"/>
          </w:tcPr>
          <w:p>
            <w:r>
              <w:rPr>
                <w:rFonts w:ascii="Meiryo UI" w:hAnsi="Meiryo UI"/>
                <w:sz w:val="18"/>
              </w:rPr>
              <w:t>定量で裏付け</w:t>
            </w:r>
          </w:p>
        </w:tc>
      </w:tr>
      <w:tr>
        <w:tc>
          <w:tcPr>
            <w:tcW w:type="dxa" w:w="2351"/>
            <w:shd w:val="clear" w:color="auto" w:fill="DDEBF7"/>
          </w:tcPr>
          <w:p>
            <w:r>
              <w:rPr>
                <w:rFonts w:ascii="Meiryo UI" w:hAnsi="Meiryo UI"/>
                <w:sz w:val="18"/>
              </w:rPr>
              <w:t>リスク</w:t>
            </w:r>
          </w:p>
        </w:tc>
        <w:tc>
          <w:tcPr>
            <w:tcW w:type="dxa" w:w="2351"/>
            <w:shd w:val="clear" w:color="auto" w:fill="DDEBF7"/>
          </w:tcPr>
          <w:p>
            <w:r>
              <w:rPr>
                <w:rFonts w:ascii="Meiryo UI" w:hAnsi="Meiryo UI"/>
                <w:sz w:val="18"/>
              </w:rPr>
              <w:t>センチメントで未織り込み</w:t>
            </w:r>
          </w:p>
        </w:tc>
        <w:tc>
          <w:tcPr>
            <w:tcW w:type="dxa" w:w="2351"/>
            <w:shd w:val="clear" w:color="auto" w:fill="DDEBF7"/>
          </w:tcPr>
          <w:p>
            <w:r>
              <w:rPr>
                <w:rFonts w:ascii="Meiryo UI" w:hAnsi="Meiryo UI"/>
                <w:sz w:val="18"/>
              </w:rPr>
              <w:t>地政学・規制リスク定量化</w:t>
            </w:r>
          </w:p>
        </w:tc>
        <w:tc>
          <w:tcPr>
            <w:tcW w:type="dxa" w:w="2351"/>
            <w:shd w:val="clear" w:color="auto" w:fill="DDEBF7"/>
          </w:tcPr>
          <w:p>
            <w:r>
              <w:rPr>
                <w:rFonts w:ascii="Meiryo UI" w:hAnsi="Meiryo UI"/>
                <w:sz w:val="18"/>
              </w:rPr>
              <w:t>深井側で補完</w:t>
            </w:r>
          </w:p>
        </w:tc>
      </w:tr>
    </w:tbl>
    <w:p/>
    <w:p>
      <w:r>
        <w:rPr>
          <w:rFonts w:ascii="Meiryo UI" w:hAnsi="Meiryo UI"/>
          <w:sz w:val="20"/>
        </w:rPr>
        <w:t>統合判断：</w:t>
      </w:r>
    </w:p>
    <w:p>
      <w:pPr>
        <w:pStyle w:val="ListBullet"/>
      </w:pPr>
      <w:r>
        <w:rPr>
          <w:rFonts w:ascii="Meiryo UI" w:hAnsi="Meiryo UI"/>
          <w:sz w:val="20"/>
        </w:rPr>
        <w:t>浅井速報+99とDCF理論値USD447の双方向からBUYシグナル。</w:t>
      </w:r>
    </w:p>
    <w:p>
      <w:pPr>
        <w:pStyle w:val="ListBullet"/>
      </w:pPr>
      <w:r>
        <w:rPr>
          <w:rFonts w:ascii="Meiryo UI" w:hAnsi="Meiryo UI"/>
          <w:sz w:val="20"/>
        </w:rPr>
        <w:t>センチメントが高水準（+99）にもかかわらず株価が理論値以下に留まっているのは「地政学ディスカウント」が常態化しているため。このディスカウントが解消されればUSD500超えも射程圏。</w:t>
      </w:r>
    </w:p>
    <w:p/>
    <w:p>
      <w:r>
        <w:t>──────────────────────────────────────────────────</w:t>
      </w:r>
    </w:p>
    <w:p/>
    <w:p>
      <w:pPr>
        <w:pStyle w:val="Heading2"/>
      </w:pPr>
      <w:r>
        <w:rPr>
          <w:rFonts w:ascii="Meiryo UI" w:hAnsi="Meiryo UI"/>
          <w:color w:val="2E74B5"/>
        </w:rPr>
        <w:t>セクション8：社長への推奨アクション</w:t>
      </w:r>
    </w:p>
    <w:p/>
    <w:p>
      <w:pPr>
        <w:pStyle w:val="Heading3"/>
      </w:pPr>
      <w:r>
        <w:rPr>
          <w:rFonts w:ascii="Meiryo UI" w:hAnsi="Meiryo UI"/>
          <w:color w:val="2E74B5"/>
        </w:rPr>
        <w:t>8-1. エントリー戦略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タイミング</w:t>
            </w:r>
          </w:p>
        </w:tc>
        <w:tc>
          <w:tcPr>
            <w:tcW w:type="dxa" w:w="2351"/>
            <w:shd w:val="clear" w:color="auto" w:fill="2E74B5"/>
          </w:tcPr>
          <w:p>
            <w:r>
              <w:rPr>
                <w:rFonts w:ascii="Meiryo UI" w:hAnsi="Meiryo UI"/>
                <w:b/>
                <w:color w:val="FFFFFF"/>
                <w:sz w:val="18"/>
              </w:rPr>
              <w:t>アクション</w:t>
            </w:r>
          </w:p>
        </w:tc>
        <w:tc>
          <w:tcPr>
            <w:tcW w:type="dxa" w:w="2351"/>
            <w:shd w:val="clear" w:color="auto" w:fill="2E74B5"/>
          </w:tcPr>
          <w:p>
            <w:r>
              <w:rPr>
                <w:rFonts w:ascii="Meiryo UI" w:hAnsi="Meiryo UI"/>
                <w:b/>
                <w:color w:val="FFFFFF"/>
                <w:sz w:val="18"/>
              </w:rPr>
              <w:t>規模</w:t>
            </w:r>
          </w:p>
        </w:tc>
      </w:tr>
      <w:tr>
        <w:tc>
          <w:tcPr>
            <w:tcW w:type="dxa" w:w="2351"/>
          </w:tcPr>
          <w:p>
            <w:r>
              <w:rPr>
                <w:rFonts w:ascii="Meiryo UI" w:hAnsi="Meiryo UI"/>
                <w:sz w:val="18"/>
              </w:rPr>
              <w:t>第1トランシェ（今すぐ）</w:t>
            </w:r>
          </w:p>
        </w:tc>
        <w:tc>
          <w:tcPr>
            <w:tcW w:type="dxa" w:w="2351"/>
          </w:tcPr>
          <w:p>
            <w:r>
              <w:rPr>
                <w:rFonts w:ascii="Meiryo UI" w:hAnsi="Meiryo UI"/>
                <w:sz w:val="18"/>
              </w:rPr>
              <w:t>USD355〜370（現在値付近）</w:t>
            </w:r>
          </w:p>
        </w:tc>
        <w:tc>
          <w:tcPr>
            <w:tcW w:type="dxa" w:w="2351"/>
          </w:tcPr>
          <w:p>
            <w:r>
              <w:rPr>
                <w:rFonts w:ascii="Meiryo UI" w:hAnsi="Meiryo UI"/>
                <w:sz w:val="18"/>
              </w:rPr>
              <w:t>初期買い建て</w:t>
            </w:r>
          </w:p>
        </w:tc>
        <w:tc>
          <w:tcPr>
            <w:tcW w:type="dxa" w:w="2351"/>
          </w:tcPr>
          <w:p>
            <w:r>
              <w:rPr>
                <w:rFonts w:ascii="Meiryo UI" w:hAnsi="Meiryo UI"/>
                <w:sz w:val="18"/>
              </w:rPr>
              <w:t>ポジション40%</w:t>
            </w:r>
          </w:p>
        </w:tc>
      </w:tr>
      <w:tr>
        <w:tc>
          <w:tcPr>
            <w:tcW w:type="dxa" w:w="2351"/>
            <w:shd w:val="clear" w:color="auto" w:fill="DDEBF7"/>
          </w:tcPr>
          <w:p>
            <w:r>
              <w:rPr>
                <w:rFonts w:ascii="Meiryo UI" w:hAnsi="Meiryo UI"/>
                <w:sz w:val="18"/>
              </w:rPr>
              <w:t>第2トランシェ</w:t>
            </w:r>
          </w:p>
        </w:tc>
        <w:tc>
          <w:tcPr>
            <w:tcW w:type="dxa" w:w="2351"/>
            <w:shd w:val="clear" w:color="auto" w:fill="DDEBF7"/>
          </w:tcPr>
          <w:p>
            <w:r>
              <w:rPr>
                <w:rFonts w:ascii="Meiryo UI" w:hAnsi="Meiryo UI"/>
                <w:sz w:val="18"/>
              </w:rPr>
              <w:t>Q2 2026決算（2026年7月）でガイダンス達成確認後</w:t>
            </w:r>
          </w:p>
        </w:tc>
        <w:tc>
          <w:tcPr>
            <w:tcW w:type="dxa" w:w="2351"/>
            <w:shd w:val="clear" w:color="auto" w:fill="DDEBF7"/>
          </w:tcPr>
          <w:p>
            <w:r>
              <w:rPr>
                <w:rFonts w:ascii="Meiryo UI" w:hAnsi="Meiryo UI"/>
                <w:sz w:val="18"/>
              </w:rPr>
              <w:t>追加買い増し</w:t>
            </w:r>
          </w:p>
        </w:tc>
        <w:tc>
          <w:tcPr>
            <w:tcW w:type="dxa" w:w="2351"/>
            <w:shd w:val="clear" w:color="auto" w:fill="DDEBF7"/>
          </w:tcPr>
          <w:p>
            <w:r>
              <w:rPr>
                <w:rFonts w:ascii="Meiryo UI" w:hAnsi="Meiryo UI"/>
                <w:sz w:val="18"/>
              </w:rPr>
              <w:t>ポジション+30%</w:t>
            </w:r>
          </w:p>
        </w:tc>
      </w:tr>
      <w:tr>
        <w:tc>
          <w:tcPr>
            <w:tcW w:type="dxa" w:w="2351"/>
          </w:tcPr>
          <w:p>
            <w:r>
              <w:rPr>
                <w:rFonts w:ascii="Meiryo UI" w:hAnsi="Meiryo UI"/>
                <w:sz w:val="18"/>
              </w:rPr>
              <w:t>第3トランシェ</w:t>
            </w:r>
          </w:p>
        </w:tc>
        <w:tc>
          <w:tcPr>
            <w:tcW w:type="dxa" w:w="2351"/>
          </w:tcPr>
          <w:p>
            <w:r>
              <w:rPr>
                <w:rFonts w:ascii="Meiryo UI" w:hAnsi="Meiryo UI"/>
                <w:sz w:val="18"/>
              </w:rPr>
              <w:t>N2量産フル稼働確認後（2026年Q3〜Q4）</w:t>
            </w:r>
          </w:p>
        </w:tc>
        <w:tc>
          <w:tcPr>
            <w:tcW w:type="dxa" w:w="2351"/>
          </w:tcPr>
          <w:p>
            <w:r>
              <w:rPr>
                <w:rFonts w:ascii="Meiryo UI" w:hAnsi="Meiryo UI"/>
                <w:sz w:val="18"/>
              </w:rPr>
              <w:t>最終積み増し</w:t>
            </w:r>
          </w:p>
        </w:tc>
        <w:tc>
          <w:tcPr>
            <w:tcW w:type="dxa" w:w="2351"/>
          </w:tcPr>
          <w:p>
            <w:r>
              <w:rPr>
                <w:rFonts w:ascii="Meiryo UI" w:hAnsi="Meiryo UI"/>
                <w:sz w:val="18"/>
              </w:rPr>
              <w:t>ポジション+30%</w:t>
            </w:r>
          </w:p>
        </w:tc>
      </w:tr>
    </w:tbl>
    <w:p/>
    <w:p>
      <w:pPr>
        <w:pStyle w:val="Heading3"/>
      </w:pPr>
      <w:r>
        <w:rPr>
          <w:rFonts w:ascii="Meiryo UI" w:hAnsi="Meiryo UI"/>
          <w:color w:val="2E74B5"/>
        </w:rPr>
        <w:t>8-2. 損切り・利確ライン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ライン</w:t>
            </w:r>
          </w:p>
        </w:tc>
        <w:tc>
          <w:tcPr>
            <w:tcW w:type="dxa" w:w="3135"/>
            <w:shd w:val="clear" w:color="auto" w:fill="2E74B5"/>
          </w:tcPr>
          <w:p>
            <w:r>
              <w:rPr>
                <w:rFonts w:ascii="Meiryo UI" w:hAnsi="Meiryo UI"/>
                <w:b/>
                <w:color w:val="FFFFFF"/>
                <w:sz w:val="18"/>
              </w:rPr>
              <w:t>価格（USD）</w:t>
            </w:r>
          </w:p>
        </w:tc>
        <w:tc>
          <w:tcPr>
            <w:tcW w:type="dxa" w:w="3135"/>
            <w:shd w:val="clear" w:color="auto" w:fill="2E74B5"/>
          </w:tcPr>
          <w:p>
            <w:r>
              <w:rPr>
                <w:rFonts w:ascii="Meiryo UI" w:hAnsi="Meiryo UI"/>
                <w:b/>
                <w:color w:val="FFFFFF"/>
                <w:sz w:val="18"/>
              </w:rPr>
              <w:t>条件</w:t>
            </w:r>
          </w:p>
        </w:tc>
      </w:tr>
      <w:tr>
        <w:tc>
          <w:tcPr>
            <w:tcW w:type="dxa" w:w="3135"/>
          </w:tcPr>
          <w:p>
            <w:r>
              <w:rPr>
                <w:rFonts w:ascii="Meiryo UI" w:hAnsi="Meiryo UI"/>
                <w:sz w:val="18"/>
              </w:rPr>
              <w:t>損切りライン（絶対）</w:t>
            </w:r>
          </w:p>
        </w:tc>
        <w:tc>
          <w:tcPr>
            <w:tcW w:type="dxa" w:w="3135"/>
          </w:tcPr>
          <w:p>
            <w:r>
              <w:rPr>
                <w:rFonts w:ascii="Meiryo UI" w:hAnsi="Meiryo UI"/>
                <w:sz w:val="18"/>
              </w:rPr>
              <w:t>USD 305</w:t>
            </w:r>
          </w:p>
        </w:tc>
        <w:tc>
          <w:tcPr>
            <w:tcW w:type="dxa" w:w="3135"/>
          </w:tcPr>
          <w:p>
            <w:r>
              <w:rPr>
                <w:rFonts w:ascii="Meiryo UI" w:hAnsi="Meiryo UI"/>
                <w:sz w:val="18"/>
              </w:rPr>
              <w:t>弱気シナリオDCF下限・重要サポート割れ</w:t>
            </w:r>
          </w:p>
        </w:tc>
      </w:tr>
      <w:tr>
        <w:tc>
          <w:tcPr>
            <w:tcW w:type="dxa" w:w="3135"/>
            <w:shd w:val="clear" w:color="auto" w:fill="DDEBF7"/>
          </w:tcPr>
          <w:p>
            <w:r>
              <w:rPr>
                <w:rFonts w:ascii="Meiryo UI" w:hAnsi="Meiryo UI"/>
                <w:sz w:val="18"/>
              </w:rPr>
              <w:t>警戒ライン（ポジション縮小）</w:t>
            </w:r>
          </w:p>
        </w:tc>
        <w:tc>
          <w:tcPr>
            <w:tcW w:type="dxa" w:w="3135"/>
            <w:shd w:val="clear" w:color="auto" w:fill="DDEBF7"/>
          </w:tcPr>
          <w:p>
            <w:r>
              <w:rPr>
                <w:rFonts w:ascii="Meiryo UI" w:hAnsi="Meiryo UI"/>
                <w:sz w:val="18"/>
              </w:rPr>
              <w:t>USD 330</w:t>
            </w:r>
          </w:p>
        </w:tc>
        <w:tc>
          <w:tcPr>
            <w:tcW w:type="dxa" w:w="3135"/>
            <w:shd w:val="clear" w:color="auto" w:fill="DDEBF7"/>
          </w:tcPr>
          <w:p>
            <w:r>
              <w:rPr>
                <w:rFonts w:ascii="Meiryo UI" w:hAnsi="Meiryo UI"/>
                <w:sz w:val="18"/>
              </w:rPr>
              <w:t>ガイダンス未達またはQ2売上USD37B以下</w:t>
            </w:r>
          </w:p>
        </w:tc>
      </w:tr>
      <w:tr>
        <w:tc>
          <w:tcPr>
            <w:tcW w:type="dxa" w:w="3135"/>
          </w:tcPr>
          <w:p>
            <w:r>
              <w:rPr>
                <w:rFonts w:ascii="Meiryo UI" w:hAnsi="Meiryo UI"/>
                <w:sz w:val="18"/>
              </w:rPr>
              <w:t>第1利確（50%）</w:t>
            </w:r>
          </w:p>
        </w:tc>
        <w:tc>
          <w:tcPr>
            <w:tcW w:type="dxa" w:w="3135"/>
          </w:tcPr>
          <w:p>
            <w:r>
              <w:rPr>
                <w:rFonts w:ascii="Meiryo UI" w:hAnsi="Meiryo UI"/>
                <w:sz w:val="18"/>
              </w:rPr>
              <w:t>USD 447</w:t>
            </w:r>
          </w:p>
        </w:tc>
        <w:tc>
          <w:tcPr>
            <w:tcW w:type="dxa" w:w="3135"/>
          </w:tcPr>
          <w:p>
            <w:r>
              <w:rPr>
                <w:rFonts w:ascii="Meiryo UI" w:hAnsi="Meiryo UI"/>
                <w:sz w:val="18"/>
              </w:rPr>
              <w:t>FV中央値到達</w:t>
            </w:r>
          </w:p>
        </w:tc>
      </w:tr>
      <w:tr>
        <w:tc>
          <w:tcPr>
            <w:tcW w:type="dxa" w:w="3135"/>
            <w:shd w:val="clear" w:color="auto" w:fill="DDEBF7"/>
          </w:tcPr>
          <w:p>
            <w:r>
              <w:rPr>
                <w:rFonts w:ascii="Meiryo UI" w:hAnsi="Meiryo UI"/>
                <w:sz w:val="18"/>
              </w:rPr>
              <w:t>第2利確（残30%）</w:t>
            </w:r>
          </w:p>
        </w:tc>
        <w:tc>
          <w:tcPr>
            <w:tcW w:type="dxa" w:w="3135"/>
            <w:shd w:val="clear" w:color="auto" w:fill="DDEBF7"/>
          </w:tcPr>
          <w:p>
            <w:r>
              <w:rPr>
                <w:rFonts w:ascii="Meiryo UI" w:hAnsi="Meiryo UI"/>
                <w:sz w:val="18"/>
              </w:rPr>
              <w:t>USD 520</w:t>
            </w:r>
          </w:p>
        </w:tc>
        <w:tc>
          <w:tcPr>
            <w:tcW w:type="dxa" w:w="3135"/>
            <w:shd w:val="clear" w:color="auto" w:fill="DDEBF7"/>
          </w:tcPr>
          <w:p>
            <w:r>
              <w:rPr>
                <w:rFonts w:ascii="Meiryo UI" w:hAnsi="Meiryo UI"/>
                <w:sz w:val="18"/>
              </w:rPr>
              <w:t>強気シナリオ進行時</w:t>
            </w:r>
          </w:p>
        </w:tc>
      </w:tr>
      <w:tr>
        <w:tc>
          <w:tcPr>
            <w:tcW w:type="dxa" w:w="3135"/>
          </w:tcPr>
          <w:p>
            <w:r>
              <w:rPr>
                <w:rFonts w:ascii="Meiryo UI" w:hAnsi="Meiryo UI"/>
                <w:sz w:val="18"/>
              </w:rPr>
              <w:t>全利確</w:t>
            </w:r>
          </w:p>
        </w:tc>
        <w:tc>
          <w:tcPr>
            <w:tcW w:type="dxa" w:w="3135"/>
          </w:tcPr>
          <w:p>
            <w:r>
              <w:rPr>
                <w:rFonts w:ascii="Meiryo UI" w:hAnsi="Meiryo UI"/>
                <w:sz w:val="18"/>
              </w:rPr>
              <w:t>USD 570〜</w:t>
            </w:r>
          </w:p>
        </w:tc>
        <w:tc>
          <w:tcPr>
            <w:tcW w:type="dxa" w:w="3135"/>
          </w:tcPr>
          <w:p>
            <w:r>
              <w:rPr>
                <w:rFonts w:ascii="Meiryo UI" w:hAnsi="Meiryo UI"/>
                <w:sz w:val="18"/>
              </w:rPr>
              <w:t>強気シナリオ上限</w:t>
            </w:r>
          </w:p>
        </w:tc>
      </w:tr>
    </w:tbl>
    <w:p/>
    <w:p>
      <w:pPr>
        <w:pStyle w:val="Heading3"/>
      </w:pPr>
      <w:r>
        <w:rPr>
          <w:rFonts w:ascii="Meiryo UI" w:hAnsi="Meiryo UI"/>
          <w:color w:val="2E74B5"/>
        </w:rPr>
        <w:t>8-3. 時間軸と期待リターン</w:t>
      </w:r>
    </w:p>
    <w:p/>
    <w:p>
      <w:pPr>
        <w:shd w:val="clear" w:color="auto" w:fill="F2F2F2"/>
      </w:pPr>
      <w:r>
        <w:rPr>
          <w:rFonts w:ascii="Courier New" w:hAnsi="Courier New"/>
          <w:sz w:val="16"/>
        </w:rPr>
        <w:t>▼ ベースケース（12ヶ月）：</w:t>
        <w:br/>
        <w:t xml:space="preserve">  エントリー：USD 363 → 目標：USD 447 → リターン：+23.1%</w:t>
        <w:br/>
        <w:t xml:space="preserve">  損切り：USD 305 → 最大損失：▲16.0%</w:t>
        <w:br/>
        <w:t xml:space="preserve">  期待値（確率加重）：+20.5%</w:t>
        <w:br/>
        <w:br/>
        <w:t>▼ リスク・リワード比：</w:t>
        <w:br/>
        <w:t xml:space="preserve">  上値（ベース）：+84 USD</w:t>
        <w:br/>
        <w:t xml:space="preserve">  下値（損切り）：▲58 USD</w:t>
        <w:br/>
        <w:t xml:space="preserve">  R/R比：1.45（基本）〜 2.0（強気シナリオ）</w:t>
        <w:br/>
        <w:br/>
        <w:t>社長へ：R/R1.45以上・期待値+20%・浅井速報最高位+99。</w:t>
        <w:br/>
        <w:t>今すぐUSD355〜370でポジション40%を建てることを推奨します。</w:t>
      </w:r>
    </w:p>
    <w:p/>
    <w:p>
      <w:pPr>
        <w:pStyle w:val="Heading3"/>
      </w:pPr>
      <w:r>
        <w:rPr>
          <w:rFonts w:ascii="Meiryo UI" w:hAnsi="Meiryo UI"/>
          <w:color w:val="2E74B5"/>
        </w:rPr>
        <w:t>8-4. 為替（USD/JPY）影響</w:t>
      </w:r>
    </w:p>
    <w:p/>
    <w:p>
      <w:pPr>
        <w:shd w:val="clear" w:color="auto" w:fill="F2F2F2"/>
      </w:pPr>
      <w:r>
        <w:rPr>
          <w:rFonts w:ascii="Courier New" w:hAnsi="Courier New"/>
          <w:sz w:val="16"/>
        </w:rPr>
        <w:t>USD/JPY現在：158.97円</w:t>
        <w:br/>
        <w:br/>
        <w:t>TSM株価USD363をJPY換算：</w:t>
        <w:br/>
        <w:t xml:space="preserve">  363 × 158.97 = ¥57,706/ADR相当</w:t>
        <w:br/>
        <w:br/>
        <w:t>FV中央値USD447をJPY換算：</w:t>
        <w:br/>
        <w:t xml:space="preserve">  447 × 158.97 = ¥71,060/ADR相当</w:t>
        <w:br/>
        <w:br/>
        <w:t>感応度：</w:t>
        <w:br/>
        <w:t xml:space="preserve">  USD/JPY 150円の場合：USD363 → ¥54,450（▲5.6%）</w:t>
        <w:br/>
        <w:t xml:space="preserve">  USD/JPY 165円の場合：USD363 → ¥59,882（+3.8%）</w:t>
        <w:br/>
        <w:t>→ 円安継続ならJPYベースリターンに追加アルファ。ただし主要変数はUSDパフォーマンスに帰着。</w:t>
      </w:r>
    </w:p>
    <w:p/>
    <w:p>
      <w:r>
        <w:t>──────────────────────────────────────────────────</w:t>
      </w:r>
    </w:p>
    <w:p/>
    <w:p>
      <w:pPr>
        <w:pStyle w:val="Heading2"/>
      </w:pPr>
      <w:r>
        <w:rPr>
          <w:rFonts w:ascii="Meiryo UI" w:hAnsi="Meiryo UI"/>
          <w:color w:val="2E74B5"/>
        </w:rPr>
        <w:t>セクション9：金利感応度分析（Sensitivity Analysis）</w:t>
      </w:r>
    </w:p>
    <w:p/>
    <w:p>
      <w:pPr>
        <w:pStyle w:val="Heading3"/>
      </w:pPr>
      <w:r>
        <w:rPr>
          <w:rFonts w:ascii="Meiryo UI" w:hAnsi="Meiryo UI"/>
          <w:color w:val="2E74B5"/>
        </w:rPr>
        <w:t>9-1. Rf変動による理論株価変化テーブル</w:t>
      </w:r>
    </w:p>
    <w:p/>
    <w:p>
      <w:r>
        <w:rPr>
          <w:rFonts w:ascii="Meiryo UI" w:hAnsi="Meiryo UI"/>
          <w:sz w:val="20"/>
        </w:rPr>
        <w:t>ベース：Rf=4.300%、β=1.10、ERP=5.0%、g=5.5%</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 (%)</w:t>
            </w:r>
          </w:p>
        </w:tc>
        <w:tc>
          <w:tcPr>
            <w:tcW w:type="dxa" w:w="1568"/>
            <w:shd w:val="clear" w:color="auto" w:fill="2E74B5"/>
          </w:tcPr>
          <w:p>
            <w:r>
              <w:rPr>
                <w:rFonts w:ascii="Meiryo UI" w:hAnsi="Meiryo UI"/>
                <w:b/>
                <w:color w:val="FFFFFF"/>
                <w:sz w:val="18"/>
              </w:rPr>
              <w:t>Re (%)</w:t>
            </w:r>
          </w:p>
        </w:tc>
        <w:tc>
          <w:tcPr>
            <w:tcW w:type="dxa" w:w="1568"/>
            <w:shd w:val="clear" w:color="auto" w:fill="2E74B5"/>
          </w:tcPr>
          <w:p>
            <w:r>
              <w:rPr>
                <w:rFonts w:ascii="Meiryo UI" w:hAnsi="Meiryo UI"/>
                <w:b/>
                <w:color w:val="FFFFFF"/>
                <w:sz w:val="18"/>
              </w:rPr>
              <w:t>WACC (%)</w:t>
            </w:r>
          </w:p>
        </w:tc>
        <w:tc>
          <w:tcPr>
            <w:tcW w:type="dxa" w:w="1568"/>
            <w:shd w:val="clear" w:color="auto" w:fill="2E74B5"/>
          </w:tcPr>
          <w:p>
            <w:r>
              <w:rPr>
                <w:rFonts w:ascii="Meiryo UI" w:hAnsi="Meiryo UI"/>
                <w:b/>
                <w:color w:val="FFFFFF"/>
                <w:sz w:val="18"/>
              </w:rPr>
              <w:t>理論株価 (USD)</w:t>
            </w:r>
          </w:p>
        </w:tc>
        <w:tc>
          <w:tcPr>
            <w:tcW w:type="dxa" w:w="1568"/>
            <w:shd w:val="clear" w:color="auto" w:fill="2E74B5"/>
          </w:tcPr>
          <w:p>
            <w:r>
              <w:rPr>
                <w:rFonts w:ascii="Meiryo UI" w:hAnsi="Meiryo UI"/>
                <w:b/>
                <w:color w:val="FFFFFF"/>
                <w:sz w:val="18"/>
              </w:rPr>
              <w:t>現在値USD363比乖離率</w:t>
            </w:r>
          </w:p>
        </w:tc>
      </w:tr>
      <w:tr>
        <w:tc>
          <w:tcPr>
            <w:tcW w:type="dxa" w:w="1568"/>
          </w:tcPr>
          <w:p>
            <w:r>
              <w:rPr>
                <w:rFonts w:ascii="Meiryo UI" w:hAnsi="Meiryo UI"/>
                <w:sz w:val="18"/>
              </w:rPr>
              <w:t>Rf -1.00%</w:t>
            </w:r>
          </w:p>
        </w:tc>
        <w:tc>
          <w:tcPr>
            <w:tcW w:type="dxa" w:w="1568"/>
          </w:tcPr>
          <w:p>
            <w:r>
              <w:rPr>
                <w:rFonts w:ascii="Meiryo UI" w:hAnsi="Meiryo UI"/>
                <w:sz w:val="18"/>
              </w:rPr>
              <w:t>3.300%</w:t>
            </w:r>
          </w:p>
        </w:tc>
        <w:tc>
          <w:tcPr>
            <w:tcW w:type="dxa" w:w="1568"/>
          </w:tcPr>
          <w:p>
            <w:r>
              <w:rPr>
                <w:rFonts w:ascii="Meiryo UI" w:hAnsi="Meiryo UI"/>
                <w:sz w:val="18"/>
              </w:rPr>
              <w:t>8.800%</w:t>
            </w:r>
          </w:p>
        </w:tc>
        <w:tc>
          <w:tcPr>
            <w:tcW w:type="dxa" w:w="1568"/>
          </w:tcPr>
          <w:p>
            <w:r>
              <w:rPr>
                <w:rFonts w:ascii="Meiryo UI" w:hAnsi="Meiryo UI"/>
                <w:sz w:val="18"/>
              </w:rPr>
              <w:t>8.23%</w:t>
            </w:r>
          </w:p>
        </w:tc>
        <w:tc>
          <w:tcPr>
            <w:tcW w:type="dxa" w:w="1568"/>
          </w:tcPr>
          <w:p>
            <w:r>
              <w:rPr>
                <w:rFonts w:ascii="Meiryo UI" w:hAnsi="Meiryo UI"/>
                <w:sz w:val="18"/>
              </w:rPr>
              <w:t>USD 572</w:t>
            </w:r>
          </w:p>
        </w:tc>
        <w:tc>
          <w:tcPr>
            <w:tcW w:type="dxa" w:w="1568"/>
          </w:tcPr>
          <w:p>
            <w:r>
              <w:rPr>
                <w:rFonts w:ascii="Meiryo UI" w:hAnsi="Meiryo UI"/>
                <w:sz w:val="18"/>
              </w:rPr>
              <w:t>+57.6%</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3.800%</w:t>
            </w:r>
          </w:p>
        </w:tc>
        <w:tc>
          <w:tcPr>
            <w:tcW w:type="dxa" w:w="1568"/>
            <w:shd w:val="clear" w:color="auto" w:fill="DDEBF7"/>
          </w:tcPr>
          <w:p>
            <w:r>
              <w:rPr>
                <w:rFonts w:ascii="Meiryo UI" w:hAnsi="Meiryo UI"/>
                <w:sz w:val="18"/>
              </w:rPr>
              <w:t>9.300%</w:t>
            </w:r>
          </w:p>
        </w:tc>
        <w:tc>
          <w:tcPr>
            <w:tcW w:type="dxa" w:w="1568"/>
            <w:shd w:val="clear" w:color="auto" w:fill="DDEBF7"/>
          </w:tcPr>
          <w:p>
            <w:r>
              <w:rPr>
                <w:rFonts w:ascii="Meiryo UI" w:hAnsi="Meiryo UI"/>
                <w:sz w:val="18"/>
              </w:rPr>
              <w:t>8.73%</w:t>
            </w:r>
          </w:p>
        </w:tc>
        <w:tc>
          <w:tcPr>
            <w:tcW w:type="dxa" w:w="1568"/>
            <w:shd w:val="clear" w:color="auto" w:fill="DDEBF7"/>
          </w:tcPr>
          <w:p>
            <w:r>
              <w:rPr>
                <w:rFonts w:ascii="Meiryo UI" w:hAnsi="Meiryo UI"/>
                <w:sz w:val="18"/>
              </w:rPr>
              <w:t>USD 502</w:t>
            </w:r>
          </w:p>
        </w:tc>
        <w:tc>
          <w:tcPr>
            <w:tcW w:type="dxa" w:w="1568"/>
            <w:shd w:val="clear" w:color="auto" w:fill="DDEBF7"/>
          </w:tcPr>
          <w:p>
            <w:r>
              <w:rPr>
                <w:rFonts w:ascii="Meiryo UI" w:hAnsi="Meiryo UI"/>
                <w:sz w:val="18"/>
              </w:rPr>
              <w:t>+38.3%</w:t>
            </w:r>
          </w:p>
        </w:tc>
      </w:tr>
      <w:tr>
        <w:tc>
          <w:tcPr>
            <w:tcW w:type="dxa" w:w="1568"/>
          </w:tcPr>
          <w:p>
            <w:r>
              <w:rPr>
                <w:rFonts w:ascii="Meiryo UI" w:hAnsi="Meiryo UI"/>
                <w:sz w:val="18"/>
              </w:rPr>
              <w:t>Rf -0.25%</w:t>
            </w:r>
          </w:p>
        </w:tc>
        <w:tc>
          <w:tcPr>
            <w:tcW w:type="dxa" w:w="1568"/>
          </w:tcPr>
          <w:p>
            <w:r>
              <w:rPr>
                <w:rFonts w:ascii="Meiryo UI" w:hAnsi="Meiryo UI"/>
                <w:sz w:val="18"/>
              </w:rPr>
              <w:t>4.050%</w:t>
            </w:r>
          </w:p>
        </w:tc>
        <w:tc>
          <w:tcPr>
            <w:tcW w:type="dxa" w:w="1568"/>
          </w:tcPr>
          <w:p>
            <w:r>
              <w:rPr>
                <w:rFonts w:ascii="Meiryo UI" w:hAnsi="Meiryo UI"/>
                <w:sz w:val="18"/>
              </w:rPr>
              <w:t>9.550%</w:t>
            </w:r>
          </w:p>
        </w:tc>
        <w:tc>
          <w:tcPr>
            <w:tcW w:type="dxa" w:w="1568"/>
          </w:tcPr>
          <w:p>
            <w:r>
              <w:rPr>
                <w:rFonts w:ascii="Meiryo UI" w:hAnsi="Meiryo UI"/>
                <w:sz w:val="18"/>
              </w:rPr>
              <w:t>8.98%</w:t>
            </w:r>
          </w:p>
        </w:tc>
        <w:tc>
          <w:tcPr>
            <w:tcW w:type="dxa" w:w="1568"/>
          </w:tcPr>
          <w:p>
            <w:r>
              <w:rPr>
                <w:rFonts w:ascii="Meiryo UI" w:hAnsi="Meiryo UI"/>
                <w:sz w:val="18"/>
              </w:rPr>
              <w:t>USD 473</w:t>
            </w:r>
          </w:p>
        </w:tc>
        <w:tc>
          <w:tcPr>
            <w:tcW w:type="dxa" w:w="1568"/>
          </w:tcPr>
          <w:p>
            <w:r>
              <w:rPr>
                <w:rFonts w:ascii="Meiryo UI" w:hAnsi="Meiryo UI"/>
                <w:sz w:val="18"/>
              </w:rPr>
              <w:t>+30.3%</w:t>
            </w:r>
          </w:p>
        </w:tc>
      </w:tr>
      <w:tr>
        <w:tc>
          <w:tcPr>
            <w:tcW w:type="dxa" w:w="1568"/>
            <w:shd w:val="clear" w:color="auto" w:fill="DDEBF7"/>
          </w:tcPr>
          <w:p>
            <w:r>
              <w:rPr>
                <w:rFonts w:ascii="Meiryo UI" w:hAnsi="Meiryo UI"/>
                <w:sz w:val="18"/>
              </w:rPr>
              <w:t>Rf ベース</w:t>
            </w:r>
          </w:p>
        </w:tc>
        <w:tc>
          <w:tcPr>
            <w:tcW w:type="dxa" w:w="1568"/>
            <w:shd w:val="clear" w:color="auto" w:fill="DDEBF7"/>
          </w:tcPr>
          <w:p>
            <w:r>
              <w:rPr>
                <w:rFonts w:ascii="Meiryo UI" w:hAnsi="Meiryo UI"/>
                <w:sz w:val="18"/>
              </w:rPr>
              <w:t>4.300%</w:t>
            </w:r>
          </w:p>
        </w:tc>
        <w:tc>
          <w:tcPr>
            <w:tcW w:type="dxa" w:w="1568"/>
            <w:shd w:val="clear" w:color="auto" w:fill="DDEBF7"/>
          </w:tcPr>
          <w:p>
            <w:r>
              <w:rPr>
                <w:rFonts w:ascii="Meiryo UI" w:hAnsi="Meiryo UI"/>
                <w:sz w:val="18"/>
              </w:rPr>
              <w:t>9.800%</w:t>
            </w:r>
          </w:p>
        </w:tc>
        <w:tc>
          <w:tcPr>
            <w:tcW w:type="dxa" w:w="1568"/>
            <w:shd w:val="clear" w:color="auto" w:fill="DDEBF7"/>
          </w:tcPr>
          <w:p>
            <w:r>
              <w:rPr>
                <w:rFonts w:ascii="Meiryo UI" w:hAnsi="Meiryo UI"/>
                <w:sz w:val="18"/>
              </w:rPr>
              <w:t>9.23%</w:t>
            </w:r>
          </w:p>
        </w:tc>
        <w:tc>
          <w:tcPr>
            <w:tcW w:type="dxa" w:w="1568"/>
            <w:shd w:val="clear" w:color="auto" w:fill="DDEBF7"/>
          </w:tcPr>
          <w:p>
            <w:r>
              <w:rPr>
                <w:rFonts w:ascii="Meiryo UI" w:hAnsi="Meiryo UI"/>
                <w:sz w:val="18"/>
              </w:rPr>
              <w:t>USD 447</w:t>
            </w:r>
          </w:p>
        </w:tc>
        <w:tc>
          <w:tcPr>
            <w:tcW w:type="dxa" w:w="1568"/>
            <w:shd w:val="clear" w:color="auto" w:fill="DDEBF7"/>
          </w:tcPr>
          <w:p>
            <w:r>
              <w:rPr>
                <w:rFonts w:ascii="Meiryo UI" w:hAnsi="Meiryo UI"/>
                <w:sz w:val="18"/>
              </w:rPr>
              <w:t>+23.1%</w:t>
            </w:r>
          </w:p>
        </w:tc>
      </w:tr>
      <w:tr>
        <w:tc>
          <w:tcPr>
            <w:tcW w:type="dxa" w:w="1568"/>
          </w:tcPr>
          <w:p>
            <w:r>
              <w:rPr>
                <w:rFonts w:ascii="Meiryo UI" w:hAnsi="Meiryo UI"/>
                <w:sz w:val="18"/>
              </w:rPr>
              <w:t>Rf +0.25%</w:t>
            </w:r>
          </w:p>
        </w:tc>
        <w:tc>
          <w:tcPr>
            <w:tcW w:type="dxa" w:w="1568"/>
          </w:tcPr>
          <w:p>
            <w:r>
              <w:rPr>
                <w:rFonts w:ascii="Meiryo UI" w:hAnsi="Meiryo UI"/>
                <w:sz w:val="18"/>
              </w:rPr>
              <w:t>4.550%</w:t>
            </w:r>
          </w:p>
        </w:tc>
        <w:tc>
          <w:tcPr>
            <w:tcW w:type="dxa" w:w="1568"/>
          </w:tcPr>
          <w:p>
            <w:r>
              <w:rPr>
                <w:rFonts w:ascii="Meiryo UI" w:hAnsi="Meiryo UI"/>
                <w:sz w:val="18"/>
              </w:rPr>
              <w:t>10.050%</w:t>
            </w:r>
          </w:p>
        </w:tc>
        <w:tc>
          <w:tcPr>
            <w:tcW w:type="dxa" w:w="1568"/>
          </w:tcPr>
          <w:p>
            <w:r>
              <w:rPr>
                <w:rFonts w:ascii="Meiryo UI" w:hAnsi="Meiryo UI"/>
                <w:sz w:val="18"/>
              </w:rPr>
              <w:t>9.48%</w:t>
            </w:r>
          </w:p>
        </w:tc>
        <w:tc>
          <w:tcPr>
            <w:tcW w:type="dxa" w:w="1568"/>
          </w:tcPr>
          <w:p>
            <w:r>
              <w:rPr>
                <w:rFonts w:ascii="Meiryo UI" w:hAnsi="Meiryo UI"/>
                <w:sz w:val="18"/>
              </w:rPr>
              <w:t>USD 422</w:t>
            </w:r>
          </w:p>
        </w:tc>
        <w:tc>
          <w:tcPr>
            <w:tcW w:type="dxa" w:w="1568"/>
          </w:tcPr>
          <w:p>
            <w:r>
              <w:rPr>
                <w:rFonts w:ascii="Meiryo UI" w:hAnsi="Meiryo UI"/>
                <w:sz w:val="18"/>
              </w:rPr>
              <w:t>+16.3%</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4.800%</w:t>
            </w:r>
          </w:p>
        </w:tc>
        <w:tc>
          <w:tcPr>
            <w:tcW w:type="dxa" w:w="1568"/>
            <w:shd w:val="clear" w:color="auto" w:fill="DDEBF7"/>
          </w:tcPr>
          <w:p>
            <w:r>
              <w:rPr>
                <w:rFonts w:ascii="Meiryo UI" w:hAnsi="Meiryo UI"/>
                <w:sz w:val="18"/>
              </w:rPr>
              <w:t>10.300%</w:t>
            </w:r>
          </w:p>
        </w:tc>
        <w:tc>
          <w:tcPr>
            <w:tcW w:type="dxa" w:w="1568"/>
            <w:shd w:val="clear" w:color="auto" w:fill="DDEBF7"/>
          </w:tcPr>
          <w:p>
            <w:r>
              <w:rPr>
                <w:rFonts w:ascii="Meiryo UI" w:hAnsi="Meiryo UI"/>
                <w:sz w:val="18"/>
              </w:rPr>
              <w:t>9.73%</w:t>
            </w:r>
          </w:p>
        </w:tc>
        <w:tc>
          <w:tcPr>
            <w:tcW w:type="dxa" w:w="1568"/>
            <w:shd w:val="clear" w:color="auto" w:fill="DDEBF7"/>
          </w:tcPr>
          <w:p>
            <w:r>
              <w:rPr>
                <w:rFonts w:ascii="Meiryo UI" w:hAnsi="Meiryo UI"/>
                <w:sz w:val="18"/>
              </w:rPr>
              <w:t>USD 398</w:t>
            </w:r>
          </w:p>
        </w:tc>
        <w:tc>
          <w:tcPr>
            <w:tcW w:type="dxa" w:w="1568"/>
            <w:shd w:val="clear" w:color="auto" w:fill="DDEBF7"/>
          </w:tcPr>
          <w:p>
            <w:r>
              <w:rPr>
                <w:rFonts w:ascii="Meiryo UI" w:hAnsi="Meiryo UI"/>
                <w:sz w:val="18"/>
              </w:rPr>
              <w:t>+9.6%</w:t>
            </w:r>
          </w:p>
        </w:tc>
      </w:tr>
      <w:tr>
        <w:tc>
          <w:tcPr>
            <w:tcW w:type="dxa" w:w="1568"/>
          </w:tcPr>
          <w:p>
            <w:r>
              <w:rPr>
                <w:rFonts w:ascii="Meiryo UI" w:hAnsi="Meiryo UI"/>
                <w:sz w:val="18"/>
              </w:rPr>
              <w:t>Rf +1.00%</w:t>
            </w:r>
          </w:p>
        </w:tc>
        <w:tc>
          <w:tcPr>
            <w:tcW w:type="dxa" w:w="1568"/>
          </w:tcPr>
          <w:p>
            <w:r>
              <w:rPr>
                <w:rFonts w:ascii="Meiryo UI" w:hAnsi="Meiryo UI"/>
                <w:sz w:val="18"/>
              </w:rPr>
              <w:t>5.300%</w:t>
            </w:r>
          </w:p>
        </w:tc>
        <w:tc>
          <w:tcPr>
            <w:tcW w:type="dxa" w:w="1568"/>
          </w:tcPr>
          <w:p>
            <w:r>
              <w:rPr>
                <w:rFonts w:ascii="Meiryo UI" w:hAnsi="Meiryo UI"/>
                <w:sz w:val="18"/>
              </w:rPr>
              <w:t>10.800%</w:t>
            </w:r>
          </w:p>
        </w:tc>
        <w:tc>
          <w:tcPr>
            <w:tcW w:type="dxa" w:w="1568"/>
          </w:tcPr>
          <w:p>
            <w:r>
              <w:rPr>
                <w:rFonts w:ascii="Meiryo UI" w:hAnsi="Meiryo UI"/>
                <w:sz w:val="18"/>
              </w:rPr>
              <w:t>10.23%</w:t>
            </w:r>
          </w:p>
        </w:tc>
        <w:tc>
          <w:tcPr>
            <w:tcW w:type="dxa" w:w="1568"/>
          </w:tcPr>
          <w:p>
            <w:r>
              <w:rPr>
                <w:rFonts w:ascii="Meiryo UI" w:hAnsi="Meiryo UI"/>
                <w:sz w:val="18"/>
              </w:rPr>
              <w:t>USD 356</w:t>
            </w:r>
          </w:p>
        </w:tc>
        <w:tc>
          <w:tcPr>
            <w:tcW w:type="dxa" w:w="1568"/>
          </w:tcPr>
          <w:p>
            <w:r>
              <w:rPr>
                <w:rFonts w:ascii="Meiryo UI" w:hAnsi="Meiryo UI"/>
                <w:sz w:val="18"/>
              </w:rPr>
              <w:t>▲1.9%</w:t>
            </w:r>
          </w:p>
        </w:tc>
      </w:tr>
    </w:tbl>
    <w:p/>
    <w:p>
      <w:r>
        <w:rPr>
          <w:rFonts w:ascii="Meiryo UI" w:hAnsi="Meiryo UI"/>
          <w:sz w:val="20"/>
        </w:rPr>
        <w:t>&gt; 計算式：各WACCでTV = FCF_2035 × 1.055 / (WACC - 0.055) を再計算し、10年間FCFのPVと合算して株主価値を算出。</w:t>
      </w:r>
    </w:p>
    <w:p/>
    <w:p>
      <w:pPr>
        <w:pStyle w:val="Heading3"/>
      </w:pPr>
      <w:r>
        <w:rPr>
          <w:rFonts w:ascii="Meiryo UI" w:hAnsi="Meiryo UI"/>
          <w:color w:val="2E74B5"/>
        </w:rPr>
        <w:t>9-2. ターミナル成長率（g）感応度</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g</w:t>
            </w:r>
          </w:p>
        </w:tc>
        <w:tc>
          <w:tcPr>
            <w:tcW w:type="dxa" w:w="2351"/>
            <w:shd w:val="clear" w:color="auto" w:fill="2E74B5"/>
          </w:tcPr>
          <w:p>
            <w:r>
              <w:rPr>
                <w:rFonts w:ascii="Meiryo UI" w:hAnsi="Meiryo UI"/>
                <w:b/>
                <w:color w:val="FFFFFF"/>
                <w:sz w:val="18"/>
              </w:rPr>
              <w:t>WACC 8.50%</w:t>
            </w:r>
          </w:p>
        </w:tc>
        <w:tc>
          <w:tcPr>
            <w:tcW w:type="dxa" w:w="2351"/>
            <w:shd w:val="clear" w:color="auto" w:fill="2E74B5"/>
          </w:tcPr>
          <w:p>
            <w:r>
              <w:rPr>
                <w:rFonts w:ascii="Meiryo UI" w:hAnsi="Meiryo UI"/>
                <w:b/>
                <w:color w:val="FFFFFF"/>
                <w:sz w:val="18"/>
              </w:rPr>
              <w:t>WACC 9.23%</w:t>
            </w:r>
          </w:p>
        </w:tc>
        <w:tc>
          <w:tcPr>
            <w:tcW w:type="dxa" w:w="2351"/>
            <w:shd w:val="clear" w:color="auto" w:fill="2E74B5"/>
          </w:tcPr>
          <w:p>
            <w:r>
              <w:rPr>
                <w:rFonts w:ascii="Meiryo UI" w:hAnsi="Meiryo UI"/>
                <w:b/>
                <w:color w:val="FFFFFF"/>
                <w:sz w:val="18"/>
              </w:rPr>
              <w:t>WACC 10.50%</w:t>
            </w:r>
          </w:p>
        </w:tc>
      </w:tr>
      <w:tr>
        <w:tc>
          <w:tcPr>
            <w:tcW w:type="dxa" w:w="2351"/>
          </w:tcPr>
          <w:p>
            <w:r>
              <w:rPr>
                <w:rFonts w:ascii="Meiryo UI" w:hAnsi="Meiryo UI"/>
                <w:sz w:val="18"/>
              </w:rPr>
              <w:t>4.0%</w:t>
            </w:r>
          </w:p>
        </w:tc>
        <w:tc>
          <w:tcPr>
            <w:tcW w:type="dxa" w:w="2351"/>
          </w:tcPr>
          <w:p>
            <w:r>
              <w:rPr>
                <w:rFonts w:ascii="Meiryo UI" w:hAnsi="Meiryo UI"/>
                <w:sz w:val="18"/>
              </w:rPr>
              <w:t>USD 451</w:t>
            </w:r>
          </w:p>
        </w:tc>
        <w:tc>
          <w:tcPr>
            <w:tcW w:type="dxa" w:w="2351"/>
          </w:tcPr>
          <w:p>
            <w:r>
              <w:rPr>
                <w:rFonts w:ascii="Meiryo UI" w:hAnsi="Meiryo UI"/>
                <w:sz w:val="18"/>
              </w:rPr>
              <w:t>USD 356</w:t>
            </w:r>
          </w:p>
        </w:tc>
        <w:tc>
          <w:tcPr>
            <w:tcW w:type="dxa" w:w="2351"/>
          </w:tcPr>
          <w:p>
            <w:r>
              <w:rPr>
                <w:rFonts w:ascii="Meiryo UI" w:hAnsi="Meiryo UI"/>
                <w:sz w:val="18"/>
              </w:rPr>
              <w:t>USD 262</w:t>
            </w:r>
          </w:p>
        </w:tc>
      </w:tr>
      <w:tr>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USD 501</w:t>
            </w:r>
          </w:p>
        </w:tc>
        <w:tc>
          <w:tcPr>
            <w:tcW w:type="dxa" w:w="2351"/>
            <w:shd w:val="clear" w:color="auto" w:fill="DDEBF7"/>
          </w:tcPr>
          <w:p>
            <w:r>
              <w:rPr>
                <w:rFonts w:ascii="Meiryo UI" w:hAnsi="Meiryo UI"/>
                <w:sz w:val="18"/>
              </w:rPr>
              <w:t>USD 400</w:t>
            </w:r>
          </w:p>
        </w:tc>
        <w:tc>
          <w:tcPr>
            <w:tcW w:type="dxa" w:w="2351"/>
            <w:shd w:val="clear" w:color="auto" w:fill="DDEBF7"/>
          </w:tcPr>
          <w:p>
            <w:r>
              <w:rPr>
                <w:rFonts w:ascii="Meiryo UI" w:hAnsi="Meiryo UI"/>
                <w:sz w:val="18"/>
              </w:rPr>
              <w:t>USD 293</w:t>
            </w:r>
          </w:p>
        </w:tc>
      </w:tr>
      <w:tr>
        <w:tc>
          <w:tcPr>
            <w:tcW w:type="dxa" w:w="2351"/>
          </w:tcPr>
          <w:p>
            <w:r>
              <w:rPr>
                <w:rFonts w:ascii="Meiryo UI" w:hAnsi="Meiryo UI"/>
                <w:sz w:val="18"/>
              </w:rPr>
              <w:t>5.5%</w:t>
            </w:r>
          </w:p>
        </w:tc>
        <w:tc>
          <w:tcPr>
            <w:tcW w:type="dxa" w:w="2351"/>
          </w:tcPr>
          <w:p>
            <w:r>
              <w:rPr>
                <w:rFonts w:ascii="Meiryo UI" w:hAnsi="Meiryo UI"/>
                <w:sz w:val="18"/>
              </w:rPr>
              <w:t>USD 533</w:t>
            </w:r>
          </w:p>
        </w:tc>
        <w:tc>
          <w:tcPr>
            <w:tcW w:type="dxa" w:w="2351"/>
          </w:tcPr>
          <w:p>
            <w:r>
              <w:rPr>
                <w:rFonts w:ascii="Meiryo UI" w:hAnsi="Meiryo UI"/>
                <w:sz w:val="18"/>
              </w:rPr>
              <w:t>USD 447</w:t>
            </w:r>
          </w:p>
        </w:tc>
        <w:tc>
          <w:tcPr>
            <w:tcW w:type="dxa" w:w="2351"/>
          </w:tcPr>
          <w:p>
            <w:r>
              <w:rPr>
                <w:rFonts w:ascii="Meiryo UI" w:hAnsi="Meiryo UI"/>
                <w:sz w:val="18"/>
              </w:rPr>
              <w:t>USD 327</w:t>
            </w:r>
          </w:p>
        </w:tc>
      </w:tr>
      <w:tr>
        <w:tc>
          <w:tcPr>
            <w:tcW w:type="dxa" w:w="2351"/>
            <w:shd w:val="clear" w:color="auto" w:fill="DDEBF7"/>
          </w:tcPr>
          <w:p>
            <w:r>
              <w:rPr>
                <w:rFonts w:ascii="Meiryo UI" w:hAnsi="Meiryo UI"/>
                <w:sz w:val="18"/>
              </w:rPr>
              <w:t>6.0%</w:t>
            </w:r>
          </w:p>
        </w:tc>
        <w:tc>
          <w:tcPr>
            <w:tcW w:type="dxa" w:w="2351"/>
            <w:shd w:val="clear" w:color="auto" w:fill="DDEBF7"/>
          </w:tcPr>
          <w:p>
            <w:r>
              <w:rPr>
                <w:rFonts w:ascii="Meiryo UI" w:hAnsi="Meiryo UI"/>
                <w:sz w:val="18"/>
              </w:rPr>
              <w:t>USD 573</w:t>
            </w:r>
          </w:p>
        </w:tc>
        <w:tc>
          <w:tcPr>
            <w:tcW w:type="dxa" w:w="2351"/>
            <w:shd w:val="clear" w:color="auto" w:fill="DDEBF7"/>
          </w:tcPr>
          <w:p>
            <w:r>
              <w:rPr>
                <w:rFonts w:ascii="Meiryo UI" w:hAnsi="Meiryo UI"/>
                <w:sz w:val="18"/>
              </w:rPr>
              <w:t>USD 502</w:t>
            </w:r>
          </w:p>
        </w:tc>
        <w:tc>
          <w:tcPr>
            <w:tcW w:type="dxa" w:w="2351"/>
            <w:shd w:val="clear" w:color="auto" w:fill="DDEBF7"/>
          </w:tcPr>
          <w:p>
            <w:r>
              <w:rPr>
                <w:rFonts w:ascii="Meiryo UI" w:hAnsi="Meiryo UI"/>
                <w:sz w:val="18"/>
              </w:rPr>
              <w:t>USD 365</w:t>
            </w:r>
          </w:p>
        </w:tc>
      </w:tr>
      <w:tr>
        <w:tc>
          <w:tcPr>
            <w:tcW w:type="dxa" w:w="2351"/>
          </w:tcPr>
          <w:p>
            <w:r>
              <w:rPr>
                <w:rFonts w:ascii="Meiryo UI" w:hAnsi="Meiryo UI"/>
                <w:sz w:val="18"/>
              </w:rPr>
              <w:t>6.5%</w:t>
            </w:r>
          </w:p>
        </w:tc>
        <w:tc>
          <w:tcPr>
            <w:tcW w:type="dxa" w:w="2351"/>
          </w:tcPr>
          <w:p>
            <w:r>
              <w:rPr>
                <w:rFonts w:ascii="Meiryo UI" w:hAnsi="Meiryo UI"/>
                <w:sz w:val="18"/>
              </w:rPr>
              <w:t>USD 625</w:t>
            </w:r>
          </w:p>
        </w:tc>
        <w:tc>
          <w:tcPr>
            <w:tcW w:type="dxa" w:w="2351"/>
          </w:tcPr>
          <w:p>
            <w:r>
              <w:rPr>
                <w:rFonts w:ascii="Meiryo UI" w:hAnsi="Meiryo UI"/>
                <w:sz w:val="18"/>
              </w:rPr>
              <w:t>USD 565</w:t>
            </w:r>
          </w:p>
        </w:tc>
        <w:tc>
          <w:tcPr>
            <w:tcW w:type="dxa" w:w="2351"/>
          </w:tcPr>
          <w:p>
            <w:r>
              <w:rPr>
                <w:rFonts w:ascii="Meiryo UI" w:hAnsi="Meiryo UI"/>
                <w:sz w:val="18"/>
              </w:rPr>
              <w:t>USD 408</w:t>
            </w:r>
          </w:p>
        </w:tc>
      </w:tr>
    </w:tbl>
    <w:p/>
    <w:p>
      <w:pPr>
        <w:pStyle w:val="Heading3"/>
      </w:pPr>
      <w:r>
        <w:rPr>
          <w:rFonts w:ascii="Meiryo UI" w:hAnsi="Meiryo UI"/>
          <w:color w:val="2E74B5"/>
        </w:rPr>
        <w:t>9-3. 感応度分析の解釈</w:t>
      </w:r>
    </w:p>
    <w:p/>
    <w:p>
      <w:pPr>
        <w:shd w:val="clear" w:color="auto" w:fill="F2F2F2"/>
      </w:pPr>
      <w:r>
        <w:rPr>
          <w:rFonts w:ascii="Courier New" w:hAnsi="Courier New"/>
          <w:sz w:val="16"/>
        </w:rPr>
        <w:t>▼ 最重要所見：</w:t>
        <w:br/>
        <w:t>1. 金利上昇（Rf+1.00%→WACC 10.23%）の場合、理論株価はUSD356となり</w:t>
        <w:br/>
        <w:t xml:space="preserve">   現在値USD363をわずかに下回る（▲1.9%）。金利上昇は最大の短期バリュエーションリスク。</w:t>
        <w:br/>
        <w:br/>
        <w:t>2. 金利低下（Rf-0.50%→WACC 8.73%）の場合、理論株価はUSD502へと大幅上昇。</w:t>
        <w:br/>
        <w:t xml:space="preserve">   FRB利下げサイクル再開はTSMの強力な触媒となる。</w:t>
        <w:br/>
        <w:br/>
        <w:t>3. 現在のRf=4.30%でベースケースUSD447は現在値比+23%。</w:t>
        <w:br/>
        <w:t xml:space="preserve">   金利が現状維持でも十分な上値余地が存在する。</w:t>
      </w:r>
    </w:p>
    <w:p/>
    <w:p>
      <w:r>
        <w:t>──────────────────────────────────────────────────</w:t>
      </w:r>
    </w:p>
    <w:p/>
    <w:p>
      <w:pPr>
        <w:pStyle w:val="Heading2"/>
      </w:pPr>
      <w:r>
        <w:rPr>
          <w:rFonts w:ascii="Meiryo UI" w:hAnsi="Meiryo UI"/>
          <w:color w:val="2E74B5"/>
        </w:rPr>
        <w:t>セクション10：総合結論</w:t>
      </w:r>
    </w:p>
    <w:p/>
    <w:p>
      <w:pPr>
        <w:pStyle w:val="Heading3"/>
      </w:pPr>
      <w:r>
        <w:rPr>
          <w:rFonts w:ascii="Meiryo UI" w:hAnsi="Meiryo UI"/>
          <w:color w:val="2E74B5"/>
        </w:rPr>
        <w:t>10-1. 投資判断サマリー</w:t>
      </w:r>
    </w:p>
    <w:p/>
    <w:p>
      <w:pPr>
        <w:shd w:val="clear" w:color="auto" w:fill="F2F2F2"/>
      </w:pPr>
      <w:r>
        <w:rPr>
          <w:rFonts w:ascii="Courier New" w:hAnsi="Courier New"/>
          <w:sz w:val="16"/>
        </w:rPr>
        <w:t>┌─────────────────────────────────────────────────┐</w:t>
        <w:br/>
        <w:t>│  TSM（TSMC）最終投資判断                          │</w:t>
        <w:br/>
        <w:t>│  深井レーティング：【BUY（買い）】                  │</w:t>
        <w:br/>
        <w:t>│  現在値：USD 363                                  │</w:t>
        <w:br/>
        <w:t>│  理論株価（FV）：USD 447（ベース）/ USD 580（強気） │</w:t>
        <w:br/>
        <w:t>│  損切り：USD 305                                  │</w:t>
        <w:br/>
        <w:t>│  12ヶ月期待リターン：+20.5%（確率加重）              │</w:t>
        <w:br/>
        <w:t>└─────────────────────────────────────────────────┘</w:t>
      </w:r>
    </w:p>
    <w:p/>
    <w:p>
      <w:pPr>
        <w:pStyle w:val="Heading3"/>
      </w:pPr>
      <w:r>
        <w:rPr>
          <w:rFonts w:ascii="Meiryo UI" w:hAnsi="Meiryo UI"/>
          <w:color w:val="2E74B5"/>
        </w:rPr>
        <w:t>10-2. 深井の最終コメント</w:t>
      </w:r>
    </w:p>
    <w:p/>
    <w:p>
      <w:r>
        <w:rPr>
          <w:rFonts w:ascii="Meiryo UI" w:hAnsi="Meiryo UI"/>
          <w:sz w:val="20"/>
        </w:rPr>
        <w:t>Q1 2026確定値（粗利66.25%・純利50.51%・EPS NT$110.40）は、世界のあらゆる大規模製造業の中でも際立った水準である。TSMC は「作れば作るほど儲かる」構造的優位を確立しており、AIインフラ投資の長期化がこの優位性を2030年代まで持続させると判断する。</w:t>
      </w:r>
    </w:p>
    <w:p/>
    <w:p>
      <w:r>
        <w:rPr>
          <w:rFonts w:ascii="Meiryo UI" w:hAnsi="Meiryo UI"/>
          <w:sz w:val="20"/>
        </w:rPr>
        <w:t>決算後-3.13%の下落は「期待値の調整」であり、業績劣化の証拠は皆無である。DCFベースケースUSD447と現在値USD363の乖離は、地政学ディスカウントと「売りオンニュース」後の一時的な調整が重なった結果であり、中長期投資家にとってはエントリー好機と見なす。</w:t>
      </w:r>
    </w:p>
    <w:p/>
    <w:p>
      <w:r>
        <w:rPr>
          <w:rFonts w:ascii="Meiryo UI" w:hAnsi="Meiryo UI"/>
          <w:sz w:val="20"/>
        </w:rPr>
        <w:t>最大リスクは米中輸出規制の急激な強化と台湾地政学の緊張激化である。これらは「低確率・高インパクト」の尾部リスクであり、ポジションサイズ管理（全力投資禁止）と明確な損切りライン（USD305）の設定で対応すること。</w:t>
      </w:r>
    </w:p>
    <w:p/>
    <w:p>
      <w:r>
        <w:t>──────────────────────────────────────────────────</w:t>
      </w:r>
    </w:p>
    <w:p/>
    <w:p>
      <w:r>
        <w:rPr>
          <w:rFonts w:ascii="Meiryo UI" w:hAnsi="Meiryo UI"/>
          <w:sz w:val="20"/>
        </w:rPr>
        <w:t>本レポートは竹村トレードカンパニー内部資料として作成。投資判断は各自の責任において行うこと。</w:t>
      </w:r>
    </w:p>
    <w:p>
      <w:r>
        <w:rPr>
          <w:rFonts w:ascii="Meiryo UI" w:hAnsi="Meiryo UI"/>
          <w:sz w:val="20"/>
        </w:rPr>
        <w:t>アナリスト：深井 ／ 作成日：2026-04-17 ／ TSM V2 REVISION完全版</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4.300%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米10年国債（US10Y）4.30%（参考値）</w:t>
            </w:r>
          </w:p>
        </w:tc>
      </w:tr>
      <w:tr>
        <w:tc>
          <w:tcPr>
            <w:tcW w:type="dxa" w:w="4703"/>
          </w:tcPr>
          <w:p>
            <w:r>
              <w:rPr>
                <w:rFonts w:ascii="Meiryo UI" w:hAnsi="Meiryo UI"/>
                <w:sz w:val="18"/>
              </w:rPr>
              <w:t>データ取得日時</w:t>
            </w:r>
          </w:p>
        </w:tc>
        <w:tc>
          <w:tcPr>
            <w:tcW w:type="dxa" w:w="4703"/>
          </w:tcPr>
          <w:p>
            <w:r>
              <w:rPr>
                <w:rFonts w:ascii="Meiryo UI" w:hAnsi="Meiryo UI"/>
                <w:sz w:val="18"/>
              </w:rPr>
              <w:t>2026-04-17 05:21 JST</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参考値（US Treasury / investing.com US10Y）</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TSM_台湾積体電路製造_BUY_DeepResearch_20260417.md を出力しました。</w:t>
      </w:r>
    </w:p>
    <w:p>
      <w:r>
        <w:rPr>
          <w:rFonts w:ascii="Meiryo UI" w:hAnsi="Meiryo UI"/>
          <w:sz w:val="20"/>
        </w:rPr>
        <w:t>浅井スコア +99 の銘柄 [TSM]台湾積体電路製造（TSMC）2330.TW_V2 についてDeepResearch完了。</w:t>
      </w:r>
    </w:p>
    <w:p>
      <w:r>
        <w:rPr>
          <w:rFonts w:ascii="Meiryo UI" w:hAnsi="Meiryo UI"/>
          <w:sz w:val="20"/>
        </w:rPr>
        <w:t>使用Rf: 4.300%（取得: 2026-04-17 05:21 JST）</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