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Research】大東建託（1878） 総合投資調査レポート</w:t>
      </w:r>
    </w:p>
    <w:p/>
    <w:p/>
    <w:p>
      <w:pPr>
        <w:jc w:val="center"/>
      </w:pPr>
      <w:r>
        <w:rPr>
          <w:rFonts w:ascii="Meiryo UI" w:hAnsi="Meiryo UI"/>
          <w:sz w:val="24"/>
        </w:rPr>
        <w:t>アナリスト：深井</w:t>
      </w:r>
    </w:p>
    <w:p>
      <w:pPr>
        <w:jc w:val="center"/>
      </w:pPr>
      <w:r>
        <w:rPr>
          <w:rFonts w:ascii="Meiryo UI" w:hAnsi="Meiryo UI"/>
          <w:sz w:val="24"/>
        </w:rPr>
        <w:t>分析日：2026年04月04日</w:t>
      </w:r>
    </w:p>
    <w:p>
      <w:r>
        <w:br w:type="page"/>
      </w:r>
    </w:p>
    <w:p>
      <w:pPr>
        <w:pStyle w:val="Heading1"/>
      </w:pPr>
      <w:r>
        <w:rPr>
          <w:rFonts w:ascii="Meiryo UI" w:hAnsi="Meiryo UI"/>
          <w:color w:val="1F3864"/>
        </w:rPr>
        <w:t>【Deep Research】大東建託（1878） 総合投資調査レポート</w:t>
      </w:r>
    </w:p>
    <w:p/>
    <w:p>
      <w:pPr>
        <w:shd w:val="clear" w:color="auto" w:fill="F2F2F2"/>
      </w:pPr>
      <w:r>
        <w:rPr>
          <w:rFonts w:ascii="Courier New" w:hAnsi="Courier New"/>
          <w:sz w:val="16"/>
        </w:rPr>
        <w:t>{</w:t>
        <w:br/>
        <w:t xml:space="preserve">  "analyst": "深井",</w:t>
        <w:br/>
        <w:t xml:space="preserve">  "analysis_date": "2026-04-03",</w:t>
        <w:br/>
        <w:t xml:space="preserve">  "ticker_code": "1878",</w:t>
        <w:br/>
        <w:t xml:space="preserve">  "ticker_name": "大東建託株式会社",</w:t>
        <w:br/>
        <w:t xml:space="preserve">  "report_type": "Deep Research — 最高レベル",</w:t>
        <w:br/>
        <w:t xml:space="preserve">  "financials": {</w:t>
        <w:br/>
        <w:t xml:space="preserve">    "fcf_base": 80000,</w:t>
        <w:br/>
        <w:t xml:space="preserve">    "roe": 21.5,</w:t>
        <w:br/>
        <w:t xml:space="preserve">    "equity_ratio": 38.4,</w:t>
        <w:br/>
        <w:t xml:space="preserve">    "revenue_growth_yoy": 6.4,</w:t>
        <w:br/>
        <w:t xml:space="preserve">    "operating_margin": 6.5</w:t>
        <w:br/>
        <w:t xml:space="preserve">  },</w:t>
        <w:br/>
        <w:t xml:space="preserve">  "dcf_assumptions": {</w:t>
        <w:br/>
        <w:t xml:space="preserve">    "jgb_10y": 1.5,</w:t>
        <w:br/>
        <w:t xml:space="preserve">    "equity_risk_premium": 5.5,</w:t>
        <w:br/>
        <w:t xml:space="preserve">    "beta": 0.85,</w:t>
        <w:br/>
        <w:t xml:space="preserve">    "cost_of_equity": 6.2,</w:t>
        <w:br/>
        <w:t xml:space="preserve">    "cost_of_debt_after_tax": 0.5,</w:t>
        <w:br/>
        <w:t xml:space="preserve">    "wacc": 5.0,</w:t>
        <w:br/>
        <w:t xml:space="preserve">    "wacc_basis": "Ke=1.5%+5.5%×0.85=6.175%、Kd税引後=0.5%、資本構成E/V≈80%・D/V≈20%でWACC算出",</w:t>
        <w:br/>
        <w:t xml:space="preserve">    "fcf_growth_phase1": 5.0,</w:t>
        <w:br/>
        <w:t xml:space="preserve">    "fcf_growth_phase1_basis": "管理戸数増加と都市部集中戦略による利益率改善。中計最終年度FY2026目標営業利益1,400億円を根拠に5%成長を採用",</w:t>
        <w:br/>
        <w:t xml:space="preserve">    "fcf_growth_terminal": 1.0,</w:t>
        <w:br/>
        <w:t xml:space="preserve">    "fcf_growth_terminal_basis": "日本の名目GDP成長率1.0〜1.5%の下限。人口動態の逆風を考慮し保守的に1.0%を採用",</w:t>
        <w:br/>
        <w:t xml:space="preserve">    "forecast_years": 5</w:t>
        <w:br/>
        <w:t xml:space="preserve">  },</w:t>
        <w:br/>
        <w:t xml:space="preserve">  "dcf_result": {</w:t>
        <w:br/>
        <w:t xml:space="preserve">    "pv_explicit_period": 386000,</w:t>
        <w:br/>
        <w:t xml:space="preserve">    "terminal_value": 2000000,</w:t>
        <w:br/>
        <w:t xml:space="preserve">    "pv_terminal_value": 1567000,</w:t>
        <w:br/>
        <w:t xml:space="preserve">    "enterprise_value": 1953000,</w:t>
        <w:br/>
        <w:t xml:space="preserve">    "net_debt": -80000,</w:t>
        <w:br/>
        <w:t xml:space="preserve">    "equity_value": 2033000,</w:t>
        <w:br/>
        <w:t xml:space="preserve">    "shares_outstanding": 34459,</w:t>
        <w:br/>
        <w:t xml:space="preserve">    "theoretical_price": 5900,</w:t>
        <w:br/>
        <w:t xml:space="preserve">    "current_price": 3742,</w:t>
        <w:br/>
        <w:t xml:space="preserve">    "upside_downside_pct": 57.7,</w:t>
        <w:br/>
        <w:t xml:space="preserve">    "investment_rating": "強い買い"</w:t>
        <w:br/>
        <w:t xml:space="preserve">  },</w:t>
        <w:br/>
        <w:t xml:space="preserve">  "key_risks": [</w:t>
        <w:br/>
        <w:t xml:space="preserve">    "受注高の前期比▲11.7%（FY2026Q1）という先行指標の悪化",</w:t>
        <w:br/>
        <w:t xml:space="preserve">    "建設コスト上昇による受注採算・量への圧力",</w:t>
        <w:br/>
        <w:t xml:space="preserve">    "人口減少による長期賃貸需要の構造的減退",</w:t>
        <w:br/>
        <w:t xml:space="preserve">    "金利上昇によるアパートローン需要減退",</w:t>
        <w:br/>
        <w:t xml:space="preserve">    "サブリース賃料下落（築年数経過に伴う構造的圧力）"</w:t>
        <w:br/>
        <w:t xml:space="preserve">  ],</w:t>
        <w:br/>
        <w:t xml:space="preserve">  "analyst_comment": "管理戸数129万戸という国内最大のストック基盤を持つ大東建託は、フロー（建設）＋ストック（賃貸管理）の垂直統合モデルで安定収益を創出している。FY2025は純利益+25.7%増と過去最高水準を更新し、DCFベースの理論株価は5,900円と現在株価3,742円に対して+57.7%の上値余地がある。ただしQ1受注高の▲11.7%減は中計目標達成の遅延リスクを示唆しており、都市部集中戦略の成果を四半期ごとに精査すべき局面にある。配当利回り3.8%・PER13倍という水準は、同業の積水ハウス（PER10.6倍、配当4.1%）と比べやや割高だが、ROE21%超という圧倒的な資本効率がプレミアムを正当化する。"</w:t>
        <w:br/>
        <w:t>}</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銘柄</w:t>
            </w:r>
          </w:p>
        </w:tc>
        <w:tc>
          <w:tcPr>
            <w:tcW w:type="dxa" w:w="4703"/>
          </w:tcPr>
          <w:p>
            <w:r>
              <w:rPr>
                <w:rFonts w:ascii="Meiryo UI" w:hAnsi="Meiryo UI"/>
                <w:sz w:val="18"/>
              </w:rPr>
              <w:t>大東建託株式会社（東証プライム：1878）</w:t>
            </w:r>
          </w:p>
        </w:tc>
      </w:tr>
      <w:tr>
        <w:tc>
          <w:tcPr>
            <w:tcW w:type="dxa" w:w="4703"/>
            <w:shd w:val="clear" w:color="auto" w:fill="DDEBF7"/>
          </w:tcPr>
          <w:p>
            <w:r>
              <w:rPr>
                <w:rFonts w:ascii="Meiryo UI" w:hAnsi="Meiryo UI"/>
                <w:sz w:val="18"/>
              </w:rPr>
              <w:t>分析日</w:t>
            </w:r>
          </w:p>
        </w:tc>
        <w:tc>
          <w:tcPr>
            <w:tcW w:type="dxa" w:w="4703"/>
            <w:shd w:val="clear" w:color="auto" w:fill="DDEBF7"/>
          </w:tcPr>
          <w:p>
            <w:r>
              <w:rPr>
                <w:rFonts w:ascii="Meiryo UI" w:hAnsi="Meiryo UI"/>
                <w:sz w:val="18"/>
              </w:rPr>
              <w:t>2026年4月3日</w:t>
            </w:r>
          </w:p>
        </w:tc>
      </w:tr>
      <w:tr>
        <w:tc>
          <w:tcPr>
            <w:tcW w:type="dxa" w:w="4703"/>
          </w:tcPr>
          <w:p>
            <w:r>
              <w:rPr>
                <w:rFonts w:ascii="Meiryo UI" w:hAnsi="Meiryo UI"/>
                <w:sz w:val="18"/>
              </w:rPr>
              <w:t>現在株価</w:t>
            </w:r>
          </w:p>
        </w:tc>
        <w:tc>
          <w:tcPr>
            <w:tcW w:type="dxa" w:w="4703"/>
          </w:tcPr>
          <w:p>
            <w:r>
              <w:rPr>
                <w:rFonts w:ascii="Meiryo UI" w:hAnsi="Meiryo UI"/>
                <w:sz w:val="18"/>
              </w:rPr>
              <w:t>3,742円</w:t>
            </w:r>
          </w:p>
        </w:tc>
      </w:tr>
      <w:tr>
        <w:tc>
          <w:tcPr>
            <w:tcW w:type="dxa" w:w="4703"/>
            <w:shd w:val="clear" w:color="auto" w:fill="DDEBF7"/>
          </w:tcPr>
          <w:p>
            <w:r>
              <w:rPr>
                <w:rFonts w:ascii="Meiryo UI" w:hAnsi="Meiryo UI"/>
                <w:sz w:val="18"/>
              </w:rPr>
              <w:t>DCF理論株価</w:t>
            </w:r>
          </w:p>
        </w:tc>
        <w:tc>
          <w:tcPr>
            <w:tcW w:type="dxa" w:w="4703"/>
            <w:shd w:val="clear" w:color="auto" w:fill="DDEBF7"/>
          </w:tcPr>
          <w:p>
            <w:r>
              <w:rPr>
                <w:rFonts w:ascii="Meiryo UI" w:hAnsi="Meiryo UI"/>
                <w:sz w:val="18"/>
              </w:rPr>
              <w:t>5,900円</w:t>
            </w:r>
          </w:p>
        </w:tc>
      </w:tr>
      <w:tr>
        <w:tc>
          <w:tcPr>
            <w:tcW w:type="dxa" w:w="4703"/>
          </w:tcPr>
          <w:p>
            <w:r>
              <w:rPr>
                <w:rFonts w:ascii="Meiryo UI" w:hAnsi="Meiryo UI"/>
                <w:sz w:val="18"/>
              </w:rPr>
              <w:t>上値余地</w:t>
            </w:r>
          </w:p>
        </w:tc>
        <w:tc>
          <w:tcPr>
            <w:tcW w:type="dxa" w:w="4703"/>
          </w:tcPr>
          <w:p>
            <w:r>
              <w:rPr>
                <w:rFonts w:ascii="Meiryo UI" w:hAnsi="Meiryo UI"/>
                <w:sz w:val="18"/>
              </w:rPr>
              <w:t>+57.7%</w:t>
            </w:r>
          </w:p>
        </w:tc>
      </w:tr>
      <w:tr>
        <w:tc>
          <w:tcPr>
            <w:tcW w:type="dxa" w:w="4703"/>
            <w:shd w:val="clear" w:color="auto" w:fill="DDEBF7"/>
          </w:tcPr>
          <w:p>
            <w:r>
              <w:rPr>
                <w:rFonts w:ascii="Meiryo UI" w:hAnsi="Meiryo UI"/>
                <w:sz w:val="18"/>
              </w:rPr>
              <w:t>投資レーティング</w:t>
            </w:r>
          </w:p>
        </w:tc>
        <w:tc>
          <w:tcPr>
            <w:tcW w:type="dxa" w:w="4703"/>
            <w:shd w:val="clear" w:color="auto" w:fill="DDEBF7"/>
          </w:tcPr>
          <w:p>
            <w:r>
              <w:rPr>
                <w:rFonts w:ascii="Meiryo UI" w:hAnsi="Meiryo UI"/>
                <w:sz w:val="18"/>
              </w:rPr>
              <w:t>強い買い</w:t>
            </w:r>
          </w:p>
        </w:tc>
      </w:tr>
      <w:tr>
        <w:tc>
          <w:tcPr>
            <w:tcW w:type="dxa" w:w="4703"/>
          </w:tcPr>
          <w:p>
            <w:r>
              <w:rPr>
                <w:rFonts w:ascii="Meiryo UI" w:hAnsi="Meiryo UI"/>
                <w:sz w:val="18"/>
              </w:rPr>
              <w:t>配当利回り（予）</w:t>
            </w:r>
          </w:p>
        </w:tc>
        <w:tc>
          <w:tcPr>
            <w:tcW w:type="dxa" w:w="4703"/>
          </w:tcPr>
          <w:p>
            <w:r>
              <w:rPr>
                <w:rFonts w:ascii="Meiryo UI" w:hAnsi="Meiryo UI"/>
                <w:sz w:val="18"/>
              </w:rPr>
              <w:t>3.82%（1株143円）</w:t>
            </w:r>
          </w:p>
        </w:tc>
      </w:tr>
      <w:tr>
        <w:tc>
          <w:tcPr>
            <w:tcW w:type="dxa" w:w="4703"/>
            <w:shd w:val="clear" w:color="auto" w:fill="DDEBF7"/>
          </w:tcPr>
          <w:p>
            <w:r>
              <w:rPr>
                <w:rFonts w:ascii="Meiryo UI" w:hAnsi="Meiryo UI"/>
                <w:sz w:val="18"/>
              </w:rPr>
              <w:t>総合リスク評価</w:t>
            </w:r>
          </w:p>
        </w:tc>
        <w:tc>
          <w:tcPr>
            <w:tcW w:type="dxa" w:w="4703"/>
            <w:shd w:val="clear" w:color="auto" w:fill="DDEBF7"/>
          </w:tcPr>
          <w:p>
            <w:r>
              <w:rPr>
                <w:rFonts w:ascii="Meiryo UI" w:hAnsi="Meiryo UI"/>
                <w:sz w:val="18"/>
              </w:rPr>
              <w:t>🟠 High（主因：受注モメンタム悪化）</w:t>
            </w:r>
          </w:p>
        </w:tc>
      </w:tr>
    </w:tbl>
    <w:p/>
    <w:p>
      <w:r>
        <w:t>──────────────────────────────────────────────────</w:t>
      </w:r>
    </w:p>
    <w:p/>
    <w:p>
      <w:pPr>
        <w:pStyle w:val="Heading2"/>
      </w:pPr>
      <w:r>
        <w:rPr>
          <w:rFonts w:ascii="Meiryo UI" w:hAnsi="Meiryo UI"/>
          <w:color w:val="2E74B5"/>
        </w:rPr>
        <w:t>Section A: ビジネスモデル詳細</w:t>
      </w:r>
    </w:p>
    <w:p/>
    <w:p>
      <w:pPr>
        <w:pStyle w:val="Heading3"/>
      </w:pPr>
      <w:r>
        <w:rPr>
          <w:rFonts w:ascii="Meiryo UI" w:hAnsi="Meiryo UI"/>
          <w:color w:val="2E74B5"/>
        </w:rPr>
        <w:t>収益セグメント構成（FY2025：2025年3月期）</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収益セグメント</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構成比</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利益率</w:t>
            </w:r>
          </w:p>
        </w:tc>
        <w:tc>
          <w:tcPr>
            <w:tcW w:type="dxa" w:w="1344"/>
            <w:shd w:val="clear" w:color="auto" w:fill="2E74B5"/>
          </w:tcPr>
          <w:p>
            <w:r>
              <w:rPr>
                <w:rFonts w:ascii="Meiryo UI" w:hAnsi="Meiryo UI"/>
                <w:b/>
                <w:color w:val="FFFFFF"/>
                <w:sz w:val="18"/>
              </w:rPr>
              <w:t>成長性</w:t>
            </w:r>
          </w:p>
        </w:tc>
        <w:tc>
          <w:tcPr>
            <w:tcW w:type="dxa" w:w="1344"/>
            <w:shd w:val="clear" w:color="auto" w:fill="2E74B5"/>
          </w:tcPr>
          <w:p>
            <w:r>
              <w:rPr>
                <w:rFonts w:ascii="Meiryo UI" w:hAnsi="Meiryo UI"/>
                <w:b/>
                <w:color w:val="FFFFFF"/>
                <w:sz w:val="18"/>
              </w:rPr>
              <w:t>持続可能性</w:t>
            </w:r>
          </w:p>
        </w:tc>
      </w:tr>
      <w:tr>
        <w:tc>
          <w:tcPr>
            <w:tcW w:type="dxa" w:w="1344"/>
          </w:tcPr>
          <w:p>
            <w:r>
              <w:rPr>
                <w:rFonts w:ascii="Meiryo UI" w:hAnsi="Meiryo UI"/>
                <w:sz w:val="18"/>
              </w:rPr>
              <w:t>不動産賃貸事業</w:t>
            </w:r>
          </w:p>
        </w:tc>
        <w:tc>
          <w:tcPr>
            <w:tcW w:type="dxa" w:w="1344"/>
          </w:tcPr>
          <w:p>
            <w:r>
              <w:rPr>
                <w:rFonts w:ascii="Meiryo UI" w:hAnsi="Meiryo UI"/>
                <w:sz w:val="18"/>
              </w:rPr>
              <w:t>1兆1,646億円</w:t>
            </w:r>
          </w:p>
        </w:tc>
        <w:tc>
          <w:tcPr>
            <w:tcW w:type="dxa" w:w="1344"/>
          </w:tcPr>
          <w:p>
            <w:r>
              <w:rPr>
                <w:rFonts w:ascii="Meiryo UI" w:hAnsi="Meiryo UI"/>
                <w:sz w:val="18"/>
              </w:rPr>
              <w:t>63.2%</w:t>
            </w:r>
          </w:p>
        </w:tc>
        <w:tc>
          <w:tcPr>
            <w:tcW w:type="dxa" w:w="1344"/>
          </w:tcPr>
          <w:p>
            <w:r>
              <w:rPr>
                <w:rFonts w:ascii="Meiryo UI" w:hAnsi="Meiryo UI"/>
                <w:sz w:val="18"/>
              </w:rPr>
              <w:t>803億円</w:t>
            </w:r>
          </w:p>
        </w:tc>
        <w:tc>
          <w:tcPr>
            <w:tcW w:type="dxa" w:w="1344"/>
          </w:tcPr>
          <w:p>
            <w:r>
              <w:rPr>
                <w:rFonts w:ascii="Meiryo UI" w:hAnsi="Meiryo UI"/>
                <w:sz w:val="18"/>
              </w:rPr>
              <w:t>6.9%</w:t>
            </w:r>
          </w:p>
        </w:tc>
        <w:tc>
          <w:tcPr>
            <w:tcW w:type="dxa" w:w="1344"/>
          </w:tcPr>
          <w:p>
            <w:r>
              <w:rPr>
                <w:rFonts w:ascii="Meiryo UI" w:hAnsi="Meiryo UI"/>
                <w:sz w:val="18"/>
              </w:rPr>
              <w:t>中（+3.1%）</w:t>
            </w:r>
          </w:p>
        </w:tc>
        <w:tc>
          <w:tcPr>
            <w:tcW w:type="dxa" w:w="1344"/>
          </w:tcPr>
          <w:p>
            <w:r>
              <w:rPr>
                <w:rFonts w:ascii="Meiryo UI" w:hAnsi="Meiryo UI"/>
                <w:sz w:val="18"/>
              </w:rPr>
              <w:t>高</w:t>
            </w:r>
          </w:p>
        </w:tc>
      </w:tr>
      <w:tr>
        <w:tc>
          <w:tcPr>
            <w:tcW w:type="dxa" w:w="1344"/>
            <w:shd w:val="clear" w:color="auto" w:fill="DDEBF7"/>
          </w:tcPr>
          <w:p>
            <w:r>
              <w:rPr>
                <w:rFonts w:ascii="Meiryo UI" w:hAnsi="Meiryo UI"/>
                <w:sz w:val="18"/>
              </w:rPr>
              <w:t>建設事業</w:t>
            </w:r>
          </w:p>
        </w:tc>
        <w:tc>
          <w:tcPr>
            <w:tcW w:type="dxa" w:w="1344"/>
            <w:shd w:val="clear" w:color="auto" w:fill="DDEBF7"/>
          </w:tcPr>
          <w:p>
            <w:r>
              <w:rPr>
                <w:rFonts w:ascii="Meiryo UI" w:hAnsi="Meiryo UI"/>
                <w:sz w:val="18"/>
              </w:rPr>
              <w:t>5,409億円</w:t>
            </w:r>
          </w:p>
        </w:tc>
        <w:tc>
          <w:tcPr>
            <w:tcW w:type="dxa" w:w="1344"/>
            <w:shd w:val="clear" w:color="auto" w:fill="DDEBF7"/>
          </w:tcPr>
          <w:p>
            <w:r>
              <w:rPr>
                <w:rFonts w:ascii="Meiryo UI" w:hAnsi="Meiryo UI"/>
                <w:sz w:val="18"/>
              </w:rPr>
              <w:t>29.4%</w:t>
            </w:r>
          </w:p>
        </w:tc>
        <w:tc>
          <w:tcPr>
            <w:tcW w:type="dxa" w:w="1344"/>
            <w:shd w:val="clear" w:color="auto" w:fill="DDEBF7"/>
          </w:tcPr>
          <w:p>
            <w:r>
              <w:rPr>
                <w:rFonts w:ascii="Meiryo UI" w:hAnsi="Meiryo UI"/>
                <w:sz w:val="18"/>
              </w:rPr>
              <w:t>471億円</w:t>
            </w:r>
          </w:p>
        </w:tc>
        <w:tc>
          <w:tcPr>
            <w:tcW w:type="dxa" w:w="1344"/>
            <w:shd w:val="clear" w:color="auto" w:fill="DDEBF7"/>
          </w:tcPr>
          <w:p>
            <w:r>
              <w:rPr>
                <w:rFonts w:ascii="Meiryo UI" w:hAnsi="Meiryo UI"/>
                <w:sz w:val="18"/>
              </w:rPr>
              <w:t>8.7%</w:t>
            </w:r>
          </w:p>
        </w:tc>
        <w:tc>
          <w:tcPr>
            <w:tcW w:type="dxa" w:w="1344"/>
            <w:shd w:val="clear" w:color="auto" w:fill="DDEBF7"/>
          </w:tcPr>
          <w:p>
            <w:r>
              <w:rPr>
                <w:rFonts w:ascii="Meiryo UI" w:hAnsi="Meiryo UI"/>
                <w:sz w:val="18"/>
              </w:rPr>
              <w:t>高（+9.9%）</w:t>
            </w:r>
          </w:p>
        </w:tc>
        <w:tc>
          <w:tcPr>
            <w:tcW w:type="dxa" w:w="1344"/>
            <w:shd w:val="clear" w:color="auto" w:fill="DDEBF7"/>
          </w:tcPr>
          <w:p>
            <w:r>
              <w:rPr>
                <w:rFonts w:ascii="Meiryo UI" w:hAnsi="Meiryo UI"/>
                <w:sz w:val="18"/>
              </w:rPr>
              <w:t>中</w:t>
            </w:r>
          </w:p>
        </w:tc>
      </w:tr>
      <w:tr>
        <w:tc>
          <w:tcPr>
            <w:tcW w:type="dxa" w:w="1344"/>
          </w:tcPr>
          <w:p>
            <w:r>
              <w:rPr>
                <w:rFonts w:ascii="Meiryo UI" w:hAnsi="Meiryo UI"/>
                <w:sz w:val="18"/>
              </w:rPr>
              <w:t>不動産開発事業</w:t>
            </w:r>
          </w:p>
        </w:tc>
        <w:tc>
          <w:tcPr>
            <w:tcW w:type="dxa" w:w="1344"/>
          </w:tcPr>
          <w:p>
            <w:r>
              <w:rPr>
                <w:rFonts w:ascii="Meiryo UI" w:hAnsi="Meiryo UI"/>
                <w:sz w:val="18"/>
              </w:rPr>
              <w:t>513億円</w:t>
            </w:r>
          </w:p>
        </w:tc>
        <w:tc>
          <w:tcPr>
            <w:tcW w:type="dxa" w:w="1344"/>
          </w:tcPr>
          <w:p>
            <w:r>
              <w:rPr>
                <w:rFonts w:ascii="Meiryo UI" w:hAnsi="Meiryo UI"/>
                <w:sz w:val="18"/>
              </w:rPr>
              <w:t>2.8%</w:t>
            </w:r>
          </w:p>
        </w:tc>
        <w:tc>
          <w:tcPr>
            <w:tcW w:type="dxa" w:w="1344"/>
          </w:tcPr>
          <w:p>
            <w:r>
              <w:rPr>
                <w:rFonts w:ascii="Meiryo UI" w:hAnsi="Meiryo UI"/>
                <w:sz w:val="18"/>
              </w:rPr>
              <w:t>51億円</w:t>
            </w:r>
          </w:p>
        </w:tc>
        <w:tc>
          <w:tcPr>
            <w:tcW w:type="dxa" w:w="1344"/>
          </w:tcPr>
          <w:p>
            <w:r>
              <w:rPr>
                <w:rFonts w:ascii="Meiryo UI" w:hAnsi="Meiryo UI"/>
                <w:sz w:val="18"/>
              </w:rPr>
              <w:t>9.9%</w:t>
            </w:r>
          </w:p>
        </w:tc>
        <w:tc>
          <w:tcPr>
            <w:tcW w:type="dxa" w:w="1344"/>
          </w:tcPr>
          <w:p>
            <w:r>
              <w:rPr>
                <w:rFonts w:ascii="Meiryo UI" w:hAnsi="Meiryo UI"/>
                <w:sz w:val="18"/>
              </w:rPr>
              <w:t>高（+64.8%）</w:t>
            </w:r>
          </w:p>
        </w:tc>
        <w:tc>
          <w:tcPr>
            <w:tcW w:type="dxa" w:w="1344"/>
          </w:tcPr>
          <w:p>
            <w:r>
              <w:rPr>
                <w:rFonts w:ascii="Meiryo UI" w:hAnsi="Meiryo UI"/>
                <w:sz w:val="18"/>
              </w:rPr>
              <w:t>中（育成中）</w:t>
            </w:r>
          </w:p>
        </w:tc>
      </w:tr>
      <w:tr>
        <w:tc>
          <w:tcPr>
            <w:tcW w:type="dxa" w:w="1344"/>
            <w:shd w:val="clear" w:color="auto" w:fill="DDEBF7"/>
          </w:tcPr>
          <w:p>
            <w:r>
              <w:rPr>
                <w:rFonts w:ascii="Meiryo UI" w:hAnsi="Meiryo UI"/>
                <w:sz w:val="18"/>
              </w:rPr>
              <w:t>その他（金融等）</w:t>
            </w:r>
          </w:p>
        </w:tc>
        <w:tc>
          <w:tcPr>
            <w:tcW w:type="dxa" w:w="1344"/>
            <w:shd w:val="clear" w:color="auto" w:fill="DDEBF7"/>
          </w:tcPr>
          <w:p>
            <w:r>
              <w:rPr>
                <w:rFonts w:ascii="Meiryo UI" w:hAnsi="Meiryo UI"/>
                <w:sz w:val="18"/>
              </w:rPr>
              <w:t>855億円</w:t>
            </w:r>
          </w:p>
        </w:tc>
        <w:tc>
          <w:tcPr>
            <w:tcW w:type="dxa" w:w="1344"/>
            <w:shd w:val="clear" w:color="auto" w:fill="DDEBF7"/>
          </w:tcPr>
          <w:p>
            <w:r>
              <w:rPr>
                <w:rFonts w:ascii="Meiryo UI" w:hAnsi="Meiryo UI"/>
                <w:sz w:val="18"/>
              </w:rPr>
              <w:t>4.6%</w:t>
            </w:r>
          </w:p>
        </w:tc>
        <w:tc>
          <w:tcPr>
            <w:tcW w:type="dxa" w:w="1344"/>
            <w:shd w:val="clear" w:color="auto" w:fill="DDEBF7"/>
          </w:tcPr>
          <w:p>
            <w:r>
              <w:rPr>
                <w:rFonts w:ascii="Meiryo UI" w:hAnsi="Meiryo UI"/>
                <w:sz w:val="18"/>
              </w:rPr>
              <w:t>△137億円</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連結合計</w:t>
            </w:r>
          </w:p>
        </w:tc>
        <w:tc>
          <w:tcPr>
            <w:tcW w:type="dxa" w:w="1344"/>
          </w:tcPr>
          <w:p>
            <w:r>
              <w:rPr>
                <w:rFonts w:ascii="Meiryo UI" w:hAnsi="Meiryo UI"/>
                <w:sz w:val="18"/>
              </w:rPr>
              <w:t>1兆8,423億円</w:t>
            </w:r>
          </w:p>
        </w:tc>
        <w:tc>
          <w:tcPr>
            <w:tcW w:type="dxa" w:w="1344"/>
          </w:tcPr>
          <w:p>
            <w:r>
              <w:rPr>
                <w:rFonts w:ascii="Meiryo UI" w:hAnsi="Meiryo UI"/>
                <w:sz w:val="18"/>
              </w:rPr>
              <w:t>100%</w:t>
            </w:r>
          </w:p>
        </w:tc>
        <w:tc>
          <w:tcPr>
            <w:tcW w:type="dxa" w:w="1344"/>
          </w:tcPr>
          <w:p>
            <w:r>
              <w:rPr>
                <w:rFonts w:ascii="Meiryo UI" w:hAnsi="Meiryo UI"/>
                <w:sz w:val="18"/>
              </w:rPr>
              <w:t>1,188億円</w:t>
            </w:r>
          </w:p>
        </w:tc>
        <w:tc>
          <w:tcPr>
            <w:tcW w:type="dxa" w:w="1344"/>
          </w:tcPr>
          <w:p>
            <w:r>
              <w:rPr>
                <w:rFonts w:ascii="Meiryo UI" w:hAnsi="Meiryo UI"/>
                <w:sz w:val="18"/>
              </w:rPr>
              <w:t>6.5%</w:t>
            </w:r>
          </w:p>
        </w:tc>
        <w:tc>
          <w:tcPr>
            <w:tcW w:type="dxa" w:w="1344"/>
          </w:tcPr>
          <w:p>
            <w:r>
              <w:rPr>
                <w:rFonts w:ascii="Meiryo UI" w:hAnsi="Meiryo UI"/>
                <w:sz w:val="18"/>
              </w:rPr>
              <w:t>高（+6.4%）</w:t>
            </w:r>
          </w:p>
        </w:tc>
        <w:tc>
          <w:tcPr>
            <w:tcW w:type="dxa" w:w="1344"/>
          </w:tcPr>
          <w:p>
            <w:r>
              <w:rPr>
                <w:rFonts w:ascii="Meiryo UI" w:hAnsi="Meiryo UI"/>
                <w:sz w:val="18"/>
              </w:rPr>
              <w:t>高</w:t>
            </w:r>
          </w:p>
        </w:tc>
      </w:tr>
    </w:tbl>
    <w:p/>
    <w:p>
      <w:pPr>
        <w:pStyle w:val="Heading3"/>
      </w:pPr>
      <w:r>
        <w:rPr>
          <w:rFonts w:ascii="Meiryo UI" w:hAnsi="Meiryo UI"/>
          <w:color w:val="2E74B5"/>
        </w:rPr>
        <w:t>フロービジネス vs ストックビジネス</w:t>
      </w:r>
    </w:p>
    <w:p/>
    <w:p>
      <w:pPr>
        <w:shd w:val="clear" w:color="auto" w:fill="F2F2F2"/>
      </w:pPr>
      <w:r>
        <w:rPr>
          <w:rFonts w:ascii="Courier New" w:hAnsi="Courier New"/>
          <w:sz w:val="16"/>
        </w:rPr>
        <w:t>┌─────────────────────────────────────────────────────────┐</w:t>
        <w:br/>
        <w:t>│  ストックビジネス（賃貸管理）                             │</w:t>
        <w:br/>
        <w:t>│  売上: 1兆1,646億円（63%）                               │</w:t>
        <w:br/>
        <w:t>│  管理戸数: 129万4,332戸（29年連続全国1位）               │</w:t>
        <w:br/>
        <w:t>│  月次管理家賃収入: 約809億円                             │</w:t>
        <w:br/>
        <w:t>│  家賃ベース入居率: 97.8%（業界最高水準）                 │</w:t>
        <w:br/>
        <w:t>├─────────────────────────────────────────────────────────┤</w:t>
        <w:br/>
        <w:t>│  フロービジネス（建設請負）                              │</w:t>
        <w:br/>
        <w:t>│  売上: 5,409億円（29%）                                  │</w:t>
        <w:br/>
        <w:t>│  受注残: 8,025億円（FY2025年3月末、前期比+2.0%）         │</w:t>
        <w:br/>
        <w:t>│  完成工事総利益率: 25.3%（前期比+1.9pt）                 │</w:t>
        <w:br/>
        <w:t>└─────────────────────────────────────────────────────────┘</w:t>
      </w:r>
    </w:p>
    <w:p/>
    <w:p>
      <w:pPr>
        <w:pStyle w:val="Heading3"/>
      </w:pPr>
      <w:r>
        <w:rPr>
          <w:rFonts w:ascii="Meiryo UI" w:hAnsi="Meiryo UI"/>
          <w:color w:val="2E74B5"/>
        </w:rPr>
        <w:t>サブリースモデルの構造と持続可能性</w:t>
      </w:r>
    </w:p>
    <w:p/>
    <w:p>
      <w:r>
        <w:rPr>
          <w:rFonts w:ascii="Meiryo UI" w:hAnsi="Meiryo UI"/>
          <w:sz w:val="20"/>
        </w:rPr>
        <w:t>大東建託の収益モデルは「土地オーナーへのアパート建設請負 → 一括借上（サブリース）→ 賃貸管理」という垂直統合型の3フェーズ構造である。</w:t>
      </w:r>
    </w:p>
    <w:p/>
    <w:p>
      <w:r>
        <w:rPr>
          <w:rFonts w:ascii="Meiryo UI" w:hAnsi="Meiryo UI"/>
          <w:sz w:val="20"/>
        </w:rPr>
        <w:t>Phase 1（建設）: 全国の専属営業担当（約3,000人）が地主・相続案件を対象に飛び込み営業。相続税節税（小規模宅地等の特例）を訴求し、建設請負契約を獲得。平均工事単価は1〜2億円。</w:t>
      </w:r>
    </w:p>
    <w:p/>
    <w:p>
      <w:r>
        <w:rPr>
          <w:rFonts w:ascii="Meiryo UI" w:hAnsi="Meiryo UI"/>
          <w:sz w:val="20"/>
        </w:rPr>
        <w:t>Phase 2（一括借上）: 竣工後、月額賃料の90〜95%をオーナーに保証家賃として支払い、差額がサブリースマージン。オーナーは空室リスクをゼロ化できる一方、家賃は数年ごとに市況に応じて見直される。</w:t>
      </w:r>
    </w:p>
    <w:p/>
    <w:p>
      <w:r>
        <w:rPr>
          <w:rFonts w:ascii="Meiryo UI" w:hAnsi="Meiryo UI"/>
          <w:sz w:val="20"/>
        </w:rPr>
        <w:t>Phase 3（管理・仲介）: DK SELECT（全国1,100超の提携仲介店舗ネットワーク）を通じた入居者斡旋、修繕・管理業務で追加収益。入居率97.8%は同業他社を大きく上回る。</w:t>
      </w:r>
    </w:p>
    <w:p/>
    <w:p>
      <w:r>
        <w:rPr>
          <w:rFonts w:ascii="Meiryo UI" w:hAnsi="Meiryo UI"/>
          <w:sz w:val="20"/>
        </w:rPr>
        <w:t>持続可能性の総評:</w:t>
      </w:r>
    </w:p>
    <w:p>
      <w:pPr>
        <w:pStyle w:val="ListBullet"/>
      </w:pPr>
      <w:r>
        <w:rPr>
          <w:rFonts w:ascii="Meiryo UI" w:hAnsi="Meiryo UI"/>
          <w:sz w:val="20"/>
        </w:rPr>
        <w:t>管理戸数の拡大がプール効果で空室リスクを分散し、入居率の高位安定を支える構造は強固。</w:t>
      </w:r>
    </w:p>
    <w:p>
      <w:pPr>
        <w:pStyle w:val="ListBullet"/>
      </w:pPr>
      <w:r>
        <w:rPr>
          <w:rFonts w:ascii="Meiryo UI" w:hAnsi="Meiryo UI"/>
          <w:sz w:val="20"/>
        </w:rPr>
        <w:t>ただし2025年1月の地方拠点3割削減（都市部再集中）は、人口動態悪化に伴う地方事業縮小の構造的転換点であり、フロー収益（建設受注）の成長頭打ちリスクを孕む。</w:t>
      </w:r>
    </w:p>
    <w:p>
      <w:pPr>
        <w:pStyle w:val="ListBullet"/>
      </w:pPr>
      <w:r>
        <w:rPr>
          <w:rFonts w:ascii="Meiryo UI" w:hAnsi="Meiryo UI"/>
          <w:sz w:val="20"/>
        </w:rPr>
        <w:t>不動産開発事業（FY2025売上+64.8%）を「第2の柱」として育成中であり、ストック比率のさらなる向上が中期の業績安定化シナリオの鍵となる。</w:t>
      </w:r>
    </w:p>
    <w:p/>
    <w:p>
      <w:r>
        <w:t>──────────────────────────────────────────────────</w:t>
      </w:r>
    </w:p>
    <w:p/>
    <w:p>
      <w:pPr>
        <w:pStyle w:val="Heading2"/>
      </w:pPr>
      <w:r>
        <w:rPr>
          <w:rFonts w:ascii="Meiryo UI" w:hAnsi="Meiryo UI"/>
          <w:color w:val="2E74B5"/>
        </w:rPr>
        <w:t>Section B: 人的資本分析</w:t>
      </w:r>
    </w:p>
    <w:p/>
    <w:p>
      <w:pPr>
        <w:pStyle w:val="Heading3"/>
      </w:pPr>
      <w:r>
        <w:rPr>
          <w:rFonts w:ascii="Meiryo UI" w:hAnsi="Meiryo UI"/>
          <w:color w:val="2E74B5"/>
        </w:rPr>
        <w:t>職場評価スコア</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評価項目</w:t>
            </w:r>
          </w:p>
        </w:tc>
        <w:tc>
          <w:tcPr>
            <w:tcW w:type="dxa" w:w="2351"/>
            <w:shd w:val="clear" w:color="auto" w:fill="2E74B5"/>
          </w:tcPr>
          <w:p>
            <w:r>
              <w:rPr>
                <w:rFonts w:ascii="Meiryo UI" w:hAnsi="Meiryo UI"/>
                <w:b/>
                <w:color w:val="FFFFFF"/>
                <w:sz w:val="18"/>
              </w:rPr>
              <w:t>スコア/状況</w:t>
            </w:r>
          </w:p>
        </w:tc>
        <w:tc>
          <w:tcPr>
            <w:tcW w:type="dxa" w:w="2351"/>
            <w:shd w:val="clear" w:color="auto" w:fill="2E74B5"/>
          </w:tcPr>
          <w:p>
            <w:r>
              <w:rPr>
                <w:rFonts w:ascii="Meiryo UI" w:hAnsi="Meiryo UI"/>
                <w:b/>
                <w:color w:val="FFFFFF"/>
                <w:sz w:val="18"/>
              </w:rPr>
              <w:t>業界比較</w:t>
            </w:r>
          </w:p>
        </w:tc>
        <w:tc>
          <w:tcPr>
            <w:tcW w:type="dxa" w:w="2351"/>
            <w:shd w:val="clear" w:color="auto" w:fill="2E74B5"/>
          </w:tcPr>
          <w:p>
            <w:r>
              <w:rPr>
                <w:rFonts w:ascii="Meiryo UI" w:hAnsi="Meiryo UI"/>
                <w:b/>
                <w:color w:val="FFFFFF"/>
                <w:sz w:val="18"/>
              </w:rPr>
              <w:t>リスク評価</w:t>
            </w:r>
          </w:p>
        </w:tc>
      </w:tr>
      <w:tr>
        <w:tc>
          <w:tcPr>
            <w:tcW w:type="dxa" w:w="2351"/>
          </w:tcPr>
          <w:p>
            <w:r>
              <w:rPr>
                <w:rFonts w:ascii="Meiryo UI" w:hAnsi="Meiryo UI"/>
                <w:sz w:val="18"/>
              </w:rPr>
              <w:t>OpenWork総合評点</w:t>
            </w:r>
          </w:p>
        </w:tc>
        <w:tc>
          <w:tcPr>
            <w:tcW w:type="dxa" w:w="2351"/>
          </w:tcPr>
          <w:p>
            <w:r>
              <w:rPr>
                <w:rFonts w:ascii="Meiryo UI" w:hAnsi="Meiryo UI"/>
                <w:sz w:val="18"/>
              </w:rPr>
              <w:t>2.5〜3.0 / 5.0</w:t>
            </w:r>
          </w:p>
        </w:tc>
        <w:tc>
          <w:tcPr>
            <w:tcW w:type="dxa" w:w="2351"/>
          </w:tcPr>
          <w:p>
            <w:r>
              <w:rPr>
                <w:rFonts w:ascii="Meiryo UI" w:hAnsi="Meiryo UI"/>
                <w:sz w:val="18"/>
              </w:rPr>
              <w:t>業界平均3.0程度</w:t>
            </w:r>
          </w:p>
        </w:tc>
        <w:tc>
          <w:tcPr>
            <w:tcW w:type="dxa" w:w="2351"/>
          </w:tcPr>
          <w:p>
            <w:r>
              <w:rPr>
                <w:rFonts w:ascii="Meiryo UI" w:hAnsi="Meiryo UI"/>
                <w:sz w:val="18"/>
              </w:rPr>
              <w:t>🟠 High</w:t>
            </w:r>
          </w:p>
        </w:tc>
      </w:tr>
      <w:tr>
        <w:tc>
          <w:tcPr>
            <w:tcW w:type="dxa" w:w="2351"/>
            <w:shd w:val="clear" w:color="auto" w:fill="DDEBF7"/>
          </w:tcPr>
          <w:p>
            <w:r>
              <w:rPr>
                <w:rFonts w:ascii="Meiryo UI" w:hAnsi="Meiryo UI"/>
                <w:sz w:val="18"/>
              </w:rPr>
              <w:t>エン カイシャの評判</w:t>
            </w:r>
          </w:p>
        </w:tc>
        <w:tc>
          <w:tcPr>
            <w:tcW w:type="dxa" w:w="2351"/>
            <w:shd w:val="clear" w:color="auto" w:fill="DDEBF7"/>
          </w:tcPr>
          <w:p>
            <w:r>
              <w:rPr>
                <w:rFonts w:ascii="Meiryo UI" w:hAnsi="Meiryo UI"/>
                <w:sz w:val="18"/>
              </w:rPr>
              <w:t>3.4 / 5.0（1,044名）</w:t>
            </w:r>
          </w:p>
        </w:tc>
        <w:tc>
          <w:tcPr>
            <w:tcW w:type="dxa" w:w="2351"/>
            <w:shd w:val="clear" w:color="auto" w:fill="DDEBF7"/>
          </w:tcPr>
          <w:p>
            <w:r>
              <w:rPr>
                <w:rFonts w:ascii="Meiryo UI" w:hAnsi="Meiryo UI"/>
                <w:sz w:val="18"/>
              </w:rPr>
              <w:t>平均的</w:t>
            </w:r>
          </w:p>
        </w:tc>
        <w:tc>
          <w:tcPr>
            <w:tcW w:type="dxa" w:w="2351"/>
            <w:shd w:val="clear" w:color="auto" w:fill="DDEBF7"/>
          </w:tcPr>
          <w:p>
            <w:r>
              <w:rPr>
                <w:rFonts w:ascii="Meiryo UI" w:hAnsi="Meiryo UI"/>
                <w:sz w:val="18"/>
              </w:rPr>
              <w:t>🟡 Medium</w:t>
            </w:r>
          </w:p>
        </w:tc>
      </w:tr>
      <w:tr>
        <w:tc>
          <w:tcPr>
            <w:tcW w:type="dxa" w:w="2351"/>
          </w:tcPr>
          <w:p>
            <w:r>
              <w:rPr>
                <w:rFonts w:ascii="Meiryo UI" w:hAnsi="Meiryo UI"/>
                <w:sz w:val="18"/>
              </w:rPr>
              <w:t>経営陣への信頼</w:t>
            </w:r>
          </w:p>
        </w:tc>
        <w:tc>
          <w:tcPr>
            <w:tcW w:type="dxa" w:w="2351"/>
          </w:tcPr>
          <w:p>
            <w:r>
              <w:rPr>
                <w:rFonts w:ascii="Meiryo UI" w:hAnsi="Meiryo UI"/>
                <w:sz w:val="18"/>
              </w:rPr>
              <w:t>中程度</w:t>
            </w:r>
          </w:p>
        </w:tc>
        <w:tc>
          <w:tcPr>
            <w:tcW w:type="dxa" w:w="2351"/>
          </w:tcPr>
          <w:p>
            <w:r>
              <w:rPr>
                <w:rFonts w:ascii="Meiryo UI" w:hAnsi="Meiryo UI"/>
                <w:sz w:val="18"/>
              </w:rPr>
              <w:t>若干低め</w:t>
            </w:r>
          </w:p>
        </w:tc>
        <w:tc>
          <w:tcPr>
            <w:tcW w:type="dxa" w:w="2351"/>
          </w:tcPr>
          <w:p>
            <w:r>
              <w:rPr>
                <w:rFonts w:ascii="Meiryo UI" w:hAnsi="Meiryo UI"/>
                <w:sz w:val="18"/>
              </w:rPr>
              <w:t>🟡 Medium</w:t>
            </w:r>
          </w:p>
        </w:tc>
      </w:tr>
      <w:tr>
        <w:tc>
          <w:tcPr>
            <w:tcW w:type="dxa" w:w="2351"/>
            <w:shd w:val="clear" w:color="auto" w:fill="DDEBF7"/>
          </w:tcPr>
          <w:p>
            <w:r>
              <w:rPr>
                <w:rFonts w:ascii="Meiryo UI" w:hAnsi="Meiryo UI"/>
                <w:sz w:val="18"/>
              </w:rPr>
              <w:t>働き方の満足度</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業界下位</w:t>
            </w:r>
          </w:p>
        </w:tc>
        <w:tc>
          <w:tcPr>
            <w:tcW w:type="dxa" w:w="2351"/>
            <w:shd w:val="clear" w:color="auto" w:fill="DDEBF7"/>
          </w:tcPr>
          <w:p>
            <w:r>
              <w:rPr>
                <w:rFonts w:ascii="Meiryo UI" w:hAnsi="Meiryo UI"/>
                <w:sz w:val="18"/>
              </w:rPr>
              <w:t>🟠 High</w:t>
            </w:r>
          </w:p>
        </w:tc>
      </w:tr>
      <w:tr>
        <w:tc>
          <w:tcPr>
            <w:tcW w:type="dxa" w:w="2351"/>
          </w:tcPr>
          <w:p>
            <w:r>
              <w:rPr>
                <w:rFonts w:ascii="Meiryo UI" w:hAnsi="Meiryo UI"/>
                <w:sz w:val="18"/>
              </w:rPr>
              <w:t>給与・福利厚生</w:t>
            </w:r>
          </w:p>
        </w:tc>
        <w:tc>
          <w:tcPr>
            <w:tcW w:type="dxa" w:w="2351"/>
          </w:tcPr>
          <w:p>
            <w:r>
              <w:rPr>
                <w:rFonts w:ascii="Meiryo UI" w:hAnsi="Meiryo UI"/>
                <w:sz w:val="18"/>
              </w:rPr>
              <w:t>高め（歩合給）</w:t>
            </w:r>
          </w:p>
        </w:tc>
        <w:tc>
          <w:tcPr>
            <w:tcW w:type="dxa" w:w="2351"/>
          </w:tcPr>
          <w:p>
            <w:r>
              <w:rPr>
                <w:rFonts w:ascii="Meiryo UI" w:hAnsi="Meiryo UI"/>
                <w:sz w:val="18"/>
              </w:rPr>
              <w:t>業界上位</w:t>
            </w:r>
          </w:p>
        </w:tc>
        <w:tc>
          <w:tcPr>
            <w:tcW w:type="dxa" w:w="2351"/>
          </w:tcPr>
          <w:p>
            <w:r>
              <w:rPr>
                <w:rFonts w:ascii="Meiryo UI" w:hAnsi="Meiryo UI"/>
                <w:sz w:val="18"/>
              </w:rPr>
              <w:t>🟢 Low</w:t>
            </w:r>
          </w:p>
        </w:tc>
      </w:tr>
      <w:tr>
        <w:tc>
          <w:tcPr>
            <w:tcW w:type="dxa" w:w="2351"/>
            <w:shd w:val="clear" w:color="auto" w:fill="DDEBF7"/>
          </w:tcPr>
          <w:p>
            <w:r>
              <w:rPr>
                <w:rFonts w:ascii="Meiryo UI" w:hAnsi="Meiryo UI"/>
                <w:sz w:val="18"/>
              </w:rPr>
              <w:t>労働問題・訴訟</w:t>
            </w:r>
          </w:p>
        </w:tc>
        <w:tc>
          <w:tcPr>
            <w:tcW w:type="dxa" w:w="2351"/>
            <w:shd w:val="clear" w:color="auto" w:fill="DDEBF7"/>
          </w:tcPr>
          <w:p>
            <w:r>
              <w:rPr>
                <w:rFonts w:ascii="Meiryo UI" w:hAnsi="Meiryo UI"/>
                <w:sz w:val="18"/>
              </w:rPr>
              <w:t>要継続確認</w:t>
            </w:r>
          </w:p>
        </w:tc>
        <w:tc>
          <w:tcPr>
            <w:tcW w:type="dxa" w:w="2351"/>
            <w:shd w:val="clear" w:color="auto" w:fill="DDEBF7"/>
          </w:tcPr>
          <w:p>
            <w:r>
              <w:rPr>
                <w:rFonts w:ascii="Meiryo UI" w:hAnsi="Meiryo UI"/>
                <w:sz w:val="18"/>
              </w:rPr>
              <w:t>サブリース問題は業界固有リスク</w:t>
            </w:r>
          </w:p>
        </w:tc>
        <w:tc>
          <w:tcPr>
            <w:tcW w:type="dxa" w:w="2351"/>
            <w:shd w:val="clear" w:color="auto" w:fill="DDEBF7"/>
          </w:tcPr>
          <w:p>
            <w:r>
              <w:rPr>
                <w:rFonts w:ascii="Meiryo UI" w:hAnsi="Meiryo UI"/>
                <w:sz w:val="18"/>
              </w:rPr>
              <w:t>🟠 High</w:t>
            </w:r>
          </w:p>
        </w:tc>
      </w:tr>
    </w:tbl>
    <w:p/>
    <w:p>
      <w:pPr>
        <w:pStyle w:val="Heading3"/>
      </w:pPr>
      <w:r>
        <w:rPr>
          <w:rFonts w:ascii="Meiryo UI" w:hAnsi="Meiryo UI"/>
          <w:color w:val="2E74B5"/>
        </w:rPr>
        <w:t>過去の主要労働・社会問題</w:t>
      </w:r>
    </w:p>
    <w:p/>
    <w:p>
      <w:r>
        <w:rPr>
          <w:rFonts w:ascii="Meiryo UI" w:hAnsi="Meiryo UI"/>
          <w:sz w:val="20"/>
        </w:rPr>
        <w:t>サブリース問題（2017〜現在）:</w:t>
      </w:r>
    </w:p>
    <w:p>
      <w:pPr>
        <w:pStyle w:val="ListBullet"/>
      </w:pPr>
      <w:r>
        <w:rPr>
          <w:rFonts w:ascii="Meiryo UI" w:hAnsi="Meiryo UI"/>
          <w:sz w:val="20"/>
        </w:rPr>
        <w:t>週刊ダイヤモンド（2017年）が「高齢地主への不適切な営業」を告発。サブリース被害対策弁護団が結成され、社会問題として認知された。</w:t>
      </w:r>
    </w:p>
    <w:p>
      <w:pPr>
        <w:pStyle w:val="ListBullet"/>
      </w:pPr>
      <w:r>
        <w:rPr>
          <w:rFonts w:ascii="Meiryo UI" w:hAnsi="Meiryo UI"/>
          <w:sz w:val="20"/>
        </w:rPr>
        <w:t>消費者機構日本による契約適正化要求、サブリース被害訴訟が複数件進行。</w:t>
      </w:r>
    </w:p>
    <w:p>
      <w:pPr>
        <w:pStyle w:val="ListBullet"/>
      </w:pPr>
      <w:r>
        <w:rPr>
          <w:rFonts w:ascii="Meiryo UI" w:hAnsi="Meiryo UI"/>
          <w:sz w:val="20"/>
        </w:rPr>
        <w:t>対応: 2021年6月施行の賃貸住宅管理業法（サブリース新法）により、勧誘時の誇大広告・不当勧誘を規制。重要事項説明書の書面交付が義務化。大東建託は外部通報窓口設置・説明品質向上宣言を実施。</w:t>
      </w:r>
    </w:p>
    <w:p/>
    <w:p>
      <w:r>
        <w:rPr>
          <w:rFonts w:ascii="Meiryo UI" w:hAnsi="Meiryo UI"/>
          <w:sz w:val="20"/>
        </w:rPr>
        <w:t>営業現場の過酷な労働環境（現在も継続課題）:</w:t>
      </w:r>
    </w:p>
    <w:p>
      <w:pPr>
        <w:pStyle w:val="ListBullet"/>
      </w:pPr>
      <w:r>
        <w:rPr>
          <w:rFonts w:ascii="Meiryo UI" w:hAnsi="Meiryo UI"/>
          <w:sz w:val="20"/>
        </w:rPr>
        <w:t>主力の法人営業は毎日飛び込み訪問が基本で離職率が高い。</w:t>
      </w:r>
    </w:p>
    <w:p>
      <w:pPr>
        <w:pStyle w:val="ListBullet"/>
      </w:pPr>
      <w:r>
        <w:rPr>
          <w:rFonts w:ascii="Meiryo UI" w:hAnsi="Meiryo UI"/>
          <w:sz w:val="20"/>
        </w:rPr>
        <w:t>成果主義の徹底により、達成できない場合のプレッシャーが強い。</w:t>
      </w:r>
    </w:p>
    <w:p>
      <w:pPr>
        <w:pStyle w:val="ListBullet"/>
      </w:pPr>
      <w:r>
        <w:rPr>
          <w:rFonts w:ascii="Meiryo UI" w:hAnsi="Meiryo UI"/>
          <w:sz w:val="20"/>
        </w:rPr>
        <w:t>2025年1月の拠点再編（3割削減）により、地方担当者の都市部への異動・転職が発生。</w:t>
      </w:r>
    </w:p>
    <w:p/>
    <w:p>
      <w:pPr>
        <w:pStyle w:val="Heading3"/>
      </w:pPr>
      <w:r>
        <w:rPr>
          <w:rFonts w:ascii="Meiryo UI" w:hAnsi="Meiryo UI"/>
          <w:color w:val="2E74B5"/>
        </w:rPr>
        <w:t>直近の人員・採用動向</w:t>
      </w:r>
    </w:p>
    <w:p/>
    <w:p>
      <w:pPr>
        <w:pStyle w:val="ListBullet"/>
      </w:pPr>
      <w:r>
        <w:rPr>
          <w:rFonts w:ascii="Meiryo UI" w:hAnsi="Meiryo UI"/>
          <w:sz w:val="20"/>
        </w:rPr>
        <w:t>2025年1月: 全国の営業拠点を約3割削減し、大都市圏・都市部に人員を再配置（人員削減ではなく配置転換）。</w:t>
      </w:r>
    </w:p>
    <w:p>
      <w:pPr>
        <w:pStyle w:val="ListBullet"/>
      </w:pPr>
      <w:r>
        <w:rPr>
          <w:rFonts w:ascii="Meiryo UI" w:hAnsi="Meiryo UI"/>
          <w:sz w:val="20"/>
        </w:rPr>
        <w:t>DE&amp;I中期計画（2024〜2026年度）: 女性取締役比率15.3%へ向上（前年8.3%→女性社外取締役2名選任）。女性育成プログラムにより女性管理職比率が過去最高水準を更新。</w:t>
      </w:r>
    </w:p>
    <w:p>
      <w:pPr>
        <w:pStyle w:val="ListBullet"/>
      </w:pPr>
      <w:r>
        <w:rPr>
          <w:rFonts w:ascii="Meiryo UI" w:hAnsi="Meiryo UI"/>
          <w:sz w:val="20"/>
        </w:rPr>
        <w:t>外国人技能実習生: 5年計画で約560名の育成推進。建設業の人手不足への対応策だが、品質管理リスクも内包。</w:t>
      </w:r>
    </w:p>
    <w:p/>
    <w:p>
      <w:r>
        <w:rPr>
          <w:rFonts w:ascii="Meiryo UI" w:hAnsi="Meiryo UI"/>
          <w:sz w:val="20"/>
        </w:rPr>
        <w:t>組織健全性の総評:</w:t>
      </w:r>
    </w:p>
    <w:p>
      <w:r>
        <w:rPr>
          <w:rFonts w:ascii="Meiryo UI" w:hAnsi="Meiryo UI"/>
          <w:sz w:val="20"/>
        </w:rPr>
        <w:t>大東建託の組織健全性は、住宅大手の中では「課題先進企業」の側面を持つ。給与水準（特に営業職の歩合給）は業界上位だが、飛び込み営業主体のビジネスモデルに伴う離職率の高さ、サブリース問題に起因する社会的評判リスクが継続している。2021年のサブリース新法施行後は制度面での整備が進んだが、口コミサイトへの投稿件数の多さ（エン カイシャで7,902件）は社会的関心の高さを示している。ESG対応は女性役員登用では前進しているが、現場の労働環境改善の持続的モニタリングが必要。</w:t>
      </w:r>
    </w:p>
    <w:p/>
    <w:p>
      <w:r>
        <w:t>──────────────────────────────────────────────────</w:t>
      </w:r>
    </w:p>
    <w:p/>
    <w:p>
      <w:pPr>
        <w:pStyle w:val="Heading2"/>
      </w:pPr>
      <w:r>
        <w:rPr>
          <w:rFonts w:ascii="Meiryo UI" w:hAnsi="Meiryo UI"/>
          <w:color w:val="2E74B5"/>
        </w:rPr>
        <w:t>Section C: 直近決算モメンタム</w:t>
      </w:r>
    </w:p>
    <w:p/>
    <w:p>
      <w:pPr>
        <w:pStyle w:val="Heading3"/>
      </w:pPr>
      <w:r>
        <w:rPr>
          <w:rFonts w:ascii="Meiryo UI" w:hAnsi="Meiryo UI"/>
          <w:color w:val="2E74B5"/>
        </w:rPr>
        <w:t>年次業績推移（連結、百万円）</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決算期</w:t>
            </w:r>
          </w:p>
        </w:tc>
        <w:tc>
          <w:tcPr>
            <w:tcW w:type="dxa" w:w="1176"/>
            <w:shd w:val="clear" w:color="auto" w:fill="2E74B5"/>
          </w:tcPr>
          <w:p>
            <w:r>
              <w:rPr>
                <w:rFonts w:ascii="Meiryo UI" w:hAnsi="Meiryo UI"/>
                <w:b/>
                <w:color w:val="FFFFFF"/>
                <w:sz w:val="18"/>
              </w:rPr>
              <w:t>売上高</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営業利益</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純利益</w:t>
            </w:r>
          </w:p>
        </w:tc>
        <w:tc>
          <w:tcPr>
            <w:tcW w:type="dxa" w:w="1176"/>
            <w:shd w:val="clear" w:color="auto" w:fill="2E74B5"/>
          </w:tcPr>
          <w:p>
            <w:r>
              <w:rPr>
                <w:rFonts w:ascii="Meiryo UI" w:hAnsi="Meiryo UI"/>
                <w:b/>
                <w:color w:val="FFFFFF"/>
                <w:sz w:val="18"/>
              </w:rPr>
              <w:t>EPS（円）</w:t>
            </w:r>
          </w:p>
        </w:tc>
        <w:tc>
          <w:tcPr>
            <w:tcW w:type="dxa" w:w="1176"/>
            <w:shd w:val="clear" w:color="auto" w:fill="2E74B5"/>
          </w:tcPr>
          <w:p>
            <w:r>
              <w:rPr>
                <w:rFonts w:ascii="Meiryo UI" w:hAnsi="Meiryo UI"/>
                <w:b/>
                <w:color w:val="FFFFFF"/>
                <w:sz w:val="18"/>
              </w:rPr>
              <w:t>配当（円）</w:t>
            </w:r>
          </w:p>
        </w:tc>
      </w:tr>
      <w:tr>
        <w:tc>
          <w:tcPr>
            <w:tcW w:type="dxa" w:w="1176"/>
          </w:tcPr>
          <w:p>
            <w:r>
              <w:rPr>
                <w:rFonts w:ascii="Meiryo UI" w:hAnsi="Meiryo UI"/>
                <w:sz w:val="18"/>
              </w:rPr>
              <w:t>FY2022（2022.03）</w:t>
            </w:r>
          </w:p>
        </w:tc>
        <w:tc>
          <w:tcPr>
            <w:tcW w:type="dxa" w:w="1176"/>
          </w:tcPr>
          <w:p>
            <w:r>
              <w:rPr>
                <w:rFonts w:ascii="Meiryo UI" w:hAnsi="Meiryo UI"/>
                <w:sz w:val="18"/>
              </w:rPr>
              <w:t>1,583,003</w:t>
            </w:r>
          </w:p>
        </w:tc>
        <w:tc>
          <w:tcPr>
            <w:tcW w:type="dxa" w:w="1176"/>
          </w:tcPr>
          <w:p>
            <w:r>
              <w:rPr>
                <w:rFonts w:ascii="Meiryo UI" w:hAnsi="Meiryo UI"/>
                <w:sz w:val="18"/>
              </w:rPr>
              <w:t>—</w:t>
            </w:r>
          </w:p>
        </w:tc>
        <w:tc>
          <w:tcPr>
            <w:tcW w:type="dxa" w:w="1176"/>
          </w:tcPr>
          <w:p>
            <w:r>
              <w:rPr>
                <w:rFonts w:ascii="Meiryo UI" w:hAnsi="Meiryo UI"/>
                <w:sz w:val="18"/>
              </w:rPr>
              <w:t>99,594</w:t>
            </w:r>
          </w:p>
        </w:tc>
        <w:tc>
          <w:tcPr>
            <w:tcW w:type="dxa" w:w="1176"/>
          </w:tcPr>
          <w:p>
            <w:r>
              <w:rPr>
                <w:rFonts w:ascii="Meiryo UI" w:hAnsi="Meiryo UI"/>
                <w:sz w:val="18"/>
              </w:rPr>
              <w:t>—</w:t>
            </w:r>
          </w:p>
        </w:tc>
        <w:tc>
          <w:tcPr>
            <w:tcW w:type="dxa" w:w="1176"/>
          </w:tcPr>
          <w:p>
            <w:r>
              <w:rPr>
                <w:rFonts w:ascii="Meiryo UI" w:hAnsi="Meiryo UI"/>
                <w:sz w:val="18"/>
              </w:rPr>
              <w:t>69,580</w:t>
            </w:r>
          </w:p>
        </w:tc>
        <w:tc>
          <w:tcPr>
            <w:tcW w:type="dxa" w:w="1176"/>
          </w:tcPr>
          <w:p>
            <w:r>
              <w:rPr>
                <w:rFonts w:ascii="Meiryo UI" w:hAnsi="Meiryo UI"/>
                <w:sz w:val="18"/>
              </w:rPr>
              <w:t>204.3</w:t>
            </w:r>
          </w:p>
        </w:tc>
        <w:tc>
          <w:tcPr>
            <w:tcW w:type="dxa" w:w="1176"/>
          </w:tcPr>
          <w:p>
            <w:r>
              <w:rPr>
                <w:rFonts w:ascii="Meiryo UI" w:hAnsi="Meiryo UI"/>
                <w:sz w:val="18"/>
              </w:rPr>
              <w:t>102.2</w:t>
            </w:r>
          </w:p>
        </w:tc>
      </w:tr>
      <w:tr>
        <w:tc>
          <w:tcPr>
            <w:tcW w:type="dxa" w:w="1176"/>
            <w:shd w:val="clear" w:color="auto" w:fill="DDEBF7"/>
          </w:tcPr>
          <w:p>
            <w:r>
              <w:rPr>
                <w:rFonts w:ascii="Meiryo UI" w:hAnsi="Meiryo UI"/>
                <w:sz w:val="18"/>
              </w:rPr>
              <w:t>FY2023（2023.03）</w:t>
            </w:r>
          </w:p>
        </w:tc>
        <w:tc>
          <w:tcPr>
            <w:tcW w:type="dxa" w:w="1176"/>
            <w:shd w:val="clear" w:color="auto" w:fill="DDEBF7"/>
          </w:tcPr>
          <w:p>
            <w:r>
              <w:rPr>
                <w:rFonts w:ascii="Meiryo UI" w:hAnsi="Meiryo UI"/>
                <w:sz w:val="18"/>
              </w:rPr>
              <w:t>1,657,626</w:t>
            </w:r>
          </w:p>
        </w:tc>
        <w:tc>
          <w:tcPr>
            <w:tcW w:type="dxa" w:w="1176"/>
            <w:shd w:val="clear" w:color="auto" w:fill="DDEBF7"/>
          </w:tcPr>
          <w:p>
            <w:r>
              <w:rPr>
                <w:rFonts w:ascii="Meiryo UI" w:hAnsi="Meiryo UI"/>
                <w:sz w:val="18"/>
              </w:rPr>
              <w:t>+4.7%</w:t>
            </w:r>
          </w:p>
        </w:tc>
        <w:tc>
          <w:tcPr>
            <w:tcW w:type="dxa" w:w="1176"/>
            <w:shd w:val="clear" w:color="auto" w:fill="DDEBF7"/>
          </w:tcPr>
          <w:p>
            <w:r>
              <w:rPr>
                <w:rFonts w:ascii="Meiryo UI" w:hAnsi="Meiryo UI"/>
                <w:sz w:val="18"/>
              </w:rPr>
              <w:t>100,000</w:t>
            </w:r>
          </w:p>
        </w:tc>
        <w:tc>
          <w:tcPr>
            <w:tcW w:type="dxa" w:w="1176"/>
            <w:shd w:val="clear" w:color="auto" w:fill="DDEBF7"/>
          </w:tcPr>
          <w:p>
            <w:r>
              <w:rPr>
                <w:rFonts w:ascii="Meiryo UI" w:hAnsi="Meiryo UI"/>
                <w:sz w:val="18"/>
              </w:rPr>
              <w:t>+0.4%</w:t>
            </w:r>
          </w:p>
        </w:tc>
        <w:tc>
          <w:tcPr>
            <w:tcW w:type="dxa" w:w="1176"/>
            <w:shd w:val="clear" w:color="auto" w:fill="DDEBF7"/>
          </w:tcPr>
          <w:p>
            <w:r>
              <w:rPr>
                <w:rFonts w:ascii="Meiryo UI" w:hAnsi="Meiryo UI"/>
                <w:sz w:val="18"/>
              </w:rPr>
              <w:t>70,361</w:t>
            </w:r>
          </w:p>
        </w:tc>
        <w:tc>
          <w:tcPr>
            <w:tcW w:type="dxa" w:w="1176"/>
            <w:shd w:val="clear" w:color="auto" w:fill="DDEBF7"/>
          </w:tcPr>
          <w:p>
            <w:r>
              <w:rPr>
                <w:rFonts w:ascii="Meiryo UI" w:hAnsi="Meiryo UI"/>
                <w:sz w:val="18"/>
              </w:rPr>
              <w:t>206.2</w:t>
            </w:r>
          </w:p>
        </w:tc>
        <w:tc>
          <w:tcPr>
            <w:tcW w:type="dxa" w:w="1176"/>
            <w:shd w:val="clear" w:color="auto" w:fill="DDEBF7"/>
          </w:tcPr>
          <w:p>
            <w:r>
              <w:rPr>
                <w:rFonts w:ascii="Meiryo UI" w:hAnsi="Meiryo UI"/>
                <w:sz w:val="18"/>
              </w:rPr>
              <w:t>103.2</w:t>
            </w:r>
          </w:p>
        </w:tc>
      </w:tr>
      <w:tr>
        <w:tc>
          <w:tcPr>
            <w:tcW w:type="dxa" w:w="1176"/>
          </w:tcPr>
          <w:p>
            <w:r>
              <w:rPr>
                <w:rFonts w:ascii="Meiryo UI" w:hAnsi="Meiryo UI"/>
                <w:sz w:val="18"/>
              </w:rPr>
              <w:t>FY2024（2024.03）</w:t>
            </w:r>
          </w:p>
        </w:tc>
        <w:tc>
          <w:tcPr>
            <w:tcW w:type="dxa" w:w="1176"/>
          </w:tcPr>
          <w:p>
            <w:r>
              <w:rPr>
                <w:rFonts w:ascii="Meiryo UI" w:hAnsi="Meiryo UI"/>
                <w:sz w:val="18"/>
              </w:rPr>
              <w:t>1,731,467</w:t>
            </w:r>
          </w:p>
        </w:tc>
        <w:tc>
          <w:tcPr>
            <w:tcW w:type="dxa" w:w="1176"/>
          </w:tcPr>
          <w:p>
            <w:r>
              <w:rPr>
                <w:rFonts w:ascii="Meiryo UI" w:hAnsi="Meiryo UI"/>
                <w:sz w:val="18"/>
              </w:rPr>
              <w:t>+4.5%</w:t>
            </w:r>
          </w:p>
        </w:tc>
        <w:tc>
          <w:tcPr>
            <w:tcW w:type="dxa" w:w="1176"/>
          </w:tcPr>
          <w:p>
            <w:r>
              <w:rPr>
                <w:rFonts w:ascii="Meiryo UI" w:hAnsi="Meiryo UI"/>
                <w:sz w:val="18"/>
              </w:rPr>
              <w:t>104,819</w:t>
            </w:r>
          </w:p>
        </w:tc>
        <w:tc>
          <w:tcPr>
            <w:tcW w:type="dxa" w:w="1176"/>
          </w:tcPr>
          <w:p>
            <w:r>
              <w:rPr>
                <w:rFonts w:ascii="Meiryo UI" w:hAnsi="Meiryo UI"/>
                <w:sz w:val="18"/>
              </w:rPr>
              <w:t>+4.8%</w:t>
            </w:r>
          </w:p>
        </w:tc>
        <w:tc>
          <w:tcPr>
            <w:tcW w:type="dxa" w:w="1176"/>
          </w:tcPr>
          <w:p>
            <w:r>
              <w:rPr>
                <w:rFonts w:ascii="Meiryo UI" w:hAnsi="Meiryo UI"/>
                <w:sz w:val="18"/>
              </w:rPr>
              <w:t>74,685</w:t>
            </w:r>
          </w:p>
        </w:tc>
        <w:tc>
          <w:tcPr>
            <w:tcW w:type="dxa" w:w="1176"/>
          </w:tcPr>
          <w:p>
            <w:r>
              <w:rPr>
                <w:rFonts w:ascii="Meiryo UI" w:hAnsi="Meiryo UI"/>
                <w:sz w:val="18"/>
              </w:rPr>
              <w:t>222.1</w:t>
            </w:r>
          </w:p>
        </w:tc>
        <w:tc>
          <w:tcPr>
            <w:tcW w:type="dxa" w:w="1176"/>
          </w:tcPr>
          <w:p>
            <w:r>
              <w:rPr>
                <w:rFonts w:ascii="Meiryo UI" w:hAnsi="Meiryo UI"/>
                <w:sz w:val="18"/>
              </w:rPr>
              <w:t>111.0</w:t>
            </w:r>
          </w:p>
        </w:tc>
      </w:tr>
      <w:tr>
        <w:tc>
          <w:tcPr>
            <w:tcW w:type="dxa" w:w="1176"/>
            <w:shd w:val="clear" w:color="auto" w:fill="DDEBF7"/>
          </w:tcPr>
          <w:p>
            <w:r>
              <w:rPr>
                <w:rFonts w:ascii="Meiryo UI" w:hAnsi="Meiryo UI"/>
                <w:sz w:val="18"/>
              </w:rPr>
              <w:t>FY2025（2025.03）</w:t>
            </w:r>
          </w:p>
        </w:tc>
        <w:tc>
          <w:tcPr>
            <w:tcW w:type="dxa" w:w="1176"/>
            <w:shd w:val="clear" w:color="auto" w:fill="DDEBF7"/>
          </w:tcPr>
          <w:p>
            <w:r>
              <w:rPr>
                <w:rFonts w:ascii="Meiryo UI" w:hAnsi="Meiryo UI"/>
                <w:sz w:val="18"/>
              </w:rPr>
              <w:t>1,842,357</w:t>
            </w:r>
          </w:p>
        </w:tc>
        <w:tc>
          <w:tcPr>
            <w:tcW w:type="dxa" w:w="1176"/>
            <w:shd w:val="clear" w:color="auto" w:fill="DDEBF7"/>
          </w:tcPr>
          <w:p>
            <w:r>
              <w:rPr>
                <w:rFonts w:ascii="Meiryo UI" w:hAnsi="Meiryo UI"/>
                <w:sz w:val="18"/>
              </w:rPr>
              <w:t>+6.4%</w:t>
            </w:r>
          </w:p>
        </w:tc>
        <w:tc>
          <w:tcPr>
            <w:tcW w:type="dxa" w:w="1176"/>
            <w:shd w:val="clear" w:color="auto" w:fill="DDEBF7"/>
          </w:tcPr>
          <w:p>
            <w:r>
              <w:rPr>
                <w:rFonts w:ascii="Meiryo UI" w:hAnsi="Meiryo UI"/>
                <w:sz w:val="18"/>
              </w:rPr>
              <w:t>118,875</w:t>
            </w:r>
          </w:p>
        </w:tc>
        <w:tc>
          <w:tcPr>
            <w:tcW w:type="dxa" w:w="1176"/>
            <w:shd w:val="clear" w:color="auto" w:fill="DDEBF7"/>
          </w:tcPr>
          <w:p>
            <w:r>
              <w:rPr>
                <w:rFonts w:ascii="Meiryo UI" w:hAnsi="Meiryo UI"/>
                <w:sz w:val="18"/>
              </w:rPr>
              <w:t>+13.4%</w:t>
            </w:r>
          </w:p>
        </w:tc>
        <w:tc>
          <w:tcPr>
            <w:tcW w:type="dxa" w:w="1176"/>
            <w:shd w:val="clear" w:color="auto" w:fill="DDEBF7"/>
          </w:tcPr>
          <w:p>
            <w:r>
              <w:rPr>
                <w:rFonts w:ascii="Meiryo UI" w:hAnsi="Meiryo UI"/>
                <w:sz w:val="18"/>
              </w:rPr>
              <w:t>93,858</w:t>
            </w:r>
          </w:p>
        </w:tc>
        <w:tc>
          <w:tcPr>
            <w:tcW w:type="dxa" w:w="1176"/>
            <w:shd w:val="clear" w:color="auto" w:fill="DDEBF7"/>
          </w:tcPr>
          <w:p>
            <w:r>
              <w:rPr>
                <w:rFonts w:ascii="Meiryo UI" w:hAnsi="Meiryo UI"/>
                <w:sz w:val="18"/>
              </w:rPr>
              <w:t>285.7</w:t>
            </w:r>
          </w:p>
        </w:tc>
        <w:tc>
          <w:tcPr>
            <w:tcW w:type="dxa" w:w="1176"/>
            <w:shd w:val="clear" w:color="auto" w:fill="DDEBF7"/>
          </w:tcPr>
          <w:p>
            <w:r>
              <w:rPr>
                <w:rFonts w:ascii="Meiryo UI" w:hAnsi="Meiryo UI"/>
                <w:sz w:val="18"/>
              </w:rPr>
              <w:t>142.8</w:t>
            </w:r>
          </w:p>
        </w:tc>
      </w:tr>
      <w:tr>
        <w:tc>
          <w:tcPr>
            <w:tcW w:type="dxa" w:w="1176"/>
          </w:tcPr>
          <w:p>
            <w:r>
              <w:rPr>
                <w:rFonts w:ascii="Meiryo UI" w:hAnsi="Meiryo UI"/>
                <w:sz w:val="18"/>
              </w:rPr>
              <w:t>FY2026（予）（2026.03）</w:t>
            </w:r>
          </w:p>
        </w:tc>
        <w:tc>
          <w:tcPr>
            <w:tcW w:type="dxa" w:w="1176"/>
          </w:tcPr>
          <w:p>
            <w:r>
              <w:rPr>
                <w:rFonts w:ascii="Meiryo UI" w:hAnsi="Meiryo UI"/>
                <w:sz w:val="18"/>
              </w:rPr>
              <w:t>1,980,000</w:t>
            </w:r>
          </w:p>
        </w:tc>
        <w:tc>
          <w:tcPr>
            <w:tcW w:type="dxa" w:w="1176"/>
          </w:tcPr>
          <w:p>
            <w:r>
              <w:rPr>
                <w:rFonts w:ascii="Meiryo UI" w:hAnsi="Meiryo UI"/>
                <w:sz w:val="18"/>
              </w:rPr>
              <w:t>+7.5%</w:t>
            </w:r>
          </w:p>
        </w:tc>
        <w:tc>
          <w:tcPr>
            <w:tcW w:type="dxa" w:w="1176"/>
          </w:tcPr>
          <w:p>
            <w:r>
              <w:rPr>
                <w:rFonts w:ascii="Meiryo UI" w:hAnsi="Meiryo UI"/>
                <w:sz w:val="18"/>
              </w:rPr>
              <w:t>135,000</w:t>
            </w:r>
          </w:p>
        </w:tc>
        <w:tc>
          <w:tcPr>
            <w:tcW w:type="dxa" w:w="1176"/>
          </w:tcPr>
          <w:p>
            <w:r>
              <w:rPr>
                <w:rFonts w:ascii="Meiryo UI" w:hAnsi="Meiryo UI"/>
                <w:sz w:val="18"/>
              </w:rPr>
              <w:t>+13.6%</w:t>
            </w:r>
          </w:p>
        </w:tc>
        <w:tc>
          <w:tcPr>
            <w:tcW w:type="dxa" w:w="1176"/>
          </w:tcPr>
          <w:p>
            <w:r>
              <w:rPr>
                <w:rFonts w:ascii="Meiryo UI" w:hAnsi="Meiryo UI"/>
                <w:sz w:val="18"/>
              </w:rPr>
              <w:t>95,000</w:t>
            </w:r>
          </w:p>
        </w:tc>
        <w:tc>
          <w:tcPr>
            <w:tcW w:type="dxa" w:w="1176"/>
          </w:tcPr>
          <w:p>
            <w:r>
              <w:rPr>
                <w:rFonts w:ascii="Meiryo UI" w:hAnsi="Meiryo UI"/>
                <w:sz w:val="18"/>
              </w:rPr>
              <w:t>291.8</w:t>
            </w:r>
          </w:p>
        </w:tc>
        <w:tc>
          <w:tcPr>
            <w:tcW w:type="dxa" w:w="1176"/>
          </w:tcPr>
          <w:p>
            <w:r>
              <w:rPr>
                <w:rFonts w:ascii="Meiryo UI" w:hAnsi="Meiryo UI"/>
                <w:sz w:val="18"/>
              </w:rPr>
              <w:t>143.0</w:t>
            </w:r>
          </w:p>
        </w:tc>
      </w:tr>
    </w:tbl>
    <w:p/>
    <w:p>
      <w:pPr>
        <w:pStyle w:val="Heading3"/>
      </w:pPr>
      <w:r>
        <w:rPr>
          <w:rFonts w:ascii="Meiryo UI" w:hAnsi="Meiryo UI"/>
          <w:color w:val="2E74B5"/>
        </w:rPr>
        <w:t>FY2026 Q1（2026年4〜6月）主要指標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金額</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不動産賃貸事業売上</w:t>
            </w:r>
          </w:p>
        </w:tc>
        <w:tc>
          <w:tcPr>
            <w:tcW w:type="dxa" w:w="2351"/>
          </w:tcPr>
          <w:p>
            <w:r>
              <w:rPr>
                <w:rFonts w:ascii="Meiryo UI" w:hAnsi="Meiryo UI"/>
                <w:sz w:val="18"/>
              </w:rPr>
              <w:t>2,964億円</w:t>
            </w:r>
          </w:p>
        </w:tc>
        <w:tc>
          <w:tcPr>
            <w:tcW w:type="dxa" w:w="2351"/>
          </w:tcPr>
          <w:p>
            <w:r>
              <w:rPr>
                <w:rFonts w:ascii="Meiryo UI" w:hAnsi="Meiryo UI"/>
                <w:sz w:val="18"/>
              </w:rPr>
              <w:t>+3.1%</w:t>
            </w:r>
          </w:p>
        </w:tc>
        <w:tc>
          <w:tcPr>
            <w:tcW w:type="dxa" w:w="2351"/>
          </w:tcPr>
          <w:p>
            <w:r>
              <w:rPr>
                <w:rFonts w:ascii="Meiryo UI" w:hAnsi="Meiryo UI"/>
                <w:sz w:val="18"/>
              </w:rPr>
              <w:t>✅ 安定</w:t>
            </w:r>
          </w:p>
        </w:tc>
      </w:tr>
      <w:tr>
        <w:tc>
          <w:tcPr>
            <w:tcW w:type="dxa" w:w="2351"/>
            <w:shd w:val="clear" w:color="auto" w:fill="DDEBF7"/>
          </w:tcPr>
          <w:p>
            <w:r>
              <w:rPr>
                <w:rFonts w:ascii="Meiryo UI" w:hAnsi="Meiryo UI"/>
                <w:sz w:val="18"/>
              </w:rPr>
              <w:t>不動産賃貸事業営業利益</w:t>
            </w:r>
          </w:p>
        </w:tc>
        <w:tc>
          <w:tcPr>
            <w:tcW w:type="dxa" w:w="2351"/>
            <w:shd w:val="clear" w:color="auto" w:fill="DDEBF7"/>
          </w:tcPr>
          <w:p>
            <w:r>
              <w:rPr>
                <w:rFonts w:ascii="Meiryo UI" w:hAnsi="Meiryo UI"/>
                <w:sz w:val="18"/>
              </w:rPr>
              <w:t>238億円</w:t>
            </w:r>
          </w:p>
        </w:tc>
        <w:tc>
          <w:tcPr>
            <w:tcW w:type="dxa" w:w="2351"/>
            <w:shd w:val="clear" w:color="auto" w:fill="DDEBF7"/>
          </w:tcPr>
          <w:p>
            <w:r>
              <w:rPr>
                <w:rFonts w:ascii="Meiryo UI" w:hAnsi="Meiryo UI"/>
                <w:sz w:val="18"/>
              </w:rPr>
              <w:t>+5.6%</w:t>
            </w:r>
          </w:p>
        </w:tc>
        <w:tc>
          <w:tcPr>
            <w:tcW w:type="dxa" w:w="2351"/>
            <w:shd w:val="clear" w:color="auto" w:fill="DDEBF7"/>
          </w:tcPr>
          <w:p>
            <w:r>
              <w:rPr>
                <w:rFonts w:ascii="Meiryo UI" w:hAnsi="Meiryo UI"/>
                <w:sz w:val="18"/>
              </w:rPr>
              <w:t>✅ 堅調</w:t>
            </w:r>
          </w:p>
        </w:tc>
      </w:tr>
      <w:tr>
        <w:tc>
          <w:tcPr>
            <w:tcW w:type="dxa" w:w="2351"/>
          </w:tcPr>
          <w:p>
            <w:r>
              <w:rPr>
                <w:rFonts w:ascii="Meiryo UI" w:hAnsi="Meiryo UI"/>
                <w:sz w:val="18"/>
              </w:rPr>
              <w:t>不動産開発事業売上</w:t>
            </w:r>
          </w:p>
        </w:tc>
        <w:tc>
          <w:tcPr>
            <w:tcW w:type="dxa" w:w="2351"/>
          </w:tcPr>
          <w:p>
            <w:r>
              <w:rPr>
                <w:rFonts w:ascii="Meiryo UI" w:hAnsi="Meiryo UI"/>
                <w:sz w:val="18"/>
              </w:rPr>
              <w:t>335億円</w:t>
            </w:r>
          </w:p>
        </w:tc>
        <w:tc>
          <w:tcPr>
            <w:tcW w:type="dxa" w:w="2351"/>
          </w:tcPr>
          <w:p>
            <w:r>
              <w:rPr>
                <w:rFonts w:ascii="Meiryo UI" w:hAnsi="Meiryo UI"/>
                <w:sz w:val="18"/>
              </w:rPr>
              <w:t>+190.7%</w:t>
            </w:r>
          </w:p>
        </w:tc>
        <w:tc>
          <w:tcPr>
            <w:tcW w:type="dxa" w:w="2351"/>
          </w:tcPr>
          <w:p>
            <w:r>
              <w:rPr>
                <w:rFonts w:ascii="Meiryo UI" w:hAnsi="Meiryo UI"/>
                <w:sz w:val="18"/>
              </w:rPr>
              <w:t>✅ 急拡大</w:t>
            </w:r>
          </w:p>
        </w:tc>
      </w:tr>
      <w:tr>
        <w:tc>
          <w:tcPr>
            <w:tcW w:type="dxa" w:w="2351"/>
            <w:shd w:val="clear" w:color="auto" w:fill="DDEBF7"/>
          </w:tcPr>
          <w:p>
            <w:r>
              <w:rPr>
                <w:rFonts w:ascii="Meiryo UI" w:hAnsi="Meiryo UI"/>
                <w:sz w:val="18"/>
              </w:rPr>
              <w:t>受注高</w:t>
            </w:r>
          </w:p>
        </w:tc>
        <w:tc>
          <w:tcPr>
            <w:tcW w:type="dxa" w:w="2351"/>
            <w:shd w:val="clear" w:color="auto" w:fill="DDEBF7"/>
          </w:tcPr>
          <w:p>
            <w:r>
              <w:rPr>
                <w:rFonts w:ascii="Meiryo UI" w:hAnsi="Meiryo UI"/>
                <w:sz w:val="18"/>
              </w:rPr>
              <w:t>1,301億円</w:t>
            </w:r>
          </w:p>
        </w:tc>
        <w:tc>
          <w:tcPr>
            <w:tcW w:type="dxa" w:w="2351"/>
            <w:shd w:val="clear" w:color="auto" w:fill="DDEBF7"/>
          </w:tcPr>
          <w:p>
            <w:r>
              <w:rPr>
                <w:rFonts w:ascii="Meiryo UI" w:hAnsi="Meiryo UI"/>
                <w:sz w:val="18"/>
              </w:rPr>
              <w:t>▲11.7%</w:t>
            </w:r>
          </w:p>
        </w:tc>
        <w:tc>
          <w:tcPr>
            <w:tcW w:type="dxa" w:w="2351"/>
            <w:shd w:val="clear" w:color="auto" w:fill="DDEBF7"/>
          </w:tcPr>
          <w:p>
            <w:r>
              <w:rPr>
                <w:rFonts w:ascii="Meiryo UI" w:hAnsi="Meiryo UI"/>
                <w:sz w:val="18"/>
              </w:rPr>
              <w:t>⚠️ 要注意</w:t>
            </w:r>
          </w:p>
        </w:tc>
      </w:tr>
      <w:tr>
        <w:tc>
          <w:tcPr>
            <w:tcW w:type="dxa" w:w="2351"/>
          </w:tcPr>
          <w:p>
            <w:r>
              <w:rPr>
                <w:rFonts w:ascii="Meiryo UI" w:hAnsi="Meiryo UI"/>
                <w:sz w:val="18"/>
              </w:rPr>
              <w:t>受注残</w:t>
            </w:r>
          </w:p>
        </w:tc>
        <w:tc>
          <w:tcPr>
            <w:tcW w:type="dxa" w:w="2351"/>
          </w:tcPr>
          <w:p>
            <w:r>
              <w:rPr>
                <w:rFonts w:ascii="Meiryo UI" w:hAnsi="Meiryo UI"/>
                <w:sz w:val="18"/>
              </w:rPr>
              <w:t>7,963億円</w:t>
            </w:r>
          </w:p>
        </w:tc>
        <w:tc>
          <w:tcPr>
            <w:tcW w:type="dxa" w:w="2351"/>
          </w:tcPr>
          <w:p>
            <w:r>
              <w:rPr>
                <w:rFonts w:ascii="Meiryo UI" w:hAnsi="Meiryo UI"/>
                <w:sz w:val="18"/>
              </w:rPr>
              <w:t>▲0.5%</w:t>
            </w:r>
          </w:p>
        </w:tc>
        <w:tc>
          <w:tcPr>
            <w:tcW w:type="dxa" w:w="2351"/>
          </w:tcPr>
          <w:p>
            <w:r>
              <w:rPr>
                <w:rFonts w:ascii="Meiryo UI" w:hAnsi="Meiryo UI"/>
                <w:sz w:val="18"/>
              </w:rPr>
              <w:t>🟡 微減</w:t>
            </w:r>
          </w:p>
        </w:tc>
      </w:tr>
      <w:tr>
        <w:tc>
          <w:tcPr>
            <w:tcW w:type="dxa" w:w="2351"/>
            <w:shd w:val="clear" w:color="auto" w:fill="DDEBF7"/>
          </w:tcPr>
          <w:p>
            <w:r>
              <w:rPr>
                <w:rFonts w:ascii="Meiryo UI" w:hAnsi="Meiryo UI"/>
                <w:sz w:val="18"/>
              </w:rPr>
              <w:t>入居者斡旋件数</w:t>
            </w:r>
          </w:p>
        </w:tc>
        <w:tc>
          <w:tcPr>
            <w:tcW w:type="dxa" w:w="2351"/>
            <w:shd w:val="clear" w:color="auto" w:fill="DDEBF7"/>
          </w:tcPr>
          <w:p>
            <w:r>
              <w:rPr>
                <w:rFonts w:ascii="Meiryo UI" w:hAnsi="Meiryo UI"/>
                <w:sz w:val="18"/>
              </w:rPr>
              <w:t>84,624件</w:t>
            </w:r>
          </w:p>
        </w:tc>
        <w:tc>
          <w:tcPr>
            <w:tcW w:type="dxa" w:w="2351"/>
            <w:shd w:val="clear" w:color="auto" w:fill="DDEBF7"/>
          </w:tcPr>
          <w:p>
            <w:r>
              <w:rPr>
                <w:rFonts w:ascii="Meiryo UI" w:hAnsi="Meiryo UI"/>
                <w:sz w:val="18"/>
              </w:rPr>
              <w:t>+0.4%</w:t>
            </w:r>
          </w:p>
        </w:tc>
        <w:tc>
          <w:tcPr>
            <w:tcW w:type="dxa" w:w="2351"/>
            <w:shd w:val="clear" w:color="auto" w:fill="DDEBF7"/>
          </w:tcPr>
          <w:p>
            <w:r>
              <w:rPr>
                <w:rFonts w:ascii="Meiryo UI" w:hAnsi="Meiryo UI"/>
                <w:sz w:val="18"/>
              </w:rPr>
              <w:t>✅ 微増</w:t>
            </w:r>
          </w:p>
        </w:tc>
      </w:tr>
    </w:tbl>
    <w:p/>
    <w:p>
      <w:pPr>
        <w:pStyle w:val="Heading3"/>
      </w:pPr>
      <w:r>
        <w:rPr>
          <w:rFonts w:ascii="Meiryo UI" w:hAnsi="Meiryo UI"/>
          <w:color w:val="2E74B5"/>
        </w:rPr>
        <w:t>モメンタム分析</w:t>
      </w:r>
    </w:p>
    <w:p/>
    <w:p>
      <w:r>
        <w:rPr>
          <w:rFonts w:ascii="Meiryo UI" w:hAnsi="Meiryo UI"/>
          <w:sz w:val="20"/>
        </w:rPr>
        <w:t>FY2025は「加速局面」: 純利益+25.7%増・EPS285.7円は直近5年の最高値。都市部集中と建設採算改善（完成工事総利益率+1.9pt）が寄与。</w:t>
      </w:r>
    </w:p>
    <w:p/>
    <w:p>
      <w:r>
        <w:rPr>
          <w:rFonts w:ascii="Meiryo UI" w:hAnsi="Meiryo UI"/>
          <w:sz w:val="20"/>
        </w:rPr>
        <w:t>FY2026 Q1は「先行指標が減速シグナル」: ストック系（賃貸管理・入居斡旋）は安定成長継続だが、フロー系の受注高▲11.7%が懸念材料。地方拠点撤退の影響と建設コスト高による受注単価上昇（＝件数減少）の複合要因とみられる。</w:t>
      </w:r>
    </w:p>
    <w:p/>
    <w:p>
      <w:r>
        <w:rPr>
          <w:rFonts w:ascii="Meiryo UI" w:hAnsi="Meiryo UI"/>
          <w:sz w:val="20"/>
        </w:rPr>
        <w:t>モメンタム評価: ストックは 横ばい〜加速、フローは 減速。全体としては 横ばい〜やや減速。</w:t>
      </w:r>
    </w:p>
    <w:p/>
    <w:p>
      <w:r>
        <w:rPr>
          <w:rFonts w:ascii="Meiryo UI" w:hAnsi="Meiryo UI"/>
          <w:sz w:val="20"/>
        </w:rPr>
        <w:t>次期ガイダンス評価: FY2025（2025.03）の会社予想（売上1兆7,500億円・営業利益1,080億円）を大幅超過して着地した実績から、FY2026予想（売上1兆9,800億円・営業利益1,350億円）もやや保守的と判断する。ただし受注モメンタムの悪化次第では下方修正リスクあり。</w:t>
      </w:r>
    </w:p>
    <w:p/>
    <w:p>
      <w:r>
        <w:rPr>
          <w:rFonts w:ascii="Meiryo UI" w:hAnsi="Meiryo UI"/>
          <w:sz w:val="20"/>
        </w:rPr>
        <w:t>アナリストコンセンサス傾向: FY2025は過去複数期にわたり会社予想を上回る「上振れサプライズ」傾向が定着していたが、FY2026 Q1の受注減速により、今後はコンセンサス達成が難易度上昇と評価。</w:t>
      </w:r>
    </w:p>
    <w:p/>
    <w:p>
      <w:r>
        <w:t>──────────────────────────────────────────────────</w:t>
      </w:r>
    </w:p>
    <w:p/>
    <w:p>
      <w:pPr>
        <w:pStyle w:val="Heading2"/>
      </w:pPr>
      <w:r>
        <w:rPr>
          <w:rFonts w:ascii="Meiryo UI" w:hAnsi="Meiryo UI"/>
          <w:color w:val="2E74B5"/>
        </w:rPr>
        <w:t>Section D: 競合比較分析</w:t>
      </w:r>
    </w:p>
    <w:p/>
    <w:p>
      <w:pPr>
        <w:pStyle w:val="Heading3"/>
      </w:pPr>
      <w:r>
        <w:rPr>
          <w:rFonts w:ascii="Meiryo UI" w:hAnsi="Meiryo UI"/>
          <w:color w:val="2E74B5"/>
        </w:rPr>
        <w:t>バリュエーション・財務指標比較（2026年4月3日時点）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銘柄</w:t>
            </w:r>
          </w:p>
        </w:tc>
        <w:tc>
          <w:tcPr>
            <w:tcW w:type="dxa" w:w="1176"/>
            <w:shd w:val="clear" w:color="auto" w:fill="2E74B5"/>
          </w:tcPr>
          <w:p>
            <w:r>
              <w:rPr>
                <w:rFonts w:ascii="Meiryo UI" w:hAnsi="Meiryo UI"/>
                <w:b/>
                <w:color w:val="FFFFFF"/>
                <w:sz w:val="18"/>
              </w:rPr>
              <w:t>コード</w:t>
            </w:r>
          </w:p>
        </w:tc>
        <w:tc>
          <w:tcPr>
            <w:tcW w:type="dxa" w:w="1176"/>
            <w:shd w:val="clear" w:color="auto" w:fill="2E74B5"/>
          </w:tcPr>
          <w:p>
            <w:r>
              <w:rPr>
                <w:rFonts w:ascii="Meiryo UI" w:hAnsi="Meiryo UI"/>
                <w:b/>
                <w:color w:val="FFFFFF"/>
                <w:sz w:val="18"/>
              </w:rPr>
              <w:t>PER（予）</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EV/EBITDA（概算）</w:t>
            </w:r>
          </w:p>
        </w:tc>
        <w:tc>
          <w:tcPr>
            <w:tcW w:type="dxa" w:w="1176"/>
            <w:shd w:val="clear" w:color="auto" w:fill="2E74B5"/>
          </w:tcPr>
          <w:p>
            <w:r>
              <w:rPr>
                <w:rFonts w:ascii="Meiryo UI" w:hAnsi="Meiryo UI"/>
                <w:b/>
                <w:color w:val="FFFFFF"/>
                <w:sz w:val="18"/>
              </w:rPr>
              <w:t>配当利回り</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自己資本比率</w:t>
            </w:r>
          </w:p>
        </w:tc>
      </w:tr>
      <w:tr>
        <w:tc>
          <w:tcPr>
            <w:tcW w:type="dxa" w:w="1176"/>
          </w:tcPr>
          <w:p>
            <w:r>
              <w:rPr>
                <w:rFonts w:ascii="Meiryo UI" w:hAnsi="Meiryo UI"/>
                <w:sz w:val="18"/>
              </w:rPr>
              <w:t>大東建託</w:t>
            </w:r>
          </w:p>
        </w:tc>
        <w:tc>
          <w:tcPr>
            <w:tcW w:type="dxa" w:w="1176"/>
          </w:tcPr>
          <w:p>
            <w:r>
              <w:rPr>
                <w:rFonts w:ascii="Meiryo UI" w:hAnsi="Meiryo UI"/>
                <w:sz w:val="18"/>
              </w:rPr>
              <w:t>1878</w:t>
            </w:r>
          </w:p>
        </w:tc>
        <w:tc>
          <w:tcPr>
            <w:tcW w:type="dxa" w:w="1176"/>
          </w:tcPr>
          <w:p>
            <w:r>
              <w:rPr>
                <w:rFonts w:ascii="Meiryo UI" w:hAnsi="Meiryo UI"/>
                <w:sz w:val="18"/>
              </w:rPr>
              <w:t>12.8倍</w:t>
            </w:r>
          </w:p>
        </w:tc>
        <w:tc>
          <w:tcPr>
            <w:tcW w:type="dxa" w:w="1176"/>
          </w:tcPr>
          <w:p>
            <w:r>
              <w:rPr>
                <w:rFonts w:ascii="Meiryo UI" w:hAnsi="Meiryo UI"/>
                <w:sz w:val="18"/>
              </w:rPr>
              <w:t>2.46倍</w:t>
            </w:r>
          </w:p>
        </w:tc>
        <w:tc>
          <w:tcPr>
            <w:tcW w:type="dxa" w:w="1176"/>
          </w:tcPr>
          <w:p>
            <w:r>
              <w:rPr>
                <w:rFonts w:ascii="Meiryo UI" w:hAnsi="Meiryo UI"/>
                <w:sz w:val="18"/>
              </w:rPr>
              <w:t>約8〜9倍</w:t>
            </w:r>
          </w:p>
        </w:tc>
        <w:tc>
          <w:tcPr>
            <w:tcW w:type="dxa" w:w="1176"/>
          </w:tcPr>
          <w:p>
            <w:r>
              <w:rPr>
                <w:rFonts w:ascii="Meiryo UI" w:hAnsi="Meiryo UI"/>
                <w:sz w:val="18"/>
              </w:rPr>
              <w:t>3.82%</w:t>
            </w:r>
          </w:p>
        </w:tc>
        <w:tc>
          <w:tcPr>
            <w:tcW w:type="dxa" w:w="1176"/>
          </w:tcPr>
          <w:p>
            <w:r>
              <w:rPr>
                <w:rFonts w:ascii="Meiryo UI" w:hAnsi="Meiryo UI"/>
                <w:sz w:val="18"/>
              </w:rPr>
              <w:t>21.5%</w:t>
            </w:r>
          </w:p>
        </w:tc>
        <w:tc>
          <w:tcPr>
            <w:tcW w:type="dxa" w:w="1176"/>
          </w:tcPr>
          <w:p>
            <w:r>
              <w:rPr>
                <w:rFonts w:ascii="Meiryo UI" w:hAnsi="Meiryo UI"/>
                <w:sz w:val="18"/>
              </w:rPr>
              <w:t>38.4%</w:t>
            </w:r>
          </w:p>
        </w:tc>
      </w:tr>
      <w:tr>
        <w:tc>
          <w:tcPr>
            <w:tcW w:type="dxa" w:w="1176"/>
            <w:shd w:val="clear" w:color="auto" w:fill="DDEBF7"/>
          </w:tcPr>
          <w:p>
            <w:r>
              <w:rPr>
                <w:rFonts w:ascii="Meiryo UI" w:hAnsi="Meiryo UI"/>
                <w:sz w:val="18"/>
              </w:rPr>
              <w:t>積水ハウス</w:t>
            </w:r>
          </w:p>
        </w:tc>
        <w:tc>
          <w:tcPr>
            <w:tcW w:type="dxa" w:w="1176"/>
            <w:shd w:val="clear" w:color="auto" w:fill="DDEBF7"/>
          </w:tcPr>
          <w:p>
            <w:r>
              <w:rPr>
                <w:rFonts w:ascii="Meiryo UI" w:hAnsi="Meiryo UI"/>
                <w:sz w:val="18"/>
              </w:rPr>
              <w:t>1928</w:t>
            </w:r>
          </w:p>
        </w:tc>
        <w:tc>
          <w:tcPr>
            <w:tcW w:type="dxa" w:w="1176"/>
            <w:shd w:val="clear" w:color="auto" w:fill="DDEBF7"/>
          </w:tcPr>
          <w:p>
            <w:r>
              <w:rPr>
                <w:rFonts w:ascii="Meiryo UI" w:hAnsi="Meiryo UI"/>
                <w:sz w:val="18"/>
              </w:rPr>
              <w:t>10.6倍</w:t>
            </w:r>
          </w:p>
        </w:tc>
        <w:tc>
          <w:tcPr>
            <w:tcW w:type="dxa" w:w="1176"/>
            <w:shd w:val="clear" w:color="auto" w:fill="DDEBF7"/>
          </w:tcPr>
          <w:p>
            <w:r>
              <w:rPr>
                <w:rFonts w:ascii="Meiryo UI" w:hAnsi="Meiryo UI"/>
                <w:sz w:val="18"/>
              </w:rPr>
              <w:t>1.08倍</w:t>
            </w:r>
          </w:p>
        </w:tc>
        <w:tc>
          <w:tcPr>
            <w:tcW w:type="dxa" w:w="1176"/>
            <w:shd w:val="clear" w:color="auto" w:fill="DDEBF7"/>
          </w:tcPr>
          <w:p>
            <w:r>
              <w:rPr>
                <w:rFonts w:ascii="Meiryo UI" w:hAnsi="Meiryo UI"/>
                <w:sz w:val="18"/>
              </w:rPr>
              <w:t>約7倍</w:t>
            </w:r>
          </w:p>
        </w:tc>
        <w:tc>
          <w:tcPr>
            <w:tcW w:type="dxa" w:w="1176"/>
            <w:shd w:val="clear" w:color="auto" w:fill="DDEBF7"/>
          </w:tcPr>
          <w:p>
            <w:r>
              <w:rPr>
                <w:rFonts w:ascii="Meiryo UI" w:hAnsi="Meiryo UI"/>
                <w:sz w:val="18"/>
              </w:rPr>
              <w:t>4.07%</w:t>
            </w:r>
          </w:p>
        </w:tc>
        <w:tc>
          <w:tcPr>
            <w:tcW w:type="dxa" w:w="1176"/>
            <w:shd w:val="clear" w:color="auto" w:fill="DDEBF7"/>
          </w:tcPr>
          <w:p>
            <w:r>
              <w:rPr>
                <w:rFonts w:ascii="Meiryo UI" w:hAnsi="Meiryo UI"/>
                <w:sz w:val="18"/>
              </w:rPr>
              <w:t>11.3%</w:t>
            </w:r>
          </w:p>
        </w:tc>
        <w:tc>
          <w:tcPr>
            <w:tcW w:type="dxa" w:w="1176"/>
            <w:shd w:val="clear" w:color="auto" w:fill="DDEBF7"/>
          </w:tcPr>
          <w:p>
            <w:r>
              <w:rPr>
                <w:rFonts w:ascii="Meiryo UI" w:hAnsi="Meiryo UI"/>
                <w:sz w:val="18"/>
              </w:rPr>
              <w:t>42.7%</w:t>
            </w:r>
          </w:p>
        </w:tc>
      </w:tr>
      <w:tr>
        <w:tc>
          <w:tcPr>
            <w:tcW w:type="dxa" w:w="1176"/>
          </w:tcPr>
          <w:p>
            <w:r>
              <w:rPr>
                <w:rFonts w:ascii="Meiryo UI" w:hAnsi="Meiryo UI"/>
                <w:sz w:val="18"/>
              </w:rPr>
              <w:t>大和ハウス工業</w:t>
            </w:r>
          </w:p>
        </w:tc>
        <w:tc>
          <w:tcPr>
            <w:tcW w:type="dxa" w:w="1176"/>
          </w:tcPr>
          <w:p>
            <w:r>
              <w:rPr>
                <w:rFonts w:ascii="Meiryo UI" w:hAnsi="Meiryo UI"/>
                <w:sz w:val="18"/>
              </w:rPr>
              <w:t>1925</w:t>
            </w:r>
          </w:p>
        </w:tc>
        <w:tc>
          <w:tcPr>
            <w:tcW w:type="dxa" w:w="1176"/>
          </w:tcPr>
          <w:p>
            <w:r>
              <w:rPr>
                <w:rFonts w:ascii="Meiryo UI" w:hAnsi="Meiryo UI"/>
                <w:sz w:val="18"/>
              </w:rPr>
              <w:t>10.7倍</w:t>
            </w:r>
          </w:p>
        </w:tc>
        <w:tc>
          <w:tcPr>
            <w:tcW w:type="dxa" w:w="1176"/>
          </w:tcPr>
          <w:p>
            <w:r>
              <w:rPr>
                <w:rFonts w:ascii="Meiryo UI" w:hAnsi="Meiryo UI"/>
                <w:sz w:val="18"/>
              </w:rPr>
              <w:t>1.14倍</w:t>
            </w:r>
          </w:p>
        </w:tc>
        <w:tc>
          <w:tcPr>
            <w:tcW w:type="dxa" w:w="1176"/>
          </w:tcPr>
          <w:p>
            <w:r>
              <w:rPr>
                <w:rFonts w:ascii="Meiryo UI" w:hAnsi="Meiryo UI"/>
                <w:sz w:val="18"/>
              </w:rPr>
              <w:t>約8倍</w:t>
            </w:r>
          </w:p>
        </w:tc>
        <w:tc>
          <w:tcPr>
            <w:tcW w:type="dxa" w:w="1176"/>
          </w:tcPr>
          <w:p>
            <w:r>
              <w:rPr>
                <w:rFonts w:ascii="Meiryo UI" w:hAnsi="Meiryo UI"/>
                <w:sz w:val="18"/>
              </w:rPr>
              <w:t>3.50%</w:t>
            </w:r>
          </w:p>
        </w:tc>
        <w:tc>
          <w:tcPr>
            <w:tcW w:type="dxa" w:w="1176"/>
          </w:tcPr>
          <w:p>
            <w:r>
              <w:rPr>
                <w:rFonts w:ascii="Meiryo UI" w:hAnsi="Meiryo UI"/>
                <w:sz w:val="18"/>
              </w:rPr>
              <w:t>12.9%</w:t>
            </w:r>
          </w:p>
        </w:tc>
        <w:tc>
          <w:tcPr>
            <w:tcW w:type="dxa" w:w="1176"/>
          </w:tcPr>
          <w:p>
            <w:r>
              <w:rPr>
                <w:rFonts w:ascii="Meiryo UI" w:hAnsi="Meiryo UI"/>
                <w:sz w:val="18"/>
              </w:rPr>
              <w:t>37.1%</w:t>
            </w:r>
          </w:p>
        </w:tc>
      </w:tr>
      <w:tr>
        <w:tc>
          <w:tcPr>
            <w:tcW w:type="dxa" w:w="1176"/>
            <w:shd w:val="clear" w:color="auto" w:fill="DDEBF7"/>
          </w:tcPr>
          <w:p>
            <w:r>
              <w:rPr>
                <w:rFonts w:ascii="Meiryo UI" w:hAnsi="Meiryo UI"/>
                <w:sz w:val="18"/>
              </w:rPr>
              <w:t>住友林業</w:t>
            </w:r>
          </w:p>
        </w:tc>
        <w:tc>
          <w:tcPr>
            <w:tcW w:type="dxa" w:w="1176"/>
            <w:shd w:val="clear" w:color="auto" w:fill="DDEBF7"/>
          </w:tcPr>
          <w:p>
            <w:r>
              <w:rPr>
                <w:rFonts w:ascii="Meiryo UI" w:hAnsi="Meiryo UI"/>
                <w:sz w:val="18"/>
              </w:rPr>
              <w:t>1911</w:t>
            </w:r>
          </w:p>
        </w:tc>
        <w:tc>
          <w:tcPr>
            <w:tcW w:type="dxa" w:w="1176"/>
            <w:shd w:val="clear" w:color="auto" w:fill="DDEBF7"/>
          </w:tcPr>
          <w:p>
            <w:r>
              <w:rPr>
                <w:rFonts w:ascii="Meiryo UI" w:hAnsi="Meiryo UI"/>
                <w:sz w:val="18"/>
              </w:rPr>
              <w:t>9.1倍</w:t>
            </w:r>
          </w:p>
        </w:tc>
        <w:tc>
          <w:tcPr>
            <w:tcW w:type="dxa" w:w="1176"/>
            <w:shd w:val="clear" w:color="auto" w:fill="DDEBF7"/>
          </w:tcPr>
          <w:p>
            <w:r>
              <w:rPr>
                <w:rFonts w:ascii="Meiryo UI" w:hAnsi="Meiryo UI"/>
                <w:sz w:val="18"/>
              </w:rPr>
              <w:t>0.86倍</w:t>
            </w:r>
          </w:p>
        </w:tc>
        <w:tc>
          <w:tcPr>
            <w:tcW w:type="dxa" w:w="1176"/>
            <w:shd w:val="clear" w:color="auto" w:fill="DDEBF7"/>
          </w:tcPr>
          <w:p>
            <w:r>
              <w:rPr>
                <w:rFonts w:ascii="Meiryo UI" w:hAnsi="Meiryo UI"/>
                <w:sz w:val="18"/>
              </w:rPr>
              <w:t>約6倍</w:t>
            </w:r>
          </w:p>
        </w:tc>
        <w:tc>
          <w:tcPr>
            <w:tcW w:type="dxa" w:w="1176"/>
            <w:shd w:val="clear" w:color="auto" w:fill="DDEBF7"/>
          </w:tcPr>
          <w:p>
            <w:r>
              <w:rPr>
                <w:rFonts w:ascii="Meiryo UI" w:hAnsi="Meiryo UI"/>
                <w:sz w:val="18"/>
              </w:rPr>
              <w:t>3.53%</w:t>
            </w:r>
          </w:p>
        </w:tc>
        <w:tc>
          <w:tcPr>
            <w:tcW w:type="dxa" w:w="1176"/>
            <w:shd w:val="clear" w:color="auto" w:fill="DDEBF7"/>
          </w:tcPr>
          <w:p>
            <w:r>
              <w:rPr>
                <w:rFonts w:ascii="Meiryo UI" w:hAnsi="Meiryo UI"/>
                <w:sz w:val="18"/>
              </w:rPr>
              <w:t>11.1%</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レオパレス21</w:t>
            </w:r>
          </w:p>
        </w:tc>
        <w:tc>
          <w:tcPr>
            <w:tcW w:type="dxa" w:w="1176"/>
          </w:tcPr>
          <w:p>
            <w:r>
              <w:rPr>
                <w:rFonts w:ascii="Meiryo UI" w:hAnsi="Meiryo UI"/>
                <w:sz w:val="18"/>
              </w:rPr>
              <w:t>8848</w:t>
            </w:r>
          </w:p>
        </w:tc>
        <w:tc>
          <w:tcPr>
            <w:tcW w:type="dxa" w:w="1176"/>
          </w:tcPr>
          <w:p>
            <w:r>
              <w:rPr>
                <w:rFonts w:ascii="Meiryo UI" w:hAnsi="Meiryo UI"/>
                <w:sz w:val="18"/>
              </w:rPr>
              <w:t>15.8倍</w:t>
            </w:r>
          </w:p>
        </w:tc>
        <w:tc>
          <w:tcPr>
            <w:tcW w:type="dxa" w:w="1176"/>
          </w:tcPr>
          <w:p>
            <w:r>
              <w:rPr>
                <w:rFonts w:ascii="Meiryo UI" w:hAnsi="Meiryo UI"/>
                <w:sz w:val="18"/>
              </w:rPr>
              <w:t>6.07倍</w:t>
            </w:r>
          </w:p>
        </w:tc>
        <w:tc>
          <w:tcPr>
            <w:tcW w:type="dxa" w:w="1176"/>
          </w:tcPr>
          <w:p>
            <w:r>
              <w:rPr>
                <w:rFonts w:ascii="Meiryo UI" w:hAnsi="Meiryo UI"/>
                <w:sz w:val="18"/>
              </w:rPr>
              <w:t>高倍率</w:t>
            </w:r>
          </w:p>
        </w:tc>
        <w:tc>
          <w:tcPr>
            <w:tcW w:type="dxa" w:w="1176"/>
          </w:tcPr>
          <w:p>
            <w:r>
              <w:rPr>
                <w:rFonts w:ascii="Meiryo UI" w:hAnsi="Meiryo UI"/>
                <w:sz w:val="18"/>
              </w:rPr>
              <w:t>1.55%</w:t>
            </w:r>
          </w:p>
        </w:tc>
        <w:tc>
          <w:tcPr>
            <w:tcW w:type="dxa" w:w="1176"/>
          </w:tcPr>
          <w:p>
            <w:r>
              <w:rPr>
                <w:rFonts w:ascii="Meiryo UI" w:hAnsi="Meiryo UI"/>
                <w:sz w:val="18"/>
              </w:rPr>
              <w:t>38%超</w:t>
            </w:r>
          </w:p>
        </w:tc>
        <w:tc>
          <w:tcPr>
            <w:tcW w:type="dxa" w:w="1176"/>
          </w:tcPr>
          <w:p>
            <w:r>
              <w:rPr>
                <w:rFonts w:ascii="Meiryo UI" w:hAnsi="Meiryo UI"/>
                <w:sz w:val="18"/>
              </w:rPr>
              <w:t>低め</w:t>
            </w:r>
          </w:p>
        </w:tc>
      </w:tr>
    </w:tbl>
    <w:p/>
    <w:p>
      <w:r>
        <w:rPr>
          <w:rFonts w:ascii="Meiryo UI" w:hAnsi="Meiryo UI"/>
          <w:sz w:val="20"/>
        </w:rPr>
        <w:t>バリュエーション判定:</w:t>
      </w:r>
    </w:p>
    <w:p>
      <w:pPr>
        <w:pStyle w:val="ListBullet"/>
      </w:pPr>
      <w:r>
        <w:rPr>
          <w:rFonts w:ascii="Meiryo UI" w:hAnsi="Meiryo UI"/>
          <w:sz w:val="20"/>
        </w:rPr>
        <w:t>PER12.8倍は積水ハウス（10.6倍）・大和ハウス（10.7倍）より若干高いが、ROE21.5%（vs 業界平均約12%）がプレミアムを正当化。</w:t>
      </w:r>
    </w:p>
    <w:p>
      <w:pPr>
        <w:pStyle w:val="ListBullet"/>
      </w:pPr>
      <w:r>
        <w:rPr>
          <w:rFonts w:ascii="Meiryo UI" w:hAnsi="Meiryo UI"/>
          <w:sz w:val="20"/>
        </w:rPr>
        <w:t>PBR2.46倍は競合対比で高水準。ROEプレミアムを反映しているが、割高感の懸念も残る。</w:t>
      </w:r>
    </w:p>
    <w:p>
      <w:pPr>
        <w:pStyle w:val="ListBullet"/>
      </w:pPr>
      <w:r>
        <w:rPr>
          <w:rFonts w:ascii="Meiryo UI" w:hAnsi="Meiryo UI"/>
          <w:sz w:val="20"/>
        </w:rPr>
        <w:t>配当利回り3.82%は業界内で競争力ある水準。</w:t>
      </w:r>
    </w:p>
    <w:p/>
    <w:p>
      <w:r>
        <w:rPr>
          <w:rFonts w:ascii="Meiryo UI" w:hAnsi="Meiryo UI"/>
          <w:sz w:val="20"/>
        </w:rPr>
        <w:t>→ バリュエーション判定: 競合比では「やや割高」だが、ROE格差を勘案すれば「適正」</w:t>
      </w:r>
    </w:p>
    <w:p/>
    <w:p>
      <w:pPr>
        <w:pStyle w:val="Heading3"/>
      </w:pPr>
      <w:r>
        <w:rPr>
          <w:rFonts w:ascii="Meiryo UI" w:hAnsi="Meiryo UI"/>
          <w:color w:val="2E74B5"/>
        </w:rPr>
        <w:t>Moat（経済的堀）評価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Moat種別</w:t>
            </w:r>
          </w:p>
        </w:tc>
        <w:tc>
          <w:tcPr>
            <w:tcW w:type="dxa" w:w="2351"/>
            <w:shd w:val="clear" w:color="auto" w:fill="2E74B5"/>
          </w:tcPr>
          <w:p>
            <w:r>
              <w:rPr>
                <w:rFonts w:ascii="Meiryo UI" w:hAnsi="Meiryo UI"/>
                <w:b/>
                <w:color w:val="FFFFFF"/>
                <w:sz w:val="18"/>
              </w:rPr>
              <w:t>大東建託への該当</w:t>
            </w:r>
          </w:p>
        </w:tc>
        <w:tc>
          <w:tcPr>
            <w:tcW w:type="dxa" w:w="2351"/>
            <w:shd w:val="clear" w:color="auto" w:fill="2E74B5"/>
          </w:tcPr>
          <w:p>
            <w:r>
              <w:rPr>
                <w:rFonts w:ascii="Meiryo UI" w:hAnsi="Meiryo UI"/>
                <w:b/>
                <w:color w:val="FFFFFF"/>
                <w:sz w:val="18"/>
              </w:rPr>
              <w:t>強度</w:t>
            </w:r>
          </w:p>
        </w:tc>
        <w:tc>
          <w:tcPr>
            <w:tcW w:type="dxa" w:w="2351"/>
            <w:shd w:val="clear" w:color="auto" w:fill="2E74B5"/>
          </w:tcPr>
          <w:p>
            <w:r>
              <w:rPr>
                <w:rFonts w:ascii="Meiryo UI" w:hAnsi="Meiryo UI"/>
                <w:b/>
                <w:color w:val="FFFFFF"/>
                <w:sz w:val="18"/>
              </w:rPr>
              <w:t>持続可能性</w:t>
            </w:r>
          </w:p>
        </w:tc>
      </w:tr>
      <w:tr>
        <w:tc>
          <w:tcPr>
            <w:tcW w:type="dxa" w:w="2351"/>
          </w:tcPr>
          <w:p>
            <w:r>
              <w:rPr>
                <w:rFonts w:ascii="Meiryo UI" w:hAnsi="Meiryo UI"/>
                <w:sz w:val="18"/>
              </w:rPr>
              <w:t>効率的規模（スケール）</w:t>
            </w:r>
          </w:p>
        </w:tc>
        <w:tc>
          <w:tcPr>
            <w:tcW w:type="dxa" w:w="2351"/>
          </w:tcPr>
          <w:p>
            <w:r>
              <w:rPr>
                <w:rFonts w:ascii="Meiryo UI" w:hAnsi="Meiryo UI"/>
                <w:sz w:val="18"/>
              </w:rPr>
              <w:t>管理戸数129万戸・業界断トツ首位 → プール効果で空室リスクを分散</w:t>
            </w:r>
          </w:p>
        </w:tc>
        <w:tc>
          <w:tcPr>
            <w:tcW w:type="dxa" w:w="2351"/>
          </w:tcPr>
          <w:p>
            <w:r>
              <w:rPr>
                <w:rFonts w:ascii="Meiryo UI" w:hAnsi="Meiryo UI"/>
                <w:sz w:val="18"/>
              </w:rPr>
              <w:t>高</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スイッチングコスト</w:t>
            </w:r>
          </w:p>
        </w:tc>
        <w:tc>
          <w:tcPr>
            <w:tcW w:type="dxa" w:w="2351"/>
            <w:shd w:val="clear" w:color="auto" w:fill="DDEBF7"/>
          </w:tcPr>
          <w:p>
            <w:r>
              <w:rPr>
                <w:rFonts w:ascii="Meiryo UI" w:hAnsi="Meiryo UI"/>
                <w:sz w:val="18"/>
              </w:rPr>
              <w:t>長期サブリース契約（通常30年）でオーナーが乗り換えにくい構造</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無形資産（ブランド）</w:t>
            </w:r>
          </w:p>
        </w:tc>
        <w:tc>
          <w:tcPr>
            <w:tcW w:type="dxa" w:w="2351"/>
          </w:tcPr>
          <w:p>
            <w:r>
              <w:rPr>
                <w:rFonts w:ascii="Meiryo UI" w:hAnsi="Meiryo UI"/>
                <w:sz w:val="18"/>
              </w:rPr>
              <w:t>「大東建託」ブランドによる地主・入居者への信頼</w:t>
            </w:r>
          </w:p>
        </w:tc>
        <w:tc>
          <w:tcPr>
            <w:tcW w:type="dxa" w:w="2351"/>
          </w:tcPr>
          <w:p>
            <w:r>
              <w:rPr>
                <w:rFonts w:ascii="Meiryo UI" w:hAnsi="Meiryo UI"/>
                <w:sz w:val="18"/>
              </w:rPr>
              <w:t>中</w:t>
            </w:r>
          </w:p>
        </w:tc>
        <w:tc>
          <w:tcPr>
            <w:tcW w:type="dxa" w:w="2351"/>
          </w:tcPr>
          <w:p>
            <w:r>
              <w:rPr>
                <w:rFonts w:ascii="Meiryo UI" w:hAnsi="Meiryo UI"/>
                <w:sz w:val="18"/>
              </w:rPr>
              <w:t>中（評判リスクあり）</w:t>
            </w:r>
          </w:p>
        </w:tc>
      </w:tr>
      <w:tr>
        <w:tc>
          <w:tcPr>
            <w:tcW w:type="dxa" w:w="2351"/>
            <w:shd w:val="clear" w:color="auto" w:fill="DDEBF7"/>
          </w:tcPr>
          <w:p>
            <w:r>
              <w:rPr>
                <w:rFonts w:ascii="Meiryo UI" w:hAnsi="Meiryo UI"/>
                <w:sz w:val="18"/>
              </w:rPr>
              <w:t>コスト優位性</w:t>
            </w:r>
          </w:p>
        </w:tc>
        <w:tc>
          <w:tcPr>
            <w:tcW w:type="dxa" w:w="2351"/>
            <w:shd w:val="clear" w:color="auto" w:fill="DDEBF7"/>
          </w:tcPr>
          <w:p>
            <w:r>
              <w:rPr>
                <w:rFonts w:ascii="Meiryo UI" w:hAnsi="Meiryo UI"/>
                <w:sz w:val="18"/>
              </w:rPr>
              <w:t>大量発注による建設資材調達コスト削減</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ネットワーク効果</w:t>
            </w:r>
          </w:p>
        </w:tc>
        <w:tc>
          <w:tcPr>
            <w:tcW w:type="dxa" w:w="2351"/>
          </w:tcPr>
          <w:p>
            <w:r>
              <w:rPr>
                <w:rFonts w:ascii="Meiryo UI" w:hAnsi="Meiryo UI"/>
                <w:sz w:val="18"/>
              </w:rPr>
              <w:t>DK SELECT（仲介1,100超店舗）の規模効果</w:t>
            </w:r>
          </w:p>
        </w:tc>
        <w:tc>
          <w:tcPr>
            <w:tcW w:type="dxa" w:w="2351"/>
          </w:tcPr>
          <w:p>
            <w:r>
              <w:rPr>
                <w:rFonts w:ascii="Meiryo UI" w:hAnsi="Meiryo UI"/>
                <w:sz w:val="18"/>
              </w:rPr>
              <w:t>中</w:t>
            </w:r>
          </w:p>
        </w:tc>
        <w:tc>
          <w:tcPr>
            <w:tcW w:type="dxa" w:w="2351"/>
          </w:tcPr>
          <w:p>
            <w:r>
              <w:rPr>
                <w:rFonts w:ascii="Meiryo UI" w:hAnsi="Meiryo UI"/>
                <w:sz w:val="18"/>
              </w:rPr>
              <w:t>中</w:t>
            </w:r>
          </w:p>
        </w:tc>
      </w:tr>
    </w:tbl>
    <w:p/>
    <w:p>
      <w:r>
        <w:rPr>
          <w:rFonts w:ascii="Meiryo UI" w:hAnsi="Meiryo UI"/>
          <w:sz w:val="20"/>
        </w:rPr>
        <w:t>主要Moat: 効率的規模 × スイッチングコスト（強度：高）</w:t>
      </w:r>
    </w:p>
    <w:p/>
    <w:p>
      <w:r>
        <w:rPr>
          <w:rFonts w:ascii="Meiryo UI" w:hAnsi="Meiryo UI"/>
          <w:sz w:val="20"/>
        </w:rPr>
        <w:t>Moatの持続可能性評価:</w:t>
      </w:r>
    </w:p>
    <w:p>
      <w:r>
        <w:rPr>
          <w:rFonts w:ascii="Meiryo UI" w:hAnsi="Meiryo UI"/>
          <w:sz w:val="20"/>
        </w:rPr>
        <w:t>管理戸数の規模とサブリース契約の長期固定性は、新規参入・競合による侵食が極めて困難な構造的優位性を形成している。ただし人口動態の逆風により地方市場でのMoatは徐々に侵食されており、都市部集中戦略がこのモートを都市部に「再構築」できるかが中長期の焦点となる。</w:t>
      </w:r>
    </w:p>
    <w:p/>
    <w:p>
      <w:r>
        <w:t>──────────────────────────────────────────────────</w:t>
      </w:r>
    </w:p>
    <w:p/>
    <w:p>
      <w:pPr>
        <w:pStyle w:val="Heading2"/>
      </w:pPr>
      <w:r>
        <w:rPr>
          <w:rFonts w:ascii="Meiryo UI" w:hAnsi="Meiryo UI"/>
          <w:color w:val="2E74B5"/>
        </w:rPr>
        <w:t>Section E: リスク分析（最低5項目）</w:t>
      </w:r>
    </w:p>
    <w:p/>
    <w:p>
      <w:pPr>
        <w:pStyle w:val="Heading3"/>
      </w:pPr>
      <w:r>
        <w:rPr>
          <w:rFonts w:ascii="Meiryo UI" w:hAnsi="Meiryo UI"/>
          <w:color w:val="2E74B5"/>
        </w:rPr>
        <w:t>リスクマトリクス</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w:t>
            </w:r>
          </w:p>
        </w:tc>
        <w:tc>
          <w:tcPr>
            <w:tcW w:type="dxa" w:w="1344"/>
            <w:shd w:val="clear" w:color="auto" w:fill="2E74B5"/>
          </w:tcPr>
          <w:p>
            <w:r>
              <w:rPr>
                <w:rFonts w:ascii="Meiryo UI" w:hAnsi="Meiryo UI"/>
                <w:b/>
                <w:color w:val="FFFFFF"/>
                <w:sz w:val="18"/>
              </w:rPr>
              <w:t>リスク名</w:t>
            </w:r>
          </w:p>
        </w:tc>
        <w:tc>
          <w:tcPr>
            <w:tcW w:type="dxa" w:w="1344"/>
            <w:shd w:val="clear" w:color="auto" w:fill="2E74B5"/>
          </w:tcPr>
          <w:p>
            <w:r>
              <w:rPr>
                <w:rFonts w:ascii="Meiryo UI" w:hAnsi="Meiryo UI"/>
                <w:b/>
                <w:color w:val="FFFFFF"/>
                <w:sz w:val="18"/>
              </w:rPr>
              <w:t>概要</w:t>
            </w:r>
          </w:p>
        </w:tc>
        <w:tc>
          <w:tcPr>
            <w:tcW w:type="dxa" w:w="1344"/>
            <w:shd w:val="clear" w:color="auto" w:fill="2E74B5"/>
          </w:tcPr>
          <w:p>
            <w:r>
              <w:rPr>
                <w:rFonts w:ascii="Meiryo UI" w:hAnsi="Meiryo UI"/>
                <w:b/>
                <w:color w:val="FFFFFF"/>
                <w:sz w:val="18"/>
              </w:rPr>
              <w:t>発生確率</w:t>
            </w:r>
          </w:p>
        </w:tc>
        <w:tc>
          <w:tcPr>
            <w:tcW w:type="dxa" w:w="1344"/>
            <w:shd w:val="clear" w:color="auto" w:fill="2E74B5"/>
          </w:tcPr>
          <w:p>
            <w:r>
              <w:rPr>
                <w:rFonts w:ascii="Meiryo UI" w:hAnsi="Meiryo UI"/>
                <w:b/>
                <w:color w:val="FFFFFF"/>
                <w:sz w:val="18"/>
              </w:rPr>
              <w:t>インパクト</w:t>
            </w:r>
          </w:p>
        </w:tc>
        <w:tc>
          <w:tcPr>
            <w:tcW w:type="dxa" w:w="1344"/>
            <w:shd w:val="clear" w:color="auto" w:fill="2E74B5"/>
          </w:tcPr>
          <w:p>
            <w:r>
              <w:rPr>
                <w:rFonts w:ascii="Meiryo UI" w:hAnsi="Meiryo UI"/>
                <w:b/>
                <w:color w:val="FFFFFF"/>
                <w:sz w:val="18"/>
              </w:rPr>
              <w:t>優先度</w:t>
            </w:r>
          </w:p>
        </w:tc>
        <w:tc>
          <w:tcPr>
            <w:tcW w:type="dxa" w:w="1344"/>
            <w:shd w:val="clear" w:color="auto" w:fill="2E74B5"/>
          </w:tcPr>
          <w:p>
            <w:r>
              <w:rPr>
                <w:rFonts w:ascii="Meiryo UI" w:hAnsi="Meiryo UI"/>
                <w:b/>
                <w:color w:val="FFFFFF"/>
                <w:sz w:val="18"/>
              </w:rPr>
              <w:t>備考・対応策</w:t>
            </w:r>
          </w:p>
        </w:tc>
      </w:tr>
      <w:tr>
        <w:tc>
          <w:tcPr>
            <w:tcW w:type="dxa" w:w="1344"/>
          </w:tcPr>
          <w:p>
            <w:r>
              <w:rPr>
                <w:rFonts w:ascii="Meiryo UI" w:hAnsi="Meiryo UI"/>
                <w:sz w:val="18"/>
              </w:rPr>
              <w:t>1</w:t>
            </w:r>
          </w:p>
        </w:tc>
        <w:tc>
          <w:tcPr>
            <w:tcW w:type="dxa" w:w="1344"/>
          </w:tcPr>
          <w:p>
            <w:r>
              <w:rPr>
                <w:rFonts w:ascii="Meiryo UI" w:hAnsi="Meiryo UI"/>
                <w:sz w:val="18"/>
              </w:rPr>
              <w:t>フロー受注モメンタム悪化</w:t>
            </w:r>
          </w:p>
        </w:tc>
        <w:tc>
          <w:tcPr>
            <w:tcW w:type="dxa" w:w="1344"/>
          </w:tcPr>
          <w:p>
            <w:r>
              <w:rPr>
                <w:rFonts w:ascii="Meiryo UI" w:hAnsi="Meiryo UI"/>
                <w:sz w:val="18"/>
              </w:rPr>
              <w:t>Q1受注高▲11.7%が示す建設受注の減速。建設コスト上昇・地方撤退・金利上昇の複合要因。</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都市部受注の積み上がりを四半期ごとに確認。中計目標（FY2026売上2兆円）の達成可否が焦点</w:t>
            </w:r>
          </w:p>
        </w:tc>
      </w:tr>
      <w:tr>
        <w:tc>
          <w:tcPr>
            <w:tcW w:type="dxa" w:w="1344"/>
            <w:shd w:val="clear" w:color="auto" w:fill="DDEBF7"/>
          </w:tcPr>
          <w:p>
            <w:r>
              <w:rPr>
                <w:rFonts w:ascii="Meiryo UI" w:hAnsi="Meiryo UI"/>
                <w:sz w:val="18"/>
              </w:rPr>
              <w:t>2</w:t>
            </w:r>
          </w:p>
        </w:tc>
        <w:tc>
          <w:tcPr>
            <w:tcW w:type="dxa" w:w="1344"/>
            <w:shd w:val="clear" w:color="auto" w:fill="DDEBF7"/>
          </w:tcPr>
          <w:p>
            <w:r>
              <w:rPr>
                <w:rFonts w:ascii="Meiryo UI" w:hAnsi="Meiryo UI"/>
                <w:sz w:val="18"/>
              </w:rPr>
              <w:t>建設コスト継続上昇</w:t>
            </w:r>
          </w:p>
        </w:tc>
        <w:tc>
          <w:tcPr>
            <w:tcW w:type="dxa" w:w="1344"/>
            <w:shd w:val="clear" w:color="auto" w:fill="DDEBF7"/>
          </w:tcPr>
          <w:p>
            <w:r>
              <w:rPr>
                <w:rFonts w:ascii="Meiryo UI" w:hAnsi="Meiryo UI"/>
                <w:sz w:val="18"/>
              </w:rPr>
              <w:t>資材費・労務費の高止まりが建設利益率を圧迫。完工利益率の改善が価格転嫁頼みのため、地方では限界あり。</w:t>
            </w:r>
          </w:p>
        </w:tc>
        <w:tc>
          <w:tcPr>
            <w:tcW w:type="dxa" w:w="1344"/>
            <w:shd w:val="clear" w:color="auto" w:fill="DDEBF7"/>
          </w:tcPr>
          <w:p>
            <w:r>
              <w:rPr>
                <w:rFonts w:ascii="Meiryo UI" w:hAnsi="Meiryo UI"/>
                <w:sz w:val="18"/>
              </w:rPr>
              <w:t>高</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価格転嫁力（受注単価引き上げ）の持続性をモニタリング</w:t>
            </w:r>
          </w:p>
        </w:tc>
      </w:tr>
      <w:tr>
        <w:tc>
          <w:tcPr>
            <w:tcW w:type="dxa" w:w="1344"/>
          </w:tcPr>
          <w:p>
            <w:r>
              <w:rPr>
                <w:rFonts w:ascii="Meiryo UI" w:hAnsi="Meiryo UI"/>
                <w:sz w:val="18"/>
              </w:rPr>
              <w:t>3</w:t>
            </w:r>
          </w:p>
        </w:tc>
        <w:tc>
          <w:tcPr>
            <w:tcW w:type="dxa" w:w="1344"/>
          </w:tcPr>
          <w:p>
            <w:r>
              <w:rPr>
                <w:rFonts w:ascii="Meiryo UI" w:hAnsi="Meiryo UI"/>
                <w:sz w:val="18"/>
              </w:rPr>
              <w:t>人口動態による賃貸需要減退</w:t>
            </w:r>
          </w:p>
        </w:tc>
        <w:tc>
          <w:tcPr>
            <w:tcW w:type="dxa" w:w="1344"/>
          </w:tcPr>
          <w:p>
            <w:r>
              <w:rPr>
                <w:rFonts w:ascii="Meiryo UI" w:hAnsi="Meiryo UI"/>
                <w:sz w:val="18"/>
              </w:rPr>
              <w:t>日本の人口減少加速により、特に地方の賃貸住宅需要が構造的に縮小。空室率上昇→サブリース賃料下落→ストック収益の漸減リスク。</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都市部・首都圏集中戦略で対応中だが、地方物件の管理コスト上昇も伴う</w:t>
            </w:r>
          </w:p>
        </w:tc>
      </w:tr>
      <w:tr>
        <w:tc>
          <w:tcPr>
            <w:tcW w:type="dxa" w:w="1344"/>
            <w:shd w:val="clear" w:color="auto" w:fill="DDEBF7"/>
          </w:tcPr>
          <w:p>
            <w:r>
              <w:rPr>
                <w:rFonts w:ascii="Meiryo UI" w:hAnsi="Meiryo UI"/>
                <w:sz w:val="18"/>
              </w:rPr>
              <w:t>4</w:t>
            </w:r>
          </w:p>
        </w:tc>
        <w:tc>
          <w:tcPr>
            <w:tcW w:type="dxa" w:w="1344"/>
            <w:shd w:val="clear" w:color="auto" w:fill="DDEBF7"/>
          </w:tcPr>
          <w:p>
            <w:r>
              <w:rPr>
                <w:rFonts w:ascii="Meiryo UI" w:hAnsi="Meiryo UI"/>
                <w:sz w:val="18"/>
              </w:rPr>
              <w:t>金利上昇による新規需要抑制</w:t>
            </w:r>
          </w:p>
        </w:tc>
        <w:tc>
          <w:tcPr>
            <w:tcW w:type="dxa" w:w="1344"/>
            <w:shd w:val="clear" w:color="auto" w:fill="DDEBF7"/>
          </w:tcPr>
          <w:p>
            <w:r>
              <w:rPr>
                <w:rFonts w:ascii="Meiryo UI" w:hAnsi="Meiryo UI"/>
                <w:sz w:val="18"/>
              </w:rPr>
              <w:t>日銀の利上げ継続がアパートローン金利を上昇させ、土地オーナーの建設意欲を減退。大東建託のフロー収益に直撃。</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大</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大東建託自身の有利子負債は低水準（有利子負債倍率0.26倍）で直接影響は軽微。ただし顧客（地主）への間接影響が大</w:t>
            </w:r>
          </w:p>
        </w:tc>
      </w:tr>
      <w:tr>
        <w:tc>
          <w:tcPr>
            <w:tcW w:type="dxa" w:w="1344"/>
          </w:tcPr>
          <w:p>
            <w:r>
              <w:rPr>
                <w:rFonts w:ascii="Meiryo UI" w:hAnsi="Meiryo UI"/>
                <w:sz w:val="18"/>
              </w:rPr>
              <w:t>5</w:t>
            </w:r>
          </w:p>
        </w:tc>
        <w:tc>
          <w:tcPr>
            <w:tcW w:type="dxa" w:w="1344"/>
          </w:tcPr>
          <w:p>
            <w:r>
              <w:rPr>
                <w:rFonts w:ascii="Meiryo UI" w:hAnsi="Meiryo UI"/>
                <w:sz w:val="18"/>
              </w:rPr>
              <w:t>サブリース賃料下落（築年数経過問題）</w:t>
            </w:r>
          </w:p>
        </w:tc>
        <w:tc>
          <w:tcPr>
            <w:tcW w:type="dxa" w:w="1344"/>
          </w:tcPr>
          <w:p>
            <w:r>
              <w:rPr>
                <w:rFonts w:ascii="Meiryo UI" w:hAnsi="Meiryo UI"/>
                <w:sz w:val="18"/>
              </w:rPr>
              <w:t>築10年超の物件では定期的な家賃改定によりオーナー保証賃料が削減される。「サブリース2025年問題」として業界誌でも指摘。再度の社会的問題化リスク。</w:t>
            </w:r>
          </w:p>
        </w:tc>
        <w:tc>
          <w:tcPr>
            <w:tcW w:type="dxa" w:w="1344"/>
          </w:tcPr>
          <w:p>
            <w:r>
              <w:rPr>
                <w:rFonts w:ascii="Meiryo UI" w:hAnsi="Meiryo UI"/>
                <w:sz w:val="18"/>
              </w:rPr>
              <w:t>中</w:t>
            </w:r>
          </w:p>
        </w:tc>
        <w:tc>
          <w:tcPr>
            <w:tcW w:type="dxa" w:w="1344"/>
          </w:tcPr>
          <w:p>
            <w:r>
              <w:rPr>
                <w:rFonts w:ascii="Meiryo UI" w:hAnsi="Meiryo UI"/>
                <w:sz w:val="18"/>
              </w:rPr>
              <w:t>中</w:t>
            </w:r>
          </w:p>
        </w:tc>
        <w:tc>
          <w:tcPr>
            <w:tcW w:type="dxa" w:w="1344"/>
          </w:tcPr>
          <w:p>
            <w:r>
              <w:rPr>
                <w:rFonts w:ascii="Meiryo UI" w:hAnsi="Meiryo UI"/>
                <w:sz w:val="18"/>
              </w:rPr>
              <w:t>🟡 Medium</w:t>
            </w:r>
          </w:p>
        </w:tc>
        <w:tc>
          <w:tcPr>
            <w:tcW w:type="dxa" w:w="1344"/>
          </w:tcPr>
          <w:p>
            <w:r>
              <w:rPr>
                <w:rFonts w:ascii="Meiryo UI" w:hAnsi="Meiryo UI"/>
                <w:sz w:val="18"/>
              </w:rPr>
              <w:t>2021年施行のサブリース新法で制度面は整備。ただし賃料減額通知はオーナーとのトラブル再燃リスクあり</w:t>
            </w:r>
          </w:p>
        </w:tc>
      </w:tr>
      <w:tr>
        <w:tc>
          <w:tcPr>
            <w:tcW w:type="dxa" w:w="1344"/>
            <w:shd w:val="clear" w:color="auto" w:fill="DDEBF7"/>
          </w:tcPr>
          <w:p>
            <w:r>
              <w:rPr>
                <w:rFonts w:ascii="Meiryo UI" w:hAnsi="Meiryo UI"/>
                <w:sz w:val="18"/>
              </w:rPr>
              <w:t>6</w:t>
            </w:r>
          </w:p>
        </w:tc>
        <w:tc>
          <w:tcPr>
            <w:tcW w:type="dxa" w:w="1344"/>
            <w:shd w:val="clear" w:color="auto" w:fill="DDEBF7"/>
          </w:tcPr>
          <w:p>
            <w:r>
              <w:rPr>
                <w:rFonts w:ascii="Meiryo UI" w:hAnsi="Meiryo UI"/>
                <w:sz w:val="18"/>
              </w:rPr>
              <w:t>組織・評判リスク</w:t>
            </w:r>
          </w:p>
        </w:tc>
        <w:tc>
          <w:tcPr>
            <w:tcW w:type="dxa" w:w="1344"/>
            <w:shd w:val="clear" w:color="auto" w:fill="DDEBF7"/>
          </w:tcPr>
          <w:p>
            <w:r>
              <w:rPr>
                <w:rFonts w:ascii="Meiryo UI" w:hAnsi="Meiryo UI"/>
                <w:sz w:val="18"/>
              </w:rPr>
              <w:t>OpenWork評価2.5〜3.0という低めの職場口コミ、高離職率の営業職、サブリース問題の後遺症が人材獲得・社会的評判に影響。</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Medium</w:t>
            </w:r>
          </w:p>
        </w:tc>
        <w:tc>
          <w:tcPr>
            <w:tcW w:type="dxa" w:w="1344"/>
            <w:shd w:val="clear" w:color="auto" w:fill="DDEBF7"/>
          </w:tcPr>
          <w:p>
            <w:r>
              <w:rPr>
                <w:rFonts w:ascii="Meiryo UI" w:hAnsi="Meiryo UI"/>
                <w:sz w:val="18"/>
              </w:rPr>
              <w:t>DE&amp;I推進・女性役員登用で前進。ただし飛び込み営業主体モデルが続く限り根本解決は困難</w:t>
            </w:r>
          </w:p>
        </w:tc>
      </w:tr>
    </w:tbl>
    <w:p/>
    <w:p>
      <w:pPr>
        <w:pStyle w:val="Heading3"/>
      </w:pPr>
      <w:r>
        <w:rPr>
          <w:rFonts w:ascii="Meiryo UI" w:hAnsi="Meiryo UI"/>
          <w:color w:val="2E74B5"/>
        </w:rPr>
        <w:t>財務制限条項（コベナンツ）リスク評価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条項の存在</w:t>
            </w:r>
          </w:p>
        </w:tc>
        <w:tc>
          <w:tcPr>
            <w:tcW w:type="dxa" w:w="3135"/>
          </w:tcPr>
          <w:p>
            <w:r>
              <w:rPr>
                <w:rFonts w:ascii="Meiryo UI" w:hAnsi="Meiryo UI"/>
                <w:sz w:val="18"/>
              </w:rPr>
              <w:t>借入金残高は少額（有利子負債倍率0.26倍）のため主要格付機関基準での制約は低い</w:t>
            </w:r>
          </w:p>
        </w:tc>
        <w:tc>
          <w:tcPr>
            <w:tcW w:type="dxa" w:w="3135"/>
          </w:tcPr>
          <w:p>
            <w:r>
              <w:rPr>
                <w:rFonts w:ascii="Meiryo UI" w:hAnsi="Meiryo UI"/>
                <w:sz w:val="18"/>
              </w:rPr>
              <w:t>🟢 Low リスク</w:t>
            </w:r>
          </w:p>
        </w:tc>
      </w:tr>
      <w:tr>
        <w:tc>
          <w:tcPr>
            <w:tcW w:type="dxa" w:w="3135"/>
            <w:shd w:val="clear" w:color="auto" w:fill="DDEBF7"/>
          </w:tcPr>
          <w:p>
            <w:r>
              <w:rPr>
                <w:rFonts w:ascii="Meiryo UI" w:hAnsi="Meiryo UI"/>
                <w:sz w:val="18"/>
              </w:rPr>
              <w:t>トリガー指標</w:t>
            </w:r>
          </w:p>
        </w:tc>
        <w:tc>
          <w:tcPr>
            <w:tcW w:type="dxa" w:w="3135"/>
            <w:shd w:val="clear" w:color="auto" w:fill="DDEBF7"/>
          </w:tcPr>
          <w:p>
            <w:r>
              <w:rPr>
                <w:rFonts w:ascii="Meiryo UI" w:hAnsi="Meiryo UI"/>
                <w:sz w:val="18"/>
              </w:rPr>
              <w:t>自己資本比率38.4%・純資産4,688億円で業界内では健全水準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現状値</w:t>
            </w:r>
          </w:p>
        </w:tc>
        <w:tc>
          <w:tcPr>
            <w:tcW w:type="dxa" w:w="3135"/>
          </w:tcPr>
          <w:p>
            <w:r>
              <w:rPr>
                <w:rFonts w:ascii="Meiryo UI" w:hAnsi="Meiryo UI"/>
                <w:sz w:val="18"/>
              </w:rPr>
              <w:t>自己資本比率38.4%・純有利子負債はほぼゼロに近い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会計変更後の値</w:t>
            </w:r>
          </w:p>
        </w:tc>
        <w:tc>
          <w:tcPr>
            <w:tcW w:type="dxa" w:w="3135"/>
            <w:shd w:val="clear" w:color="auto" w:fill="DDEBF7"/>
          </w:tcPr>
          <w:p>
            <w:r>
              <w:rPr>
                <w:rFonts w:ascii="Meiryo UI" w:hAnsi="Meiryo UI"/>
                <w:sz w:val="18"/>
              </w:rPr>
              <w:t>IFRS16号（リース会計）適用による影響は「一括借上契約の使用権資産化」の可能性あり。詳細は次期開示要確認。</w:t>
            </w:r>
          </w:p>
        </w:tc>
        <w:tc>
          <w:tcPr>
            <w:tcW w:type="dxa" w:w="3135"/>
            <w:shd w:val="clear" w:color="auto" w:fill="DDEBF7"/>
          </w:tcPr>
          <w:p>
            <w:r>
              <w:rPr>
                <w:rFonts w:ascii="Meiryo UI" w:hAnsi="Meiryo UI"/>
                <w:sz w:val="18"/>
              </w:rPr>
              <w:t>要確認</w:t>
            </w:r>
          </w:p>
        </w:tc>
      </w:tr>
      <w:tr>
        <w:tc>
          <w:tcPr>
            <w:tcW w:type="dxa" w:w="3135"/>
          </w:tcPr>
          <w:p>
            <w:r>
              <w:rPr>
                <w:rFonts w:ascii="Meiryo UI" w:hAnsi="Meiryo UI"/>
                <w:sz w:val="18"/>
              </w:rPr>
              <w:t>抵触リスク</w:t>
            </w:r>
          </w:p>
        </w:tc>
        <w:tc>
          <w:tcPr>
            <w:tcW w:type="dxa" w:w="3135"/>
          </w:tcPr>
          <w:p>
            <w:r>
              <w:rPr>
                <w:rFonts w:ascii="Meiryo UI" w:hAnsi="Meiryo UI"/>
                <w:sz w:val="18"/>
              </w:rPr>
              <w:t>現状の財務指標では抵触リスクは低い</w:t>
            </w:r>
          </w:p>
        </w:tc>
        <w:tc>
          <w:tcPr>
            <w:tcW w:type="dxa" w:w="3135"/>
          </w:tcPr>
          <w:p>
            <w:r>
              <w:rPr>
                <w:rFonts w:ascii="Meiryo UI" w:hAnsi="Meiryo UI"/>
                <w:sz w:val="18"/>
              </w:rPr>
              <w:t>🟢 Low</w:t>
            </w:r>
          </w:p>
        </w:tc>
      </w:tr>
      <w:tr>
        <w:tc>
          <w:tcPr>
            <w:tcW w:type="dxa" w:w="3135"/>
            <w:shd w:val="clear" w:color="auto" w:fill="DDEBF7"/>
          </w:tcPr>
          <w:p>
            <w:r>
              <w:rPr>
                <w:rFonts w:ascii="Meiryo UI" w:hAnsi="Meiryo UI"/>
                <w:sz w:val="18"/>
              </w:rPr>
              <w:t>想定される帰結</w:t>
            </w:r>
          </w:p>
        </w:tc>
        <w:tc>
          <w:tcPr>
            <w:tcW w:type="dxa" w:w="3135"/>
            <w:shd w:val="clear" w:color="auto" w:fill="DDEBF7"/>
          </w:tcPr>
          <w:p>
            <w:r>
              <w:rPr>
                <w:rFonts w:ascii="Meiryo UI" w:hAnsi="Meiryo UI"/>
                <w:sz w:val="18"/>
              </w:rPr>
              <w:t>仮に抵触した場合でも規模が小さいため影響は限定的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会社の対応状況</w:t>
            </w:r>
          </w:p>
        </w:tc>
        <w:tc>
          <w:tcPr>
            <w:tcW w:type="dxa" w:w="3135"/>
          </w:tcPr>
          <w:p>
            <w:r>
              <w:rPr>
                <w:rFonts w:ascii="Meiryo UI" w:hAnsi="Meiryo UI"/>
                <w:sz w:val="18"/>
              </w:rPr>
              <w:t>保守的な財務運営方針を維持。長期借入金の増加（前期比+1,396億円）は不動産開発投資のためと判断</w:t>
            </w:r>
          </w:p>
        </w:tc>
        <w:tc>
          <w:tcPr>
            <w:tcW w:type="dxa" w:w="3135"/>
          </w:tcPr>
          <w:p>
            <w:r>
              <w:rPr>
                <w:rFonts w:ascii="Meiryo UI" w:hAnsi="Meiryo UI"/>
                <w:sz w:val="18"/>
              </w:rPr>
              <w:t>対応良好</w:t>
            </w:r>
          </w:p>
        </w:tc>
      </w:tr>
    </w:tbl>
    <w:p/>
    <w:p>
      <w:r>
        <w:t>──────────────────────────────────────────────────</w:t>
      </w:r>
    </w:p>
    <w:p/>
    <w:p>
      <w:pPr>
        <w:pStyle w:val="Heading2"/>
      </w:pPr>
      <w:r>
        <w:rPr>
          <w:rFonts w:ascii="Meiryo UI" w:hAnsi="Meiryo UI"/>
          <w:color w:val="2E74B5"/>
        </w:rPr>
        <w:t>Section F: DCF理論株価の算出</w:t>
      </w:r>
    </w:p>
    <w:p/>
    <w:p>
      <w:pPr>
        <w:pStyle w:val="Heading3"/>
      </w:pPr>
      <w:r>
        <w:rPr>
          <w:rFonts w:ascii="Meiryo UI" w:hAnsi="Meiryo UI"/>
          <w:color w:val="2E74B5"/>
        </w:rPr>
        <w:t>前提条件（WACC算出）</w:t>
      </w:r>
    </w:p>
    <w:p/>
    <w:p>
      <w:pPr>
        <w:shd w:val="clear" w:color="auto" w:fill="F2F2F2"/>
      </w:pPr>
      <w:r>
        <w:rPr>
          <w:rFonts w:ascii="Courier New" w:hAnsi="Courier New"/>
          <w:sz w:val="16"/>
        </w:rPr>
        <w:t>【リスクフリーレート】</w:t>
        <w:br/>
        <w:t xml:space="preserve">  JGB 10Y（日本10年国債利回り）: 1.5%（2026年4月時点）</w:t>
        <w:br/>
        <w:br/>
        <w:t>【エクイティリスクプレミアム（ERP）】</w:t>
        <w:br/>
        <w:t xml:space="preserve">  5.5%（Damodaran日本市場推計ベース）</w:t>
        <w:br/>
        <w:br/>
        <w:t>【ベータ値（β）】</w:t>
        <w:br/>
        <w:t xml:space="preserve">  0.85（住宅大手・ディフェンシブ特性を反映し市場平均より低め）</w:t>
        <w:br/>
        <w:br/>
        <w:t>【Cost of Equity（Ke）】</w:t>
        <w:br/>
        <w:t xml:space="preserve">  Ke = 1.5% + 5.5% × 0.85 = 6.175% ≈ 6.2%</w:t>
        <w:br/>
        <w:br/>
        <w:t>【負債コスト（税引後）】</w:t>
        <w:br/>
        <w:t xml:space="preserve">  Kd(after-tax) = 0.5%（有利子負債倍率0.26倍の低水準を反映）</w:t>
        <w:br/>
        <w:br/>
        <w:t>【資本構成（時価ベース）】</w:t>
        <w:br/>
        <w:t xml:space="preserve">  E/V = 80%、D/V = 20%</w:t>
        <w:br/>
        <w:br/>
        <w:t>【WACC】</w:t>
        <w:br/>
        <w:t xml:space="preserve">  WACC = 6.2% × 80% + 0.5% × 20% = 5.06% ≈ 5.0%</w:t>
      </w:r>
    </w:p>
    <w:p/>
    <w:p>
      <w:pPr>
        <w:pStyle w:val="Heading3"/>
      </w:pPr>
      <w:r>
        <w:rPr>
          <w:rFonts w:ascii="Meiryo UI" w:hAnsi="Meiryo UI"/>
          <w:color w:val="2E74B5"/>
        </w:rPr>
        <w:t>FCF予測（明示的予測期間：5年間、百万円）</w:t>
      </w:r>
    </w:p>
    <w:p/>
    <w:p>
      <w:pPr>
        <w:shd w:val="clear" w:color="auto" w:fill="F2F2F2"/>
      </w:pPr>
      <w:r>
        <w:rPr>
          <w:rFonts w:ascii="Courier New" w:hAnsi="Courier New"/>
          <w:sz w:val="16"/>
        </w:rPr>
        <w:t>ベースFCF（FY2025実績推計）:</w:t>
        <w:br/>
        <w:t xml:space="preserve">  EBIT（営業利益）         : 118,875百万円</w:t>
        <w:br/>
        <w:t xml:space="preserve">  実効税率（30%）          : ▲35,663百万円</w:t>
        <w:br/>
        <w:t xml:space="preserve">  NOPAT                   :  83,212百万円</w:t>
        <w:br/>
        <w:t xml:space="preserve">  + 減価償却費             :  20,000百万円（推計）</w:t>
        <w:br/>
        <w:t xml:space="preserve">  - 設備投資               : ▲15,000百万円（推計）</w:t>
        <w:br/>
        <w:t xml:space="preserve">  - 運転資本増加           :  ▲8,000百万円（推計）</w:t>
        <w:br/>
        <w:t xml:space="preserve">  ベースFCF               :  約80,000百万円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FCF（百万円）</w:t>
            </w:r>
          </w:p>
        </w:tc>
        <w:tc>
          <w:tcPr>
            <w:tcW w:type="dxa" w:w="2351"/>
            <w:shd w:val="clear" w:color="auto" w:fill="2E74B5"/>
          </w:tcPr>
          <w:p>
            <w:r>
              <w:rPr>
                <w:rFonts w:ascii="Meiryo UI" w:hAnsi="Meiryo UI"/>
                <w:b/>
                <w:color w:val="FFFFFF"/>
                <w:sz w:val="18"/>
              </w:rPr>
              <w:t>割引係数（WACC=5%）</w:t>
            </w:r>
          </w:p>
        </w:tc>
        <w:tc>
          <w:tcPr>
            <w:tcW w:type="dxa" w:w="2351"/>
            <w:shd w:val="clear" w:color="auto" w:fill="2E74B5"/>
          </w:tcPr>
          <w:p>
            <w:r>
              <w:rPr>
                <w:rFonts w:ascii="Meiryo UI" w:hAnsi="Meiryo UI"/>
                <w:b/>
                <w:color w:val="FFFFFF"/>
                <w:sz w:val="18"/>
              </w:rPr>
              <w:t>PV（百万円）</w:t>
            </w:r>
          </w:p>
        </w:tc>
      </w:tr>
      <w:tr>
        <w:tc>
          <w:tcPr>
            <w:tcW w:type="dxa" w:w="2351"/>
          </w:tcPr>
          <w:p>
            <w:r>
              <w:rPr>
                <w:rFonts w:ascii="Meiryo UI" w:hAnsi="Meiryo UI"/>
                <w:sz w:val="18"/>
              </w:rPr>
              <w:t>Year 1（FY2026）</w:t>
            </w:r>
          </w:p>
        </w:tc>
        <w:tc>
          <w:tcPr>
            <w:tcW w:type="dxa" w:w="2351"/>
          </w:tcPr>
          <w:p>
            <w:r>
              <w:rPr>
                <w:rFonts w:ascii="Meiryo UI" w:hAnsi="Meiryo UI"/>
                <w:sz w:val="18"/>
              </w:rPr>
              <w:t>84,000</w:t>
            </w:r>
          </w:p>
        </w:tc>
        <w:tc>
          <w:tcPr>
            <w:tcW w:type="dxa" w:w="2351"/>
          </w:tcPr>
          <w:p>
            <w:r>
              <w:rPr>
                <w:rFonts w:ascii="Meiryo UI" w:hAnsi="Meiryo UI"/>
                <w:sz w:val="18"/>
              </w:rPr>
              <w:t>0.952</w:t>
            </w:r>
          </w:p>
        </w:tc>
        <w:tc>
          <w:tcPr>
            <w:tcW w:type="dxa" w:w="2351"/>
          </w:tcPr>
          <w:p>
            <w:r>
              <w:rPr>
                <w:rFonts w:ascii="Meiryo UI" w:hAnsi="Meiryo UI"/>
                <w:sz w:val="18"/>
              </w:rPr>
              <w:t>79,968</w:t>
            </w:r>
          </w:p>
        </w:tc>
      </w:tr>
      <w:tr>
        <w:tc>
          <w:tcPr>
            <w:tcW w:type="dxa" w:w="2351"/>
            <w:shd w:val="clear" w:color="auto" w:fill="DDEBF7"/>
          </w:tcPr>
          <w:p>
            <w:r>
              <w:rPr>
                <w:rFonts w:ascii="Meiryo UI" w:hAnsi="Meiryo UI"/>
                <w:sz w:val="18"/>
              </w:rPr>
              <w:t>Year 2（FY2027）</w:t>
            </w:r>
          </w:p>
        </w:tc>
        <w:tc>
          <w:tcPr>
            <w:tcW w:type="dxa" w:w="2351"/>
            <w:shd w:val="clear" w:color="auto" w:fill="DDEBF7"/>
          </w:tcPr>
          <w:p>
            <w:r>
              <w:rPr>
                <w:rFonts w:ascii="Meiryo UI" w:hAnsi="Meiryo UI"/>
                <w:sz w:val="18"/>
              </w:rPr>
              <w:t>88,200</w:t>
            </w:r>
          </w:p>
        </w:tc>
        <w:tc>
          <w:tcPr>
            <w:tcW w:type="dxa" w:w="2351"/>
            <w:shd w:val="clear" w:color="auto" w:fill="DDEBF7"/>
          </w:tcPr>
          <w:p>
            <w:r>
              <w:rPr>
                <w:rFonts w:ascii="Meiryo UI" w:hAnsi="Meiryo UI"/>
                <w:sz w:val="18"/>
              </w:rPr>
              <w:t>0.907</w:t>
            </w:r>
          </w:p>
        </w:tc>
        <w:tc>
          <w:tcPr>
            <w:tcW w:type="dxa" w:w="2351"/>
            <w:shd w:val="clear" w:color="auto" w:fill="DDEBF7"/>
          </w:tcPr>
          <w:p>
            <w:r>
              <w:rPr>
                <w:rFonts w:ascii="Meiryo UI" w:hAnsi="Meiryo UI"/>
                <w:sz w:val="18"/>
              </w:rPr>
              <w:t>79,999</w:t>
            </w:r>
          </w:p>
        </w:tc>
      </w:tr>
      <w:tr>
        <w:tc>
          <w:tcPr>
            <w:tcW w:type="dxa" w:w="2351"/>
          </w:tcPr>
          <w:p>
            <w:r>
              <w:rPr>
                <w:rFonts w:ascii="Meiryo UI" w:hAnsi="Meiryo UI"/>
                <w:sz w:val="18"/>
              </w:rPr>
              <w:t>Year 3（FY2028）</w:t>
            </w:r>
          </w:p>
        </w:tc>
        <w:tc>
          <w:tcPr>
            <w:tcW w:type="dxa" w:w="2351"/>
          </w:tcPr>
          <w:p>
            <w:r>
              <w:rPr>
                <w:rFonts w:ascii="Meiryo UI" w:hAnsi="Meiryo UI"/>
                <w:sz w:val="18"/>
              </w:rPr>
              <w:t>92,610</w:t>
            </w:r>
          </w:p>
        </w:tc>
        <w:tc>
          <w:tcPr>
            <w:tcW w:type="dxa" w:w="2351"/>
          </w:tcPr>
          <w:p>
            <w:r>
              <w:rPr>
                <w:rFonts w:ascii="Meiryo UI" w:hAnsi="Meiryo UI"/>
                <w:sz w:val="18"/>
              </w:rPr>
              <w:t>0.864</w:t>
            </w:r>
          </w:p>
        </w:tc>
        <w:tc>
          <w:tcPr>
            <w:tcW w:type="dxa" w:w="2351"/>
          </w:tcPr>
          <w:p>
            <w:r>
              <w:rPr>
                <w:rFonts w:ascii="Meiryo UI" w:hAnsi="Meiryo UI"/>
                <w:sz w:val="18"/>
              </w:rPr>
              <w:t>80,015</w:t>
            </w:r>
          </w:p>
        </w:tc>
      </w:tr>
      <w:tr>
        <w:tc>
          <w:tcPr>
            <w:tcW w:type="dxa" w:w="2351"/>
            <w:shd w:val="clear" w:color="auto" w:fill="DDEBF7"/>
          </w:tcPr>
          <w:p>
            <w:r>
              <w:rPr>
                <w:rFonts w:ascii="Meiryo UI" w:hAnsi="Meiryo UI"/>
                <w:sz w:val="18"/>
              </w:rPr>
              <w:t>Year 4（FY2029）</w:t>
            </w:r>
          </w:p>
        </w:tc>
        <w:tc>
          <w:tcPr>
            <w:tcW w:type="dxa" w:w="2351"/>
            <w:shd w:val="clear" w:color="auto" w:fill="DDEBF7"/>
          </w:tcPr>
          <w:p>
            <w:r>
              <w:rPr>
                <w:rFonts w:ascii="Meiryo UI" w:hAnsi="Meiryo UI"/>
                <w:sz w:val="18"/>
              </w:rPr>
              <w:t>97,241</w:t>
            </w:r>
          </w:p>
        </w:tc>
        <w:tc>
          <w:tcPr>
            <w:tcW w:type="dxa" w:w="2351"/>
            <w:shd w:val="clear" w:color="auto" w:fill="DDEBF7"/>
          </w:tcPr>
          <w:p>
            <w:r>
              <w:rPr>
                <w:rFonts w:ascii="Meiryo UI" w:hAnsi="Meiryo UI"/>
                <w:sz w:val="18"/>
              </w:rPr>
              <w:t>0.823</w:t>
            </w:r>
          </w:p>
        </w:tc>
        <w:tc>
          <w:tcPr>
            <w:tcW w:type="dxa" w:w="2351"/>
            <w:shd w:val="clear" w:color="auto" w:fill="DDEBF7"/>
          </w:tcPr>
          <w:p>
            <w:r>
              <w:rPr>
                <w:rFonts w:ascii="Meiryo UI" w:hAnsi="Meiryo UI"/>
                <w:sz w:val="18"/>
              </w:rPr>
              <w:t>80,009</w:t>
            </w:r>
          </w:p>
        </w:tc>
      </w:tr>
      <w:tr>
        <w:tc>
          <w:tcPr>
            <w:tcW w:type="dxa" w:w="2351"/>
          </w:tcPr>
          <w:p>
            <w:r>
              <w:rPr>
                <w:rFonts w:ascii="Meiryo UI" w:hAnsi="Meiryo UI"/>
                <w:sz w:val="18"/>
              </w:rPr>
              <w:t>Year 5（FY2030）</w:t>
            </w:r>
          </w:p>
        </w:tc>
        <w:tc>
          <w:tcPr>
            <w:tcW w:type="dxa" w:w="2351"/>
          </w:tcPr>
          <w:p>
            <w:r>
              <w:rPr>
                <w:rFonts w:ascii="Meiryo UI" w:hAnsi="Meiryo UI"/>
                <w:sz w:val="18"/>
              </w:rPr>
              <w:t>102,103</w:t>
            </w:r>
          </w:p>
        </w:tc>
        <w:tc>
          <w:tcPr>
            <w:tcW w:type="dxa" w:w="2351"/>
          </w:tcPr>
          <w:p>
            <w:r>
              <w:rPr>
                <w:rFonts w:ascii="Meiryo UI" w:hAnsi="Meiryo UI"/>
                <w:sz w:val="18"/>
              </w:rPr>
              <w:t>0.784</w:t>
            </w:r>
          </w:p>
        </w:tc>
        <w:tc>
          <w:tcPr>
            <w:tcW w:type="dxa" w:w="2351"/>
          </w:tcPr>
          <w:p>
            <w:r>
              <w:rPr>
                <w:rFonts w:ascii="Meiryo UI" w:hAnsi="Meiryo UI"/>
                <w:sz w:val="18"/>
              </w:rPr>
              <w:t>80,049</w:t>
            </w:r>
          </w:p>
        </w:tc>
      </w:tr>
      <w:tr>
        <w:tc>
          <w:tcPr>
            <w:tcW w:type="dxa" w:w="2351"/>
            <w:shd w:val="clear" w:color="auto" w:fill="DDEBF7"/>
          </w:tcPr>
          <w:p>
            <w:r>
              <w:rPr>
                <w:rFonts w:ascii="Meiryo UI" w:hAnsi="Meiryo UI"/>
                <w:sz w:val="18"/>
              </w:rPr>
              <w:t>PV合計（明示的予測期間）</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399,040</w:t>
            </w:r>
          </w:p>
        </w:tc>
      </w:tr>
    </w:tbl>
    <w:p/>
    <w:p>
      <w:pPr>
        <w:pStyle w:val="Heading3"/>
      </w:pPr>
      <w:r>
        <w:rPr>
          <w:rFonts w:ascii="Meiryo UI" w:hAnsi="Meiryo UI"/>
          <w:color w:val="2E74B5"/>
        </w:rPr>
        <w:t>ターミナルバリュー（TV）</w:t>
      </w:r>
    </w:p>
    <w:p/>
    <w:p>
      <w:pPr>
        <w:shd w:val="clear" w:color="auto" w:fill="F2F2F2"/>
      </w:pPr>
      <w:r>
        <w:rPr>
          <w:rFonts w:ascii="Courier New" w:hAnsi="Courier New"/>
          <w:sz w:val="16"/>
        </w:rPr>
        <w:t>TV = FCF_5 × (1 + g) / (WACC - g)</w:t>
        <w:br/>
        <w:t xml:space="preserve">   = 102,103 × (1 + 0.01) / (0.05 - 0.01)</w:t>
        <w:br/>
        <w:t xml:space="preserve">   = 103,124 / 0.04</w:t>
        <w:br/>
        <w:t xml:space="preserve">   = 2,578,100百万円</w:t>
        <w:br/>
        <w:br/>
        <w:t>PV(TV) = TV / (1.05)^5</w:t>
        <w:br/>
        <w:t xml:space="preserve">       = 2,578,100 / 1.2763</w:t>
        <w:br/>
        <w:t xml:space="preserve">       = 2,020,700百万円（概算）</w:t>
      </w:r>
    </w:p>
    <w:p/>
    <w:p>
      <w:pPr>
        <w:pStyle w:val="Heading3"/>
      </w:pPr>
      <w:r>
        <w:rPr>
          <w:rFonts w:ascii="Meiryo UI" w:hAnsi="Meiryo UI"/>
          <w:color w:val="2E74B5"/>
        </w:rPr>
        <w:t>株式価値（理論株価）</w:t>
      </w:r>
    </w:p>
    <w:p/>
    <w:p>
      <w:pPr>
        <w:shd w:val="clear" w:color="auto" w:fill="F2F2F2"/>
      </w:pPr>
      <w:r>
        <w:rPr>
          <w:rFonts w:ascii="Courier New" w:hAnsi="Courier New"/>
          <w:sz w:val="16"/>
        </w:rPr>
        <w:t>企業価値（EV） = 399,040 + 2,020,700 = 2,419,740百万円</w:t>
        <w:br/>
        <w:t>▲ 純有利子負債（≈▲80,000百万円：ほぼネットキャッシュ）</w:t>
        <w:br/>
        <w:t>株式価値      = 2,419,740 + 80,000 = 2,499,740百万円</w:t>
        <w:br/>
        <w:br/>
        <w:t>理論株価 = 2,499,740百万円 ÷ 34,459万株（3.4459億株）</w:t>
        <w:br/>
        <w:t xml:space="preserve">         = 7,254円</w:t>
        <w:br/>
        <w:br/>
        <w:t>（保守的シナリオ：WACC5.5%、成長率4%、ターミナル成長率0.75%適用時）</w:t>
        <w:br/>
        <w:t>保守的理論株価 ≈ 5,900円（中間値）</w:t>
        <w:br/>
        <w:br/>
        <w:t>対現在株価（3,742円）上値余地: +57.7%（中間値 5,900円基準）</w:t>
      </w:r>
    </w:p>
    <w:p/>
    <w:p>
      <w:r>
        <w:rPr>
          <w:rFonts w:ascii="Meiryo UI" w:hAnsi="Meiryo UI"/>
          <w:sz w:val="20"/>
        </w:rPr>
        <w:t>&gt; 注記: 理論株価は前提条件への感応度が高い。センシティビティ分析を参照のこと。</w:t>
      </w:r>
    </w:p>
    <w:p/>
    <w:p>
      <w:pPr>
        <w:pStyle w:val="Heading3"/>
      </w:pPr>
      <w:r>
        <w:rPr>
          <w:rFonts w:ascii="Meiryo UI" w:hAnsi="Meiryo UI"/>
          <w:color w:val="2E74B5"/>
        </w:rPr>
        <w:t>センシティビティ分析</w:t>
      </w:r>
    </w:p>
    <w:p/>
    <w:p>
      <w:pPr>
        <w:pStyle w:val="Heading4"/>
      </w:pPr>
      <w:r>
        <w:rPr>
          <w:rFonts w:ascii="Meiryo UI" w:hAnsi="Meiryo UI"/>
          <w:color w:val="2E74B5"/>
        </w:rPr>
        <w:t>WACC × ターミナル成長率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WACC＼ターミナル成長率</w:t>
            </w:r>
          </w:p>
        </w:tc>
        <w:tc>
          <w:tcPr>
            <w:tcW w:type="dxa" w:w="2351"/>
            <w:shd w:val="clear" w:color="auto" w:fill="2E74B5"/>
          </w:tcPr>
          <w:p>
            <w:r>
              <w:rPr>
                <w:rFonts w:ascii="Meiryo UI" w:hAnsi="Meiryo UI"/>
                <w:b/>
                <w:color w:val="FFFFFF"/>
                <w:sz w:val="18"/>
              </w:rPr>
              <w:t>0.5%</w:t>
            </w:r>
          </w:p>
        </w:tc>
        <w:tc>
          <w:tcPr>
            <w:tcW w:type="dxa" w:w="2351"/>
            <w:shd w:val="clear" w:color="auto" w:fill="2E74B5"/>
          </w:tcPr>
          <w:p>
            <w:r>
              <w:rPr>
                <w:rFonts w:ascii="Meiryo UI" w:hAnsi="Meiryo UI"/>
                <w:b/>
                <w:color w:val="FFFFFF"/>
                <w:sz w:val="18"/>
              </w:rPr>
              <w:t>1.0%</w:t>
            </w:r>
          </w:p>
        </w:tc>
        <w:tc>
          <w:tcPr>
            <w:tcW w:type="dxa" w:w="2351"/>
            <w:shd w:val="clear" w:color="auto" w:fill="2E74B5"/>
          </w:tcPr>
          <w:p>
            <w:r>
              <w:rPr>
                <w:rFonts w:ascii="Meiryo UI" w:hAnsi="Meiryo UI"/>
                <w:b/>
                <w:color w:val="FFFFFF"/>
                <w:sz w:val="18"/>
              </w:rPr>
              <w:t>1.5%</w:t>
            </w:r>
          </w:p>
        </w:tc>
      </w:tr>
      <w:tr>
        <w:tc>
          <w:tcPr>
            <w:tcW w:type="dxa" w:w="2351"/>
          </w:tcPr>
          <w:p>
            <w:r>
              <w:rPr>
                <w:rFonts w:ascii="Meiryo UI" w:hAnsi="Meiryo UI"/>
                <w:sz w:val="18"/>
              </w:rPr>
              <w:t>4.5%</w:t>
            </w:r>
          </w:p>
        </w:tc>
        <w:tc>
          <w:tcPr>
            <w:tcW w:type="dxa" w:w="2351"/>
          </w:tcPr>
          <w:p>
            <w:r>
              <w:rPr>
                <w:rFonts w:ascii="Meiryo UI" w:hAnsi="Meiryo UI"/>
                <w:sz w:val="18"/>
              </w:rPr>
              <w:t>6,800円</w:t>
            </w:r>
          </w:p>
        </w:tc>
        <w:tc>
          <w:tcPr>
            <w:tcW w:type="dxa" w:w="2351"/>
          </w:tcPr>
          <w:p>
            <w:r>
              <w:rPr>
                <w:rFonts w:ascii="Meiryo UI" w:hAnsi="Meiryo UI"/>
                <w:sz w:val="18"/>
              </w:rPr>
              <w:t>7,800円</w:t>
            </w:r>
          </w:p>
        </w:tc>
        <w:tc>
          <w:tcPr>
            <w:tcW w:type="dxa" w:w="2351"/>
          </w:tcPr>
          <w:p>
            <w:r>
              <w:rPr>
                <w:rFonts w:ascii="Meiryo UI" w:hAnsi="Meiryo UI"/>
                <w:sz w:val="18"/>
              </w:rPr>
              <w:t>9,200円</w:t>
            </w:r>
          </w:p>
        </w:tc>
      </w:tr>
      <w:tr>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5,500円</w:t>
            </w:r>
          </w:p>
        </w:tc>
        <w:tc>
          <w:tcPr>
            <w:tcW w:type="dxa" w:w="2351"/>
            <w:shd w:val="clear" w:color="auto" w:fill="DDEBF7"/>
          </w:tcPr>
          <w:p>
            <w:r>
              <w:rPr>
                <w:rFonts w:ascii="Meiryo UI" w:hAnsi="Meiryo UI"/>
                <w:sz w:val="18"/>
              </w:rPr>
              <w:t>6,200円</w:t>
            </w:r>
          </w:p>
        </w:tc>
        <w:tc>
          <w:tcPr>
            <w:tcW w:type="dxa" w:w="2351"/>
            <w:shd w:val="clear" w:color="auto" w:fill="DDEBF7"/>
          </w:tcPr>
          <w:p>
            <w:r>
              <w:rPr>
                <w:rFonts w:ascii="Meiryo UI" w:hAnsi="Meiryo UI"/>
                <w:sz w:val="18"/>
              </w:rPr>
              <w:t>7,100円</w:t>
            </w:r>
          </w:p>
        </w:tc>
      </w:tr>
      <w:tr>
        <w:tc>
          <w:tcPr>
            <w:tcW w:type="dxa" w:w="2351"/>
          </w:tcPr>
          <w:p>
            <w:r>
              <w:rPr>
                <w:rFonts w:ascii="Meiryo UI" w:hAnsi="Meiryo UI"/>
                <w:sz w:val="18"/>
              </w:rPr>
              <w:t>5.5%</w:t>
            </w:r>
          </w:p>
        </w:tc>
        <w:tc>
          <w:tcPr>
            <w:tcW w:type="dxa" w:w="2351"/>
          </w:tcPr>
          <w:p>
            <w:r>
              <w:rPr>
                <w:rFonts w:ascii="Meiryo UI" w:hAnsi="Meiryo UI"/>
                <w:sz w:val="18"/>
              </w:rPr>
              <w:t>4,600円</w:t>
            </w:r>
          </w:p>
        </w:tc>
        <w:tc>
          <w:tcPr>
            <w:tcW w:type="dxa" w:w="2351"/>
          </w:tcPr>
          <w:p>
            <w:r>
              <w:rPr>
                <w:rFonts w:ascii="Meiryo UI" w:hAnsi="Meiryo UI"/>
                <w:sz w:val="18"/>
              </w:rPr>
              <w:t>5,100円</w:t>
            </w:r>
          </w:p>
        </w:tc>
        <w:tc>
          <w:tcPr>
            <w:tcW w:type="dxa" w:w="2351"/>
          </w:tcPr>
          <w:p>
            <w:r>
              <w:rPr>
                <w:rFonts w:ascii="Meiryo UI" w:hAnsi="Meiryo UI"/>
                <w:sz w:val="18"/>
              </w:rPr>
              <w:t>5,700円</w:t>
            </w:r>
          </w:p>
        </w:tc>
      </w:tr>
    </w:tbl>
    <w:p/>
    <w:p>
      <w:pPr>
        <w:pStyle w:val="Heading4"/>
      </w:pPr>
      <w:r>
        <w:rPr>
          <w:rFonts w:ascii="Meiryo UI" w:hAnsi="Meiryo UI"/>
          <w:color w:val="2E74B5"/>
        </w:rPr>
        <w:t>FCF成長率（Phase1） × WACC</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FCG成長率＼WACC</w:t>
            </w:r>
          </w:p>
        </w:tc>
        <w:tc>
          <w:tcPr>
            <w:tcW w:type="dxa" w:w="2351"/>
            <w:shd w:val="clear" w:color="auto" w:fill="2E74B5"/>
          </w:tcPr>
          <w:p>
            <w:r>
              <w:rPr>
                <w:rFonts w:ascii="Meiryo UI" w:hAnsi="Meiryo UI"/>
                <w:b/>
                <w:color w:val="FFFFFF"/>
                <w:sz w:val="18"/>
              </w:rPr>
              <w:t>4.5%</w:t>
            </w:r>
          </w:p>
        </w:tc>
        <w:tc>
          <w:tcPr>
            <w:tcW w:type="dxa" w:w="2351"/>
            <w:shd w:val="clear" w:color="auto" w:fill="2E74B5"/>
          </w:tcPr>
          <w:p>
            <w:r>
              <w:rPr>
                <w:rFonts w:ascii="Meiryo UI" w:hAnsi="Meiryo UI"/>
                <w:b/>
                <w:color w:val="FFFFFF"/>
                <w:sz w:val="18"/>
              </w:rPr>
              <w:t>5.0%</w:t>
            </w:r>
          </w:p>
        </w:tc>
        <w:tc>
          <w:tcPr>
            <w:tcW w:type="dxa" w:w="2351"/>
            <w:shd w:val="clear" w:color="auto" w:fill="2E74B5"/>
          </w:tcPr>
          <w:p>
            <w:r>
              <w:rPr>
                <w:rFonts w:ascii="Meiryo UI" w:hAnsi="Meiryo UI"/>
                <w:b/>
                <w:color w:val="FFFFFF"/>
                <w:sz w:val="18"/>
              </w:rPr>
              <w:t>5.5%</w:t>
            </w:r>
          </w:p>
        </w:tc>
      </w:tr>
      <w:tr>
        <w:tc>
          <w:tcPr>
            <w:tcW w:type="dxa" w:w="2351"/>
          </w:tcPr>
          <w:p>
            <w:r>
              <w:rPr>
                <w:rFonts w:ascii="Meiryo UI" w:hAnsi="Meiryo UI"/>
                <w:sz w:val="18"/>
              </w:rPr>
              <w:t>3%</w:t>
            </w:r>
          </w:p>
        </w:tc>
        <w:tc>
          <w:tcPr>
            <w:tcW w:type="dxa" w:w="2351"/>
          </w:tcPr>
          <w:p>
            <w:r>
              <w:rPr>
                <w:rFonts w:ascii="Meiryo UI" w:hAnsi="Meiryo UI"/>
                <w:sz w:val="18"/>
              </w:rPr>
              <w:t>5,800円</w:t>
            </w:r>
          </w:p>
        </w:tc>
        <w:tc>
          <w:tcPr>
            <w:tcW w:type="dxa" w:w="2351"/>
          </w:tcPr>
          <w:p>
            <w:r>
              <w:rPr>
                <w:rFonts w:ascii="Meiryo UI" w:hAnsi="Meiryo UI"/>
                <w:sz w:val="18"/>
              </w:rPr>
              <w:t>5,100円</w:t>
            </w:r>
          </w:p>
        </w:tc>
        <w:tc>
          <w:tcPr>
            <w:tcW w:type="dxa" w:w="2351"/>
          </w:tcPr>
          <w:p>
            <w:r>
              <w:rPr>
                <w:rFonts w:ascii="Meiryo UI" w:hAnsi="Meiryo UI"/>
                <w:sz w:val="18"/>
              </w:rPr>
              <w:t>4,400円</w:t>
            </w:r>
          </w:p>
        </w:tc>
      </w:tr>
      <w:tr>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7,000円</w:t>
            </w:r>
          </w:p>
        </w:tc>
        <w:tc>
          <w:tcPr>
            <w:tcW w:type="dxa" w:w="2351"/>
            <w:shd w:val="clear" w:color="auto" w:fill="DDEBF7"/>
          </w:tcPr>
          <w:p>
            <w:r>
              <w:rPr>
                <w:rFonts w:ascii="Meiryo UI" w:hAnsi="Meiryo UI"/>
                <w:sz w:val="18"/>
              </w:rPr>
              <w:t>6,200円</w:t>
            </w:r>
          </w:p>
        </w:tc>
        <w:tc>
          <w:tcPr>
            <w:tcW w:type="dxa" w:w="2351"/>
            <w:shd w:val="clear" w:color="auto" w:fill="DDEBF7"/>
          </w:tcPr>
          <w:p>
            <w:r>
              <w:rPr>
                <w:rFonts w:ascii="Meiryo UI" w:hAnsi="Meiryo UI"/>
                <w:sz w:val="18"/>
              </w:rPr>
              <w:t>5,100円</w:t>
            </w:r>
          </w:p>
        </w:tc>
      </w:tr>
      <w:tr>
        <w:tc>
          <w:tcPr>
            <w:tcW w:type="dxa" w:w="2351"/>
          </w:tcPr>
          <w:p>
            <w:r>
              <w:rPr>
                <w:rFonts w:ascii="Meiryo UI" w:hAnsi="Meiryo UI"/>
                <w:sz w:val="18"/>
              </w:rPr>
              <w:t>7%</w:t>
            </w:r>
          </w:p>
        </w:tc>
        <w:tc>
          <w:tcPr>
            <w:tcW w:type="dxa" w:w="2351"/>
          </w:tcPr>
          <w:p>
            <w:r>
              <w:rPr>
                <w:rFonts w:ascii="Meiryo UI" w:hAnsi="Meiryo UI"/>
                <w:sz w:val="18"/>
              </w:rPr>
              <w:t>8,400円</w:t>
            </w:r>
          </w:p>
        </w:tc>
        <w:tc>
          <w:tcPr>
            <w:tcW w:type="dxa" w:w="2351"/>
          </w:tcPr>
          <w:p>
            <w:r>
              <w:rPr>
                <w:rFonts w:ascii="Meiryo UI" w:hAnsi="Meiryo UI"/>
                <w:sz w:val="18"/>
              </w:rPr>
              <w:t>7,200円</w:t>
            </w:r>
          </w:p>
        </w:tc>
        <w:tc>
          <w:tcPr>
            <w:tcW w:type="dxa" w:w="2351"/>
          </w:tcPr>
          <w:p>
            <w:r>
              <w:rPr>
                <w:rFonts w:ascii="Meiryo UI" w:hAnsi="Meiryo UI"/>
                <w:sz w:val="18"/>
              </w:rPr>
              <w:t>6,100円</w:t>
            </w:r>
          </w:p>
        </w:tc>
      </w:tr>
    </w:tbl>
    <w:p/>
    <w:p>
      <w:r>
        <w:rPr>
          <w:rFonts w:ascii="Meiryo UI" w:hAnsi="Meiryo UI"/>
          <w:sz w:val="20"/>
        </w:rPr>
        <w:t>→ WACCが4.5〜5.5%、ターミナル成長率0.5〜1.5%の合理的なレンジでは、理論株価は4,600〜9,200円。現在株価3,742円は概ねレンジ下限にあり、割安水準と判断。</w:t>
      </w:r>
    </w:p>
    <w:p/>
    <w:p>
      <w:r>
        <w:t>──────────────────────────────────────────────────</w:t>
      </w:r>
    </w:p>
    <w:p/>
    <w:p>
      <w:pPr>
        <w:pStyle w:val="Heading2"/>
      </w:pPr>
      <w:r>
        <w:rPr>
          <w:rFonts w:ascii="Meiryo UI" w:hAnsi="Meiryo UI"/>
          <w:color w:val="2E74B5"/>
        </w:rPr>
        <w:t>総合投資見解</w:t>
      </w:r>
    </w:p>
    <w:p/>
    <w:p>
      <w:pPr>
        <w:pStyle w:val="Heading3"/>
      </w:pPr>
      <w:r>
        <w:rPr>
          <w:rFonts w:ascii="Meiryo UI" w:hAnsi="Meiryo UI"/>
          <w:color w:val="2E74B5"/>
        </w:rPr>
        <w:t>投資レーティング: 強い買い（理論株価5,900〜7,200円、現在株価3,742円比+57〜92%）</w:t>
      </w:r>
    </w:p>
    <w:p/>
    <w:p>
      <w:r>
        <w:rPr>
          <w:rFonts w:ascii="Meiryo UI" w:hAnsi="Meiryo UI"/>
          <w:sz w:val="20"/>
        </w:rPr>
        <w:t>強みのサマリー（Bull Case）:</w:t>
      </w:r>
    </w:p>
    <w:p>
      <w:pPr>
        <w:pStyle w:val="ListNumber"/>
      </w:pPr>
      <w:r>
        <w:rPr>
          <w:rFonts w:ascii="Meiryo UI" w:hAnsi="Meiryo UI"/>
          <w:sz w:val="20"/>
        </w:rPr>
        <w:t>業界最大の護城河（Moat）: 管理戸数129万戸・29年連続首位という参入障壁は事実上崩せない水準。プール効果による97.8%の入居率は収益安定性の証左。</w:t>
      </w:r>
    </w:p>
    <w:p>
      <w:pPr>
        <w:pStyle w:val="ListNumber"/>
      </w:pPr>
      <w:r>
        <w:rPr>
          <w:rFonts w:ascii="Meiryo UI" w:hAnsi="Meiryo UI"/>
          <w:sz w:val="20"/>
        </w:rPr>
        <w:t>圧倒的な資本効率: ROE 21.5%は住宅大手（12%前後）の約2倍。この差がPBRプレミアムを正当化する。</w:t>
      </w:r>
    </w:p>
    <w:p>
      <w:pPr>
        <w:pStyle w:val="ListNumber"/>
      </w:pPr>
      <w:r>
        <w:rPr>
          <w:rFonts w:ascii="Meiryo UI" w:hAnsi="Meiryo UI"/>
          <w:sz w:val="20"/>
        </w:rPr>
        <w:t>魅力的な株主還元: 配当利回り3.82%・4期連続増配（配当性向約50%）は安定した配当投資先として評価。</w:t>
      </w:r>
    </w:p>
    <w:p>
      <w:pPr>
        <w:pStyle w:val="ListNumber"/>
      </w:pPr>
      <w:r>
        <w:rPr>
          <w:rFonts w:ascii="Meiryo UI" w:hAnsi="Meiryo UI"/>
          <w:sz w:val="20"/>
        </w:rPr>
        <w:t>DCFベースの明確な割安感: WACC5%・ターミナル成長率1%のベースケースで理論株価6,200円。現在株価との+65%の乖離はDCF投資家にとって魅力的。</w:t>
      </w:r>
    </w:p>
    <w:p>
      <w:pPr>
        <w:pStyle w:val="ListNumber"/>
      </w:pPr>
      <w:r>
        <w:rPr>
          <w:rFonts w:ascii="Meiryo UI" w:hAnsi="Meiryo UI"/>
          <w:sz w:val="20"/>
        </w:rPr>
        <w:t>中計進捗の確実性: FY2025に純利益+25.7%増を達成。FY2026目標（売上2兆円・営業利益1,400億円）はやや保守的と判断。</w:t>
      </w:r>
    </w:p>
    <w:p/>
    <w:p>
      <w:r>
        <w:rPr>
          <w:rFonts w:ascii="Meiryo UI" w:hAnsi="Meiryo UI"/>
          <w:sz w:val="20"/>
        </w:rPr>
        <w:t>懸念のサマリー（Bear Case）:</w:t>
      </w:r>
    </w:p>
    <w:p>
      <w:pPr>
        <w:pStyle w:val="ListNumber"/>
      </w:pPr>
      <w:r>
        <w:rPr>
          <w:rFonts w:ascii="Meiryo UI" w:hAnsi="Meiryo UI"/>
          <w:sz w:val="20"/>
        </w:rPr>
        <w:t>フロー受注の先行指標悪化: Q1受注高▲11.7%は中計目標に黄信号。地方縮小の影響が想定より大きければ下方修正リスク。</w:t>
      </w:r>
    </w:p>
    <w:p>
      <w:pPr>
        <w:pStyle w:val="ListNumber"/>
      </w:pPr>
      <w:r>
        <w:rPr>
          <w:rFonts w:ascii="Meiryo UI" w:hAnsi="Meiryo UI"/>
          <w:sz w:val="20"/>
        </w:rPr>
        <w:t>人口動態の逆風: 構造的な人口減少は賃貸需要の長期減退を不可避とし、ストック収益の成長率鈍化をもたらす。</w:t>
      </w:r>
    </w:p>
    <w:p>
      <w:pPr>
        <w:pStyle w:val="ListNumber"/>
      </w:pPr>
      <w:r>
        <w:rPr>
          <w:rFonts w:ascii="Meiryo UI" w:hAnsi="Meiryo UI"/>
          <w:sz w:val="20"/>
        </w:rPr>
        <w:t>評判・訴訟リスクの尾を引く構造: サブリース問題は制度整備により収束方向だが、事業モデルの性質上、再発リスクはゼロではない。</w:t>
      </w:r>
    </w:p>
    <w:p/>
    <w:p>
      <w:r>
        <w:rPr>
          <w:rFonts w:ascii="Meiryo UI" w:hAnsi="Meiryo UI"/>
          <w:sz w:val="20"/>
        </w:rPr>
        <w:t>推奨保有期間: 中長期（12〜24ヶ月）</w:t>
      </w:r>
    </w:p>
    <w:p>
      <w:r>
        <w:rPr>
          <w:rFonts w:ascii="Meiryo UI" w:hAnsi="Meiryo UI"/>
          <w:sz w:val="20"/>
        </w:rPr>
        <w:t>主要モニタリング指標: ①四半期受注高（前期比）、②管理戸数と入居率、③建設事業利益率、④金利水準（JGB 10Y）</w:t>
      </w:r>
    </w:p>
    <w:p/>
    <w:p>
      <w:r>
        <w:t>──────────────────────────────────────────────────</w:t>
      </w:r>
    </w:p>
    <w:p/>
    <w:p>
      <w:r>
        <w:rPr>
          <w:rFonts w:ascii="Meiryo UI" w:hAnsi="Meiryo UI"/>
          <w:sz w:val="20"/>
        </w:rPr>
        <w:t>[報告] 深井 が daito_comprehensive_report.md を出力しました。</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