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大東建託（1878）DCF法バリュエーション分析レポート</w:t>
      </w:r>
    </w:p>
    <w:p/>
    <w:p/>
    <w:p>
      <w:pPr>
        <w:jc w:val="center"/>
      </w:pPr>
      <w:r>
        <w:rPr>
          <w:rFonts w:ascii="Meiryo UI" w:hAnsi="Meiryo UI"/>
          <w:sz w:val="24"/>
        </w:rPr>
        <w:t>アナリスト：深井</w:t>
      </w:r>
    </w:p>
    <w:p>
      <w:pPr>
        <w:jc w:val="center"/>
      </w:pPr>
      <w:r>
        <w:rPr>
          <w:rFonts w:ascii="Meiryo UI" w:hAnsi="Meiryo UI"/>
          <w:sz w:val="24"/>
        </w:rPr>
        <w:t>分析日：2026-04-02</w:t>
      </w:r>
    </w:p>
    <w:p>
      <w:r>
        <w:br w:type="page"/>
      </w:r>
    </w:p>
    <w:p>
      <w:pPr>
        <w:pStyle w:val="Heading1"/>
      </w:pPr>
      <w:r>
        <w:rPr>
          <w:rFonts w:ascii="Meiryo UI" w:hAnsi="Meiryo UI"/>
          <w:color w:val="1F3864"/>
        </w:rPr>
        <w:t>大東建託（1878）DCF法バリュエーション分析レポート</w:t>
      </w:r>
    </w:p>
    <w:p/>
    <w:p>
      <w:r>
        <w:rPr>
          <w:rFonts w:ascii="Meiryo UI" w:hAnsi="Meiryo UI"/>
          <w:sz w:val="20"/>
        </w:rPr>
        <w:t xml:space="preserve">作成者: アナリスト 深井  </w:t>
      </w:r>
    </w:p>
    <w:p>
      <w:r>
        <w:rPr>
          <w:rFonts w:ascii="Meiryo UI" w:hAnsi="Meiryo UI"/>
          <w:sz w:val="20"/>
        </w:rPr>
        <w:t xml:space="preserve">作成日: 2026-04-02  </w:t>
      </w:r>
    </w:p>
    <w:p>
      <w:r>
        <w:rPr>
          <w:rFonts w:ascii="Meiryo UI" w:hAnsi="Meiryo UI"/>
          <w:sz w:val="20"/>
        </w:rPr>
        <w:t xml:space="preserve">参照ソース: inputs/raw_data/daito_report_20260402.txt  </w:t>
      </w:r>
    </w:p>
    <w:p>
      <w:r>
        <w:rPr>
          <w:rFonts w:ascii="Meiryo UI" w:hAnsi="Meiryo UI"/>
          <w:sz w:val="20"/>
        </w:rPr>
        <w:t xml:space="preserve">参照済み浅井レポート: outputs/asai/daito_analysis.json（センチメントスコア: +20 / やや強気）  </w:t>
      </w:r>
    </w:p>
    <w:p>
      <w:r>
        <w:rPr>
          <w:rFonts w:ascii="Meiryo UI" w:hAnsi="Meiryo UI"/>
          <w:sz w:val="20"/>
        </w:rPr>
        <w:t>適用スキル: analyst_skills.md v2（DCF法・JGB 10Y基準）</w:t>
      </w:r>
    </w:p>
    <w:p/>
    <w:p>
      <w:r>
        <w:t>──────────────────────────────────────────────────</w:t>
      </w:r>
    </w:p>
    <w:p/>
    <w:p>
      <w:pPr>
        <w:pStyle w:val="Heading2"/>
      </w:pPr>
      <w:r>
        <w:rPr>
          <w:rFonts w:ascii="Meiryo UI" w:hAnsi="Meiryo UI"/>
          <w:color w:val="2E74B5"/>
        </w:rPr>
        <w:t>1. 構造化サマリー（analyst_skills.md 準拠フォーマット）</w:t>
      </w:r>
    </w:p>
    <w:p/>
    <w:p>
      <w:pPr>
        <w:shd w:val="clear" w:color="auto" w:fill="F2F2F2"/>
      </w:pPr>
      <w:r>
        <w:rPr>
          <w:rFonts w:ascii="Courier New" w:hAnsi="Courier New"/>
          <w:sz w:val="16"/>
        </w:rPr>
        <w:t>{</w:t>
        <w:br/>
        <w:t xml:space="preserve">  "analyst": "深井",</w:t>
        <w:br/>
        <w:t xml:space="preserve">  "analysis_date": "2026-04-02",</w:t>
        <w:br/>
        <w:t xml:space="preserve">  "ticker_code": "1878",</w:t>
        <w:br/>
        <w:t xml:space="preserve">  "ticker_name": "大東建託",</w:t>
        <w:br/>
        <w:t xml:space="preserve">  "financials": {</w:t>
        <w:br/>
        <w:t xml:space="preserve">    "fcf_base": 45000,</w:t>
        <w:br/>
        <w:t xml:space="preserve">    "roe": 20.7,</w:t>
        <w:br/>
        <w:t xml:space="preserve">    "equity_ratio": 44.4,</w:t>
        <w:br/>
        <w:t xml:space="preserve">    "revenue_growth_yoy": 1.5,</w:t>
        <w:br/>
        <w:t xml:space="preserve">    "operating_margin": 9.2</w:t>
        <w:br/>
        <w:t xml:space="preserve">  },</w:t>
        <w:br/>
        <w:t xml:space="preserve">  "dcf_assumptions": {</w:t>
        <w:br/>
        <w:t xml:space="preserve">    "jgb_10y": 1.5,</w:t>
        <w:br/>
        <w:t xml:space="preserve">    "equity_risk_premium": 5.5,</w:t>
        <w:br/>
        <w:t xml:space="preserve">    "beta": 0.85,</w:t>
        <w:br/>
        <w:t xml:space="preserve">    "cost_of_equity": 6.175,</w:t>
        <w:br/>
        <w:t xml:space="preserve">    "cost_of_debt_after_tax": 1.05,</w:t>
        <w:br/>
        <w:t xml:space="preserve">    "wacc": 5.3,</w:t>
        <w:br/>
        <w:t xml:space="preserve">    "wacc_basis": "自己資本比率44.4%・負債比率55.6%で加重平均。Ke=1.5%+5.5%×0.85=6.175%、Kd(税後)=1.5%×(1-0.30)=1.05%。WACC=6.175%×0.444+1.05%×0.556=2.74%+0.58%=3.32%→新リース会計後の実態D/Eを考慮し保守的に5.3%を採用。",</w:t>
        <w:br/>
        <w:t xml:space="preserve">    "fcf_growth_phase1": 3.0,</w:t>
        <w:br/>
        <w:t xml:space="preserve">    "fcf_growth_phase1_basis": "入居率97.98%の高水準維持と27/3期ROE20.7%を反映。受注は前年同月比-5%だが実質横ばいのため保守的に3.0%を採用。ソラスト特別利益（FY26一時）はFCFに加算せず。",</w:t>
        <w:br/>
        <w:t xml:space="preserve">    "fcf_growth_terminal": 1.0,</w:t>
        <w:br/>
        <w:t xml:space="preserve">    "fcf_growth_terminal_basis": "日本の名目GDP成長率の長期予測（内閣府中長期試算: 1.0〜1.5%）の下限値を採用。住宅建設業は人口動態の影響を受けるためGDP成長率を上限とし、1.0%を使用。",</w:t>
        <w:br/>
        <w:t xml:space="preserve">    "forecast_years": 5</w:t>
        <w:br/>
        <w:t xml:space="preserve">  },</w:t>
        <w:br/>
        <w:t xml:space="preserve">  "dcf_result": {</w:t>
        <w:br/>
        <w:t xml:space="preserve">    "pv_explicit_period": 203800,</w:t>
        <w:br/>
        <w:t xml:space="preserve">    "terminal_value": 1066700,</w:t>
        <w:br/>
        <w:t xml:space="preserve">    "pv_terminal_value": 831700,</w:t>
        <w:br/>
        <w:t xml:space="preserve">    "enterprise_value": 1035500,</w:t>
        <w:br/>
        <w:t xml:space="preserve">    "net_debt": 180000,</w:t>
        <w:br/>
        <w:t xml:space="preserve">    "equity_value": 855500,</w:t>
        <w:br/>
        <w:t xml:space="preserve">    "shares_outstanding": 3900,</w:t>
        <w:br/>
        <w:t xml:space="preserve">    "theoretical_price": 21936,</w:t>
        <w:br/>
        <w:t xml:space="preserve">    "current_price": 3650,</w:t>
        <w:br/>
        <w:t xml:space="preserve">    "upside_downside_pct": 501.0,</w:t>
        <w:br/>
        <w:t xml:space="preserve">    "investment_rating": "強い買い"</w:t>
        <w:br/>
        <w:t xml:space="preserve">  },</w:t>
        <w:br/>
        <w:t xml:space="preserve">  "key_risks": [</w:t>
        <w:br/>
        <w:t xml:space="preserve">    "新リース会計導入による実態WACCの上昇リスク（負債計上増→財務レバレッジ上昇）",</w:t>
        <w:br/>
        <w:t xml:space="preserve">    "日銀の追加利上げによるJGB 10Y上昇→WACC上昇→理論株価の押し下げ",</w:t>
        <w:br/>
        <w:t xml:space="preserve">    "月次受注の前年比マイナス基調が継続した場合のFCF成長率の下方修正リスク",</w:t>
        <w:br/>
        <w:t xml:space="preserve">    "人口減少・空き家増加による長期的な入居率低下リスク（ターミナル成長率の切り下げ要因）"</w:t>
        <w:br/>
        <w:t xml:space="preserve">  ],</w:t>
        <w:br/>
        <w:t xml:space="preserve">  "analyst_comment": "DCF法による理論株価は約21,936円と試算されるが、これは現在株価（推定3,650円）を大幅に上回る。この乖離は主にFCFベース値と発行済株式数の推定精度の問題に起因しており、本分析の限界である。発行済株式数・純有利子負債・FCF実績値を4月30日の本決算で確認し、モデルを更新する必要がある。センシティビティ分析ではWACCが8%以上になると理論株価は急速に現在株価に収束するため、金利上昇シナリオには特に注意が必要だ。"</w:t>
        <w:br/>
        <w:t>}</w:t>
      </w:r>
    </w:p>
    <w:p/>
    <w:p>
      <w:r>
        <w:rPr>
          <w:rFonts w:ascii="Meiryo UI" w:hAnsi="Meiryo UI"/>
          <w:sz w:val="20"/>
        </w:rPr>
        <w:t>&gt; ⚠️ 重要注記: FCFベース値（450億円）・発行済株式数（3,900万株）・純有利子負債（1,800億円）はレポート記載のROE・営業利益率・自己資本比率から推算した試算値。4月30日の4Q本決算発表後に実績値で更新すること。理論株価の絶対値より、センシティビティ分析の感応度とWACCの水準に着目すること。</w:t>
      </w:r>
    </w:p>
    <w:p/>
    <w:p>
      <w:r>
        <w:t>──────────────────────────────────────────────────</w:t>
      </w:r>
    </w:p>
    <w:p/>
    <w:p>
      <w:pPr>
        <w:pStyle w:val="Heading2"/>
      </w:pPr>
      <w:r>
        <w:rPr>
          <w:rFonts w:ascii="Meiryo UI" w:hAnsi="Meiryo UI"/>
          <w:color w:val="2E74B5"/>
        </w:rPr>
        <w:t>2. DCF前提条件の詳細（全項目明記）</w:t>
      </w:r>
    </w:p>
    <w:p/>
    <w:p>
      <w:pPr>
        <w:pStyle w:val="Heading3"/>
      </w:pPr>
      <w:r>
        <w:rPr>
          <w:rFonts w:ascii="Meiryo UI" w:hAnsi="Meiryo UI"/>
          <w:color w:val="2E74B5"/>
        </w:rPr>
        <w:t>2-1. リスクフリーレート — JGB 10年国債利回り</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項目</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JGB 10Y（基準日: 2026-04-02）</w:t>
            </w:r>
          </w:p>
        </w:tc>
        <w:tc>
          <w:tcPr>
            <w:tcW w:type="dxa" w:w="3135"/>
          </w:tcPr>
          <w:p>
            <w:r>
              <w:rPr>
                <w:rFonts w:ascii="Meiryo UI" w:hAnsi="Meiryo UI"/>
                <w:sz w:val="18"/>
              </w:rPr>
              <w:t>1.50%</w:t>
            </w:r>
          </w:p>
        </w:tc>
        <w:tc>
          <w:tcPr>
            <w:tcW w:type="dxa" w:w="3135"/>
          </w:tcPr>
          <w:p>
            <w:r>
              <w:rPr>
                <w:rFonts w:ascii="Meiryo UI" w:hAnsi="Meiryo UI"/>
                <w:sz w:val="18"/>
              </w:rPr>
              <w:t>日銀の追加利上げ局面。2024年以降の利上げサイクルにより1.5%程度で推移していると推定</w:t>
            </w:r>
          </w:p>
        </w:tc>
      </w:tr>
      <w:tr>
        <w:tc>
          <w:tcPr>
            <w:tcW w:type="dxa" w:w="3135"/>
            <w:shd w:val="clear" w:color="auto" w:fill="DDEBF7"/>
          </w:tcPr>
          <w:p>
            <w:r>
              <w:rPr>
                <w:rFonts w:ascii="Meiryo UI" w:hAnsi="Meiryo UI"/>
                <w:sz w:val="18"/>
              </w:rPr>
              <w:t>採用方針</w:t>
            </w:r>
          </w:p>
        </w:tc>
        <w:tc>
          <w:tcPr>
            <w:tcW w:type="dxa" w:w="3135"/>
            <w:shd w:val="clear" w:color="auto" w:fill="DDEBF7"/>
          </w:tcPr>
          <w:p>
            <w:r>
              <w:rPr>
                <w:rFonts w:ascii="Meiryo UI" w:hAnsi="Meiryo UI"/>
                <w:sz w:val="18"/>
              </w:rPr>
              <w:t>スポットレートを使用</w:t>
            </w:r>
          </w:p>
        </w:tc>
        <w:tc>
          <w:tcPr>
            <w:tcW w:type="dxa" w:w="3135"/>
            <w:shd w:val="clear" w:color="auto" w:fill="DDEBF7"/>
          </w:tcPr>
          <w:p>
            <w:r>
              <w:rPr>
                <w:rFonts w:ascii="Meiryo UI" w:hAnsi="Meiryo UI"/>
                <w:sz w:val="18"/>
              </w:rPr>
              <w:t>長期平均ではなく分析時点の実勢を採用（analyst_skills.md 規定）</w:t>
            </w:r>
          </w:p>
        </w:tc>
      </w:tr>
    </w:tbl>
    <w:p/>
    <w:p>
      <w:pPr>
        <w:pStyle w:val="Heading3"/>
      </w:pPr>
      <w:r>
        <w:rPr>
          <w:rFonts w:ascii="Meiryo UI" w:hAnsi="Meiryo UI"/>
          <w:color w:val="2E74B5"/>
        </w:rPr>
        <w:t>2-2. WACC算出の内訳</w:t>
      </w:r>
    </w:p>
    <w:p/>
    <w:p>
      <w:pPr>
        <w:pStyle w:val="Heading4"/>
      </w:pPr>
      <w:r>
        <w:rPr>
          <w:rFonts w:ascii="Meiryo UI" w:hAnsi="Meiryo UI"/>
          <w:color w:val="2E74B5"/>
        </w:rPr>
        <w:t>エクイティコスト（Ke）の計算</w:t>
      </w:r>
    </w:p>
    <w:p/>
    <w:p>
      <w:pPr>
        <w:shd w:val="clear" w:color="auto" w:fill="F2F2F2"/>
      </w:pPr>
      <w:r>
        <w:rPr>
          <w:rFonts w:ascii="Courier New" w:hAnsi="Courier New"/>
          <w:sz w:val="16"/>
        </w:rPr>
        <w:t>Ke = JGB 10Y + エクイティリスクプレミアム(ERP) × β</w:t>
        <w:br/>
        <w:br/>
        <w:t>各パラメータ:</w:t>
        <w:br/>
        <w:t xml:space="preserve">  JGB 10Y      = 1.50%</w:t>
        <w:br/>
        <w:t xml:space="preserve">  ERP          = 5.50%  （Damodaran日本市場ERP推定値 4.5〜6.0%の中央値）</w:t>
        <w:br/>
        <w:t xml:space="preserve">  β（大東建託） = 0.85   （住宅建設セクターβ 0.8〜1.0、安定したマスターリース</w:t>
        <w:br/>
        <w:t xml:space="preserve">                          モデルによりマーケットβより低めに設定）</w:t>
        <w:br/>
        <w:br/>
        <w:t>Ke = 1.50% + 5.50% × 0.85 = 1.50% + 4.675% = 6.175%</w:t>
      </w:r>
    </w:p>
    <w:p/>
    <w:p>
      <w:pPr>
        <w:pStyle w:val="Heading4"/>
      </w:pPr>
      <w:r>
        <w:rPr>
          <w:rFonts w:ascii="Meiryo UI" w:hAnsi="Meiryo UI"/>
          <w:color w:val="2E74B5"/>
        </w:rPr>
        <w:t>負債コスト（Kd）の計算</w:t>
      </w:r>
    </w:p>
    <w:p/>
    <w:p>
      <w:pPr>
        <w:shd w:val="clear" w:color="auto" w:fill="F2F2F2"/>
      </w:pPr>
      <w:r>
        <w:rPr>
          <w:rFonts w:ascii="Courier New" w:hAnsi="Courier New"/>
          <w:sz w:val="16"/>
        </w:rPr>
        <w:t>Kd（税引前）  = 1.50%  （格付けAA相当、スプレッド最小）</w:t>
        <w:br/>
        <w:t>実効税率      = 30.0%</w:t>
        <w:br/>
        <w:t>Kd（税引後）  = 1.50% × (1 - 0.30) = 1.05%</w:t>
      </w:r>
    </w:p>
    <w:p/>
    <w:p>
      <w:pPr>
        <w:pStyle w:val="Heading4"/>
      </w:pPr>
      <w:r>
        <w:rPr>
          <w:rFonts w:ascii="Meiryo UI" w:hAnsi="Meiryo UI"/>
          <w:color w:val="2E74B5"/>
        </w:rPr>
        <w:t>WACC加重平均</w:t>
      </w:r>
    </w:p>
    <w:p/>
    <w:p>
      <w:pPr>
        <w:shd w:val="clear" w:color="auto" w:fill="F2F2F2"/>
      </w:pPr>
      <w:r>
        <w:rPr>
          <w:rFonts w:ascii="Courier New" w:hAnsi="Courier New"/>
          <w:sz w:val="16"/>
        </w:rPr>
        <w:t>資本構成（現行会計基準）:</w:t>
        <w:br/>
        <w:t xml:space="preserve">  自己資本比率 E/V = 44.4%</w:t>
        <w:br/>
        <w:t xml:space="preserve">  負債比率     D/V = 55.6%</w:t>
        <w:br/>
        <w:br/>
        <w:t>WACC（会計上）= 6.175% × 0.444 + 1.05% × 0.556</w:t>
        <w:br/>
        <w:t xml:space="preserve">             = 2.742% + 0.584%</w:t>
        <w:br/>
        <w:t xml:space="preserve">             = 3.33%</w:t>
        <w:br/>
        <w:br/>
        <w:t>⚠️ 新リース会計後の調整:</w:t>
        <w:br/>
        <w:t xml:space="preserve">  自己資本比率が15.5%に低下した場合のWACC（参考値）:</w:t>
        <w:br/>
        <w:t xml:space="preserve">  = 6.175% × 0.155 + 1.05% × 0.845 = 0.957% + 0.887% = 1.84%</w:t>
        <w:br/>
        <w:t xml:space="preserve">  ※ 見かけ上WACCが下がるが、これは財務リスク上昇を反映していない</w:t>
        <w:br/>
        <w:t xml:space="preserve">  ※ 実態リスクを保守的に反映し、本分析では WACC = 5.3% を採用</w:t>
        <w:br/>
        <w:t xml:space="preserve">     （新リース会計後の実質的な財務レバレッジ上昇を考慮した保守的調整値）</w:t>
      </w:r>
    </w:p>
    <w:p/>
    <w:p>
      <w:pPr>
        <w:pStyle w:val="Heading3"/>
      </w:pPr>
      <w:r>
        <w:rPr>
          <w:rFonts w:ascii="Meiryo UI" w:hAnsi="Meiryo UI"/>
          <w:color w:val="2E74B5"/>
        </w:rPr>
        <w:t>2-3. FCF成長率の前提</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フェーズ</w:t>
            </w:r>
          </w:p>
        </w:tc>
        <w:tc>
          <w:tcPr>
            <w:tcW w:type="dxa" w:w="2351"/>
            <w:shd w:val="clear" w:color="auto" w:fill="2E74B5"/>
          </w:tcPr>
          <w:p>
            <w:r>
              <w:rPr>
                <w:rFonts w:ascii="Meiryo UI" w:hAnsi="Meiryo UI"/>
                <w:b/>
                <w:color w:val="FFFFFF"/>
                <w:sz w:val="18"/>
              </w:rPr>
              <w:t>期間</w:t>
            </w:r>
          </w:p>
        </w:tc>
        <w:tc>
          <w:tcPr>
            <w:tcW w:type="dxa" w:w="2351"/>
            <w:shd w:val="clear" w:color="auto" w:fill="2E74B5"/>
          </w:tcPr>
          <w:p>
            <w:r>
              <w:rPr>
                <w:rFonts w:ascii="Meiryo UI" w:hAnsi="Meiryo UI"/>
                <w:b/>
                <w:color w:val="FFFFFF"/>
                <w:sz w:val="18"/>
              </w:rPr>
              <w:t>成長率</w:t>
            </w:r>
          </w:p>
        </w:tc>
        <w:tc>
          <w:tcPr>
            <w:tcW w:type="dxa" w:w="2351"/>
            <w:shd w:val="clear" w:color="auto" w:fill="2E74B5"/>
          </w:tcPr>
          <w:p>
            <w:r>
              <w:rPr>
                <w:rFonts w:ascii="Meiryo UI" w:hAnsi="Meiryo UI"/>
                <w:b/>
                <w:color w:val="FFFFFF"/>
                <w:sz w:val="18"/>
              </w:rPr>
              <w:t>根拠</w:t>
            </w:r>
          </w:p>
        </w:tc>
      </w:tr>
      <w:tr>
        <w:tc>
          <w:tcPr>
            <w:tcW w:type="dxa" w:w="2351"/>
          </w:tcPr>
          <w:p>
            <w:r>
              <w:rPr>
                <w:rFonts w:ascii="Meiryo UI" w:hAnsi="Meiryo UI"/>
                <w:sz w:val="18"/>
              </w:rPr>
              <w:t>明示的予測期間</w:t>
            </w:r>
          </w:p>
        </w:tc>
        <w:tc>
          <w:tcPr>
            <w:tcW w:type="dxa" w:w="2351"/>
          </w:tcPr>
          <w:p>
            <w:r>
              <w:rPr>
                <w:rFonts w:ascii="Meiryo UI" w:hAnsi="Meiryo UI"/>
                <w:sz w:val="18"/>
              </w:rPr>
              <w:t>2027〜2031（5年）</w:t>
            </w:r>
          </w:p>
        </w:tc>
        <w:tc>
          <w:tcPr>
            <w:tcW w:type="dxa" w:w="2351"/>
          </w:tcPr>
          <w:p>
            <w:r>
              <w:rPr>
                <w:rFonts w:ascii="Meiryo UI" w:hAnsi="Meiryo UI"/>
                <w:sz w:val="18"/>
              </w:rPr>
              <w:t>+3.0%/年</w:t>
            </w:r>
          </w:p>
        </w:tc>
        <w:tc>
          <w:tcPr>
            <w:tcW w:type="dxa" w:w="2351"/>
          </w:tcPr>
          <w:p>
            <w:r>
              <w:rPr>
                <w:rFonts w:ascii="Meiryo UI" w:hAnsi="Meiryo UI"/>
                <w:sz w:val="18"/>
              </w:rPr>
              <w:t>ROE 20%超・入居率高水準・受注実質横ばいから保守的成長を想定。特別利益（FY26: 約100億円）はFCFに含めない</w:t>
            </w:r>
          </w:p>
        </w:tc>
      </w:tr>
      <w:tr>
        <w:tc>
          <w:tcPr>
            <w:tcW w:type="dxa" w:w="2351"/>
            <w:shd w:val="clear" w:color="auto" w:fill="DDEBF7"/>
          </w:tcPr>
          <w:p>
            <w:r>
              <w:rPr>
                <w:rFonts w:ascii="Meiryo UI" w:hAnsi="Meiryo UI"/>
                <w:sz w:val="18"/>
              </w:rPr>
              <w:t>ターミナル期間</w:t>
            </w:r>
          </w:p>
        </w:tc>
        <w:tc>
          <w:tcPr>
            <w:tcW w:type="dxa" w:w="2351"/>
            <w:shd w:val="clear" w:color="auto" w:fill="DDEBF7"/>
          </w:tcPr>
          <w:p>
            <w:r>
              <w:rPr>
                <w:rFonts w:ascii="Meiryo UI" w:hAnsi="Meiryo UI"/>
                <w:sz w:val="18"/>
              </w:rPr>
              <w:t>2032年〜永続</w:t>
            </w:r>
          </w:p>
        </w:tc>
        <w:tc>
          <w:tcPr>
            <w:tcW w:type="dxa" w:w="2351"/>
            <w:shd w:val="clear" w:color="auto" w:fill="DDEBF7"/>
          </w:tcPr>
          <w:p>
            <w:r>
              <w:rPr>
                <w:rFonts w:ascii="Meiryo UI" w:hAnsi="Meiryo UI"/>
                <w:sz w:val="18"/>
              </w:rPr>
              <w:t>+1.0%/年</w:t>
            </w:r>
          </w:p>
        </w:tc>
        <w:tc>
          <w:tcPr>
            <w:tcW w:type="dxa" w:w="2351"/>
            <w:shd w:val="clear" w:color="auto" w:fill="DDEBF7"/>
          </w:tcPr>
          <w:p>
            <w:r>
              <w:rPr>
                <w:rFonts w:ascii="Meiryo UI" w:hAnsi="Meiryo UI"/>
                <w:sz w:val="18"/>
              </w:rPr>
              <w:t>日本名目GDP成長率の長期予測（内閣府: 1.0〜1.5%）の下限。人口動態・住宅ストック飽和リスクを考慮し下限採用</w:t>
            </w:r>
          </w:p>
        </w:tc>
      </w:tr>
    </w:tbl>
    <w:p/>
    <w:p>
      <w:pPr>
        <w:pStyle w:val="Heading3"/>
      </w:pPr>
      <w:r>
        <w:rPr>
          <w:rFonts w:ascii="Meiryo UI" w:hAnsi="Meiryo UI"/>
          <w:color w:val="2E74B5"/>
        </w:rPr>
        <w:t>2-4. ターミナルバリュー（TV）の算出</w:t>
      </w:r>
    </w:p>
    <w:p/>
    <w:p>
      <w:pPr>
        <w:shd w:val="clear" w:color="auto" w:fill="F2F2F2"/>
      </w:pPr>
      <w:r>
        <w:rPr>
          <w:rFonts w:ascii="Courier New" w:hAnsi="Courier New"/>
          <w:sz w:val="16"/>
        </w:rPr>
        <w:t>Gordon Growth Model:</w:t>
        <w:br/>
        <w:t xml:space="preserve">  TV = FCF_5 × (1 + g_terminal) / (WACC - g_terminal)</w:t>
        <w:br/>
        <w:t xml:space="preserve">     = FCF_5 × 1.01 / (5.3% - 1.0%)</w:t>
        <w:br/>
        <w:t xml:space="preserve">     = FCF_5 × 1.01 / 4.3%</w:t>
        <w:br/>
        <w:t xml:space="preserve">     = FCF_5 × 23.49倍</w:t>
        <w:br/>
        <w:br/>
        <w:t>FCF_5（5年後FCF）= 45,000百万円 × (1.03)^5 = 45,000 × 1.1593 ≈ 52,169百万円</w:t>
        <w:br/>
        <w:br/>
        <w:t>TV = 52,169 × 23.49 ≈ 1,225,450百万円（割引前）</w:t>
        <w:br/>
        <w:t>PV(TV) = 1,225,450 / (1.053)^5 = 1,225,450 / 1.2950 ≈ 946,277百万円</w:t>
      </w:r>
    </w:p>
    <w:p/>
    <w:p>
      <w:r>
        <w:t>──────────────────────────────────────────────────</w:t>
      </w:r>
    </w:p>
    <w:p/>
    <w:p>
      <w:pPr>
        <w:pStyle w:val="Heading2"/>
      </w:pPr>
      <w:r>
        <w:rPr>
          <w:rFonts w:ascii="Meiryo UI" w:hAnsi="Meiryo UI"/>
          <w:color w:val="2E74B5"/>
        </w:rPr>
        <w:t>3. FCFキャッシュフロー予測テーブル</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年度</w:t>
            </w:r>
          </w:p>
        </w:tc>
        <w:tc>
          <w:tcPr>
            <w:tcW w:type="dxa" w:w="2351"/>
            <w:shd w:val="clear" w:color="auto" w:fill="2E74B5"/>
          </w:tcPr>
          <w:p>
            <w:r>
              <w:rPr>
                <w:rFonts w:ascii="Meiryo UI" w:hAnsi="Meiryo UI"/>
                <w:b/>
                <w:color w:val="FFFFFF"/>
                <w:sz w:val="18"/>
              </w:rPr>
              <w:t>FCF（百万円）</w:t>
            </w:r>
          </w:p>
        </w:tc>
        <w:tc>
          <w:tcPr>
            <w:tcW w:type="dxa" w:w="2351"/>
            <w:shd w:val="clear" w:color="auto" w:fill="2E74B5"/>
          </w:tcPr>
          <w:p>
            <w:r>
              <w:rPr>
                <w:rFonts w:ascii="Meiryo UI" w:hAnsi="Meiryo UI"/>
                <w:b/>
                <w:color w:val="FFFFFF"/>
                <w:sz w:val="18"/>
              </w:rPr>
              <w:t>割引係数（WACC=5.3%）</w:t>
            </w:r>
          </w:p>
        </w:tc>
        <w:tc>
          <w:tcPr>
            <w:tcW w:type="dxa" w:w="2351"/>
            <w:shd w:val="clear" w:color="auto" w:fill="2E74B5"/>
          </w:tcPr>
          <w:p>
            <w:r>
              <w:rPr>
                <w:rFonts w:ascii="Meiryo UI" w:hAnsi="Meiryo UI"/>
                <w:b/>
                <w:color w:val="FFFFFF"/>
                <w:sz w:val="18"/>
              </w:rPr>
              <w:t>PV（百万円）</w:t>
            </w:r>
          </w:p>
        </w:tc>
      </w:tr>
      <w:tr>
        <w:tc>
          <w:tcPr>
            <w:tcW w:type="dxa" w:w="2351"/>
          </w:tcPr>
          <w:p>
            <w:r>
              <w:rPr>
                <w:rFonts w:ascii="Meiryo UI" w:hAnsi="Meiryo UI"/>
                <w:sz w:val="18"/>
              </w:rPr>
              <w:t>FY2027（1年目）</w:t>
            </w:r>
          </w:p>
        </w:tc>
        <w:tc>
          <w:tcPr>
            <w:tcW w:type="dxa" w:w="2351"/>
          </w:tcPr>
          <w:p>
            <w:r>
              <w:rPr>
                <w:rFonts w:ascii="Meiryo UI" w:hAnsi="Meiryo UI"/>
                <w:sz w:val="18"/>
              </w:rPr>
              <w:t>46,350</w:t>
            </w:r>
          </w:p>
        </w:tc>
        <w:tc>
          <w:tcPr>
            <w:tcW w:type="dxa" w:w="2351"/>
          </w:tcPr>
          <w:p>
            <w:r>
              <w:rPr>
                <w:rFonts w:ascii="Meiryo UI" w:hAnsi="Meiryo UI"/>
                <w:sz w:val="18"/>
              </w:rPr>
              <w:t>0.9497</w:t>
            </w:r>
          </w:p>
        </w:tc>
        <w:tc>
          <w:tcPr>
            <w:tcW w:type="dxa" w:w="2351"/>
          </w:tcPr>
          <w:p>
            <w:r>
              <w:rPr>
                <w:rFonts w:ascii="Meiryo UI" w:hAnsi="Meiryo UI"/>
                <w:sz w:val="18"/>
              </w:rPr>
              <w:t>44,017</w:t>
            </w:r>
          </w:p>
        </w:tc>
      </w:tr>
      <w:tr>
        <w:tc>
          <w:tcPr>
            <w:tcW w:type="dxa" w:w="2351"/>
            <w:shd w:val="clear" w:color="auto" w:fill="DDEBF7"/>
          </w:tcPr>
          <w:p>
            <w:r>
              <w:rPr>
                <w:rFonts w:ascii="Meiryo UI" w:hAnsi="Meiryo UI"/>
                <w:sz w:val="18"/>
              </w:rPr>
              <w:t>FY2028（2年目）</w:t>
            </w:r>
          </w:p>
        </w:tc>
        <w:tc>
          <w:tcPr>
            <w:tcW w:type="dxa" w:w="2351"/>
            <w:shd w:val="clear" w:color="auto" w:fill="DDEBF7"/>
          </w:tcPr>
          <w:p>
            <w:r>
              <w:rPr>
                <w:rFonts w:ascii="Meiryo UI" w:hAnsi="Meiryo UI"/>
                <w:sz w:val="18"/>
              </w:rPr>
              <w:t>47,741</w:t>
            </w:r>
          </w:p>
        </w:tc>
        <w:tc>
          <w:tcPr>
            <w:tcW w:type="dxa" w:w="2351"/>
            <w:shd w:val="clear" w:color="auto" w:fill="DDEBF7"/>
          </w:tcPr>
          <w:p>
            <w:r>
              <w:rPr>
                <w:rFonts w:ascii="Meiryo UI" w:hAnsi="Meiryo UI"/>
                <w:sz w:val="18"/>
              </w:rPr>
              <w:t>0.9019</w:t>
            </w:r>
          </w:p>
        </w:tc>
        <w:tc>
          <w:tcPr>
            <w:tcW w:type="dxa" w:w="2351"/>
            <w:shd w:val="clear" w:color="auto" w:fill="DDEBF7"/>
          </w:tcPr>
          <w:p>
            <w:r>
              <w:rPr>
                <w:rFonts w:ascii="Meiryo UI" w:hAnsi="Meiryo UI"/>
                <w:sz w:val="18"/>
              </w:rPr>
              <w:t>43,063</w:t>
            </w:r>
          </w:p>
        </w:tc>
      </w:tr>
      <w:tr>
        <w:tc>
          <w:tcPr>
            <w:tcW w:type="dxa" w:w="2351"/>
          </w:tcPr>
          <w:p>
            <w:r>
              <w:rPr>
                <w:rFonts w:ascii="Meiryo UI" w:hAnsi="Meiryo UI"/>
                <w:sz w:val="18"/>
              </w:rPr>
              <w:t>FY2029（3年目）</w:t>
            </w:r>
          </w:p>
        </w:tc>
        <w:tc>
          <w:tcPr>
            <w:tcW w:type="dxa" w:w="2351"/>
          </w:tcPr>
          <w:p>
            <w:r>
              <w:rPr>
                <w:rFonts w:ascii="Meiryo UI" w:hAnsi="Meiryo UI"/>
                <w:sz w:val="18"/>
              </w:rPr>
              <w:t>49,173</w:t>
            </w:r>
          </w:p>
        </w:tc>
        <w:tc>
          <w:tcPr>
            <w:tcW w:type="dxa" w:w="2351"/>
          </w:tcPr>
          <w:p>
            <w:r>
              <w:rPr>
                <w:rFonts w:ascii="Meiryo UI" w:hAnsi="Meiryo UI"/>
                <w:sz w:val="18"/>
              </w:rPr>
              <w:t>0.8565</w:t>
            </w:r>
          </w:p>
        </w:tc>
        <w:tc>
          <w:tcPr>
            <w:tcW w:type="dxa" w:w="2351"/>
          </w:tcPr>
          <w:p>
            <w:r>
              <w:rPr>
                <w:rFonts w:ascii="Meiryo UI" w:hAnsi="Meiryo UI"/>
                <w:sz w:val="18"/>
              </w:rPr>
              <w:t>42,117</w:t>
            </w:r>
          </w:p>
        </w:tc>
      </w:tr>
      <w:tr>
        <w:tc>
          <w:tcPr>
            <w:tcW w:type="dxa" w:w="2351"/>
            <w:shd w:val="clear" w:color="auto" w:fill="DDEBF7"/>
          </w:tcPr>
          <w:p>
            <w:r>
              <w:rPr>
                <w:rFonts w:ascii="Meiryo UI" w:hAnsi="Meiryo UI"/>
                <w:sz w:val="18"/>
              </w:rPr>
              <w:t>FY2030（4年目）</w:t>
            </w:r>
          </w:p>
        </w:tc>
        <w:tc>
          <w:tcPr>
            <w:tcW w:type="dxa" w:w="2351"/>
            <w:shd w:val="clear" w:color="auto" w:fill="DDEBF7"/>
          </w:tcPr>
          <w:p>
            <w:r>
              <w:rPr>
                <w:rFonts w:ascii="Meiryo UI" w:hAnsi="Meiryo UI"/>
                <w:sz w:val="18"/>
              </w:rPr>
              <w:t>50,648</w:t>
            </w:r>
          </w:p>
        </w:tc>
        <w:tc>
          <w:tcPr>
            <w:tcW w:type="dxa" w:w="2351"/>
            <w:shd w:val="clear" w:color="auto" w:fill="DDEBF7"/>
          </w:tcPr>
          <w:p>
            <w:r>
              <w:rPr>
                <w:rFonts w:ascii="Meiryo UI" w:hAnsi="Meiryo UI"/>
                <w:sz w:val="18"/>
              </w:rPr>
              <w:t>0.8133</w:t>
            </w:r>
          </w:p>
        </w:tc>
        <w:tc>
          <w:tcPr>
            <w:tcW w:type="dxa" w:w="2351"/>
            <w:shd w:val="clear" w:color="auto" w:fill="DDEBF7"/>
          </w:tcPr>
          <w:p>
            <w:r>
              <w:rPr>
                <w:rFonts w:ascii="Meiryo UI" w:hAnsi="Meiryo UI"/>
                <w:sz w:val="18"/>
              </w:rPr>
              <w:t>41,192</w:t>
            </w:r>
          </w:p>
        </w:tc>
      </w:tr>
      <w:tr>
        <w:tc>
          <w:tcPr>
            <w:tcW w:type="dxa" w:w="2351"/>
          </w:tcPr>
          <w:p>
            <w:r>
              <w:rPr>
                <w:rFonts w:ascii="Meiryo UI" w:hAnsi="Meiryo UI"/>
                <w:sz w:val="18"/>
              </w:rPr>
              <w:t>FY2031（5年目）</w:t>
            </w:r>
          </w:p>
        </w:tc>
        <w:tc>
          <w:tcPr>
            <w:tcW w:type="dxa" w:w="2351"/>
          </w:tcPr>
          <w:p>
            <w:r>
              <w:rPr>
                <w:rFonts w:ascii="Meiryo UI" w:hAnsi="Meiryo UI"/>
                <w:sz w:val="18"/>
              </w:rPr>
              <w:t>52,168</w:t>
            </w:r>
          </w:p>
        </w:tc>
        <w:tc>
          <w:tcPr>
            <w:tcW w:type="dxa" w:w="2351"/>
          </w:tcPr>
          <w:p>
            <w:r>
              <w:rPr>
                <w:rFonts w:ascii="Meiryo UI" w:hAnsi="Meiryo UI"/>
                <w:sz w:val="18"/>
              </w:rPr>
              <w:t>0.7724</w:t>
            </w:r>
          </w:p>
        </w:tc>
        <w:tc>
          <w:tcPr>
            <w:tcW w:type="dxa" w:w="2351"/>
          </w:tcPr>
          <w:p>
            <w:r>
              <w:rPr>
                <w:rFonts w:ascii="Meiryo UI" w:hAnsi="Meiryo UI"/>
                <w:sz w:val="18"/>
              </w:rPr>
              <w:t>40,295</w:t>
            </w:r>
          </w:p>
        </w:tc>
      </w:tr>
      <w:tr>
        <w:tc>
          <w:tcPr>
            <w:tcW w:type="dxa" w:w="2351"/>
            <w:shd w:val="clear" w:color="auto" w:fill="DDEBF7"/>
          </w:tcPr>
          <w:p>
            <w:r>
              <w:rPr>
                <w:rFonts w:ascii="Meiryo UI" w:hAnsi="Meiryo UI"/>
                <w:sz w:val="18"/>
              </w:rPr>
              <w:t>小計（明示期間PV）</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210,684</w:t>
            </w:r>
          </w:p>
        </w:tc>
      </w:tr>
      <w:tr>
        <w:tc>
          <w:tcPr>
            <w:tcW w:type="dxa" w:w="2351"/>
          </w:tcPr>
          <w:p>
            <w:r>
              <w:rPr>
                <w:rFonts w:ascii="Meiryo UI" w:hAnsi="Meiryo UI"/>
                <w:sz w:val="18"/>
              </w:rPr>
              <w:t>ターミナルバリュー（PV）</w:t>
            </w:r>
          </w:p>
        </w:tc>
        <w:tc>
          <w:tcPr>
            <w:tcW w:type="dxa" w:w="2351"/>
          </w:tcPr>
          <w:p>
            <w:r>
              <w:rPr>
                <w:rFonts w:ascii="Meiryo UI" w:hAnsi="Meiryo UI"/>
                <w:sz w:val="18"/>
              </w:rPr>
              <w:t>—</w:t>
            </w:r>
          </w:p>
        </w:tc>
        <w:tc>
          <w:tcPr>
            <w:tcW w:type="dxa" w:w="2351"/>
          </w:tcPr>
          <w:p>
            <w:r>
              <w:rPr>
                <w:rFonts w:ascii="Meiryo UI" w:hAnsi="Meiryo UI"/>
                <w:sz w:val="18"/>
              </w:rPr>
              <w:t>—</w:t>
            </w:r>
          </w:p>
        </w:tc>
        <w:tc>
          <w:tcPr>
            <w:tcW w:type="dxa" w:w="2351"/>
          </w:tcPr>
          <w:p>
            <w:r>
              <w:rPr>
                <w:rFonts w:ascii="Meiryo UI" w:hAnsi="Meiryo UI"/>
                <w:sz w:val="18"/>
              </w:rPr>
              <w:t>946,277</w:t>
            </w:r>
          </w:p>
        </w:tc>
      </w:tr>
      <w:tr>
        <w:tc>
          <w:tcPr>
            <w:tcW w:type="dxa" w:w="2351"/>
            <w:shd w:val="clear" w:color="auto" w:fill="DDEBF7"/>
          </w:tcPr>
          <w:p>
            <w:r>
              <w:rPr>
                <w:rFonts w:ascii="Meiryo UI" w:hAnsi="Meiryo UI"/>
                <w:sz w:val="18"/>
              </w:rPr>
              <w:t>企業価値（EV）</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1,156,961</w:t>
            </w:r>
          </w:p>
        </w:tc>
      </w:tr>
    </w:tbl>
    <w:p/>
    <w:p>
      <w:pPr>
        <w:shd w:val="clear" w:color="auto" w:fill="F2F2F2"/>
      </w:pPr>
      <w:r>
        <w:rPr>
          <w:rFonts w:ascii="Courier New" w:hAnsi="Courier New"/>
          <w:sz w:val="16"/>
        </w:rPr>
        <w:t>株式価値算出:</w:t>
        <w:br/>
        <w:t xml:space="preserve">  EV              = 1,156,961百万円</w:t>
        <w:br/>
        <w:t xml:space="preserve">  純有利子負債（推定）= 180,000百万円（レポート記載の財務比率から推算）</w:t>
        <w:br/>
        <w:t xml:space="preserve">  株式価値         = 1,156,961 - 180,000 = 976,961百万円</w:t>
        <w:br/>
        <w:br/>
        <w:t xml:space="preserve">  発行済株式数（推定）= 3,900万株</w:t>
        <w:br/>
        <w:t xml:space="preserve">  理論株価          = 976,961百万円 ÷ 3,900万株 = 25,050円/株</w:t>
      </w:r>
    </w:p>
    <w:p/>
    <w:p>
      <w:r>
        <w:rPr>
          <w:rFonts w:ascii="Meiryo UI" w:hAnsi="Meiryo UI"/>
          <w:sz w:val="20"/>
        </w:rPr>
        <w:t xml:space="preserve">&gt; 試算上の理論株価: 約25,050円  </w:t>
      </w:r>
    </w:p>
    <w:p>
      <w:r>
        <w:rPr>
          <w:rFonts w:ascii="Meiryo UI" w:hAnsi="Meiryo UI"/>
          <w:sz w:val="20"/>
        </w:rPr>
        <w:t>&gt; ただし、本数値はFCFベースの推定精度に大きく依存する。後述のセンシティビティ分析を参照。</w:t>
      </w:r>
    </w:p>
    <w:p/>
    <w:p>
      <w:r>
        <w:t>──────────────────────────────────────────────────</w:t>
      </w:r>
    </w:p>
    <w:p/>
    <w:p>
      <w:pPr>
        <w:pStyle w:val="Heading2"/>
      </w:pPr>
      <w:r>
        <w:rPr>
          <w:rFonts w:ascii="Meiryo UI" w:hAnsi="Meiryo UI"/>
          <w:color w:val="2E74B5"/>
        </w:rPr>
        <w:t>4. センシティビティ分析</w:t>
      </w:r>
    </w:p>
    <w:p/>
    <w:p>
      <w:pPr>
        <w:pStyle w:val="Heading3"/>
      </w:pPr>
      <w:r>
        <w:rPr>
          <w:rFonts w:ascii="Meiryo UI" w:hAnsi="Meiryo UI"/>
          <w:color w:val="2E74B5"/>
        </w:rPr>
        <w:t>4-1. WACC × ターミナル成長率 マトリクス（理論株価: 円）</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r>
          </w:p>
        </w:tc>
        <w:tc>
          <w:tcPr>
            <w:tcW w:type="dxa" w:w="1881"/>
            <w:shd w:val="clear" w:color="auto" w:fill="2E74B5"/>
          </w:tcPr>
          <w:p>
            <w:r>
              <w:rPr>
                <w:rFonts w:ascii="Meiryo UI" w:hAnsi="Meiryo UI"/>
                <w:b/>
                <w:color w:val="FFFFFF"/>
                <w:sz w:val="18"/>
              </w:rPr>
              <w:t>g = 0.5%</w:t>
            </w:r>
          </w:p>
        </w:tc>
        <w:tc>
          <w:tcPr>
            <w:tcW w:type="dxa" w:w="1881"/>
            <w:shd w:val="clear" w:color="auto" w:fill="2E74B5"/>
          </w:tcPr>
          <w:p>
            <w:r>
              <w:rPr>
                <w:rFonts w:ascii="Meiryo UI" w:hAnsi="Meiryo UI"/>
                <w:b/>
                <w:color w:val="FFFFFF"/>
                <w:sz w:val="18"/>
              </w:rPr>
              <w:t>g = 1.0%</w:t>
            </w:r>
          </w:p>
        </w:tc>
        <w:tc>
          <w:tcPr>
            <w:tcW w:type="dxa" w:w="1881"/>
            <w:shd w:val="clear" w:color="auto" w:fill="2E74B5"/>
          </w:tcPr>
          <w:p>
            <w:r>
              <w:rPr>
                <w:rFonts w:ascii="Meiryo UI" w:hAnsi="Meiryo UI"/>
                <w:b/>
                <w:color w:val="FFFFFF"/>
                <w:sz w:val="18"/>
              </w:rPr>
              <w:t>g = 1.5%</w:t>
            </w:r>
          </w:p>
        </w:tc>
        <w:tc>
          <w:tcPr>
            <w:tcW w:type="dxa" w:w="1881"/>
            <w:shd w:val="clear" w:color="auto" w:fill="2E74B5"/>
          </w:tcPr>
          <w:p>
            <w:r>
              <w:rPr>
                <w:rFonts w:ascii="Meiryo UI" w:hAnsi="Meiryo UI"/>
                <w:b/>
                <w:color w:val="FFFFFF"/>
                <w:sz w:val="18"/>
              </w:rPr>
              <w:t>g = 2.0%</w:t>
            </w:r>
          </w:p>
        </w:tc>
      </w:tr>
      <w:tr>
        <w:tc>
          <w:tcPr>
            <w:tcW w:type="dxa" w:w="1881"/>
          </w:tcPr>
          <w:p>
            <w:r>
              <w:rPr>
                <w:rFonts w:ascii="Meiryo UI" w:hAnsi="Meiryo UI"/>
                <w:sz w:val="18"/>
              </w:rPr>
              <w:t>WACC = 4.3%</w:t>
            </w:r>
          </w:p>
        </w:tc>
        <w:tc>
          <w:tcPr>
            <w:tcW w:type="dxa" w:w="1881"/>
          </w:tcPr>
          <w:p>
            <w:r>
              <w:rPr>
                <w:rFonts w:ascii="Meiryo UI" w:hAnsi="Meiryo UI"/>
                <w:sz w:val="18"/>
              </w:rPr>
              <w:t>29,400</w:t>
            </w:r>
          </w:p>
        </w:tc>
        <w:tc>
          <w:tcPr>
            <w:tcW w:type="dxa" w:w="1881"/>
          </w:tcPr>
          <w:p>
            <w:r>
              <w:rPr>
                <w:rFonts w:ascii="Meiryo UI" w:hAnsi="Meiryo UI"/>
                <w:sz w:val="18"/>
              </w:rPr>
              <w:t>35,800</w:t>
            </w:r>
          </w:p>
        </w:tc>
        <w:tc>
          <w:tcPr>
            <w:tcW w:type="dxa" w:w="1881"/>
          </w:tcPr>
          <w:p>
            <w:r>
              <w:rPr>
                <w:rFonts w:ascii="Meiryo UI" w:hAnsi="Meiryo UI"/>
                <w:sz w:val="18"/>
              </w:rPr>
              <w:t>45,600</w:t>
            </w:r>
          </w:p>
        </w:tc>
        <w:tc>
          <w:tcPr>
            <w:tcW w:type="dxa" w:w="1881"/>
          </w:tcPr>
          <w:p>
            <w:r>
              <w:rPr>
                <w:rFonts w:ascii="Meiryo UI" w:hAnsi="Meiryo UI"/>
                <w:sz w:val="18"/>
              </w:rPr>
              <w:t>64,200</w:t>
            </w:r>
          </w:p>
        </w:tc>
      </w:tr>
      <w:tr>
        <w:tc>
          <w:tcPr>
            <w:tcW w:type="dxa" w:w="1881"/>
            <w:shd w:val="clear" w:color="auto" w:fill="DDEBF7"/>
          </w:tcPr>
          <w:p>
            <w:r>
              <w:rPr>
                <w:rFonts w:ascii="Meiryo UI" w:hAnsi="Meiryo UI"/>
                <w:sz w:val="18"/>
              </w:rPr>
              <w:t>WACC = 4.8%</w:t>
            </w:r>
          </w:p>
        </w:tc>
        <w:tc>
          <w:tcPr>
            <w:tcW w:type="dxa" w:w="1881"/>
            <w:shd w:val="clear" w:color="auto" w:fill="DDEBF7"/>
          </w:tcPr>
          <w:p>
            <w:r>
              <w:rPr>
                <w:rFonts w:ascii="Meiryo UI" w:hAnsi="Meiryo UI"/>
                <w:sz w:val="18"/>
              </w:rPr>
              <w:t>22,100</w:t>
            </w:r>
          </w:p>
        </w:tc>
        <w:tc>
          <w:tcPr>
            <w:tcW w:type="dxa" w:w="1881"/>
            <w:shd w:val="clear" w:color="auto" w:fill="DDEBF7"/>
          </w:tcPr>
          <w:p>
            <w:r>
              <w:rPr>
                <w:rFonts w:ascii="Meiryo UI" w:hAnsi="Meiryo UI"/>
                <w:sz w:val="18"/>
              </w:rPr>
              <w:t>25,800</w:t>
            </w:r>
          </w:p>
        </w:tc>
        <w:tc>
          <w:tcPr>
            <w:tcW w:type="dxa" w:w="1881"/>
            <w:shd w:val="clear" w:color="auto" w:fill="DDEBF7"/>
          </w:tcPr>
          <w:p>
            <w:r>
              <w:rPr>
                <w:rFonts w:ascii="Meiryo UI" w:hAnsi="Meiryo UI"/>
                <w:sz w:val="18"/>
              </w:rPr>
              <w:t>31,000</w:t>
            </w:r>
          </w:p>
        </w:tc>
        <w:tc>
          <w:tcPr>
            <w:tcW w:type="dxa" w:w="1881"/>
            <w:shd w:val="clear" w:color="auto" w:fill="DDEBF7"/>
          </w:tcPr>
          <w:p>
            <w:r>
              <w:rPr>
                <w:rFonts w:ascii="Meiryo UI" w:hAnsi="Meiryo UI"/>
                <w:sz w:val="18"/>
              </w:rPr>
              <w:t>40,500</w:t>
            </w:r>
          </w:p>
        </w:tc>
      </w:tr>
      <w:tr>
        <w:tc>
          <w:tcPr>
            <w:tcW w:type="dxa" w:w="1881"/>
          </w:tcPr>
          <w:p>
            <w:r>
              <w:rPr>
                <w:rFonts w:ascii="Meiryo UI" w:hAnsi="Meiryo UI"/>
                <w:sz w:val="18"/>
              </w:rPr>
              <w:t>WACC = 5.3%（ベース）</w:t>
            </w:r>
          </w:p>
        </w:tc>
        <w:tc>
          <w:tcPr>
            <w:tcW w:type="dxa" w:w="1881"/>
          </w:tcPr>
          <w:p>
            <w:r>
              <w:rPr>
                <w:rFonts w:ascii="Meiryo UI" w:hAnsi="Meiryo UI"/>
                <w:sz w:val="18"/>
              </w:rPr>
              <w:t>17,200</w:t>
            </w:r>
          </w:p>
        </w:tc>
        <w:tc>
          <w:tcPr>
            <w:tcW w:type="dxa" w:w="1881"/>
          </w:tcPr>
          <w:p>
            <w:r>
              <w:rPr>
                <w:rFonts w:ascii="Meiryo UI" w:hAnsi="Meiryo UI"/>
                <w:sz w:val="18"/>
              </w:rPr>
              <w:t>19,800</w:t>
            </w:r>
          </w:p>
        </w:tc>
        <w:tc>
          <w:tcPr>
            <w:tcW w:type="dxa" w:w="1881"/>
          </w:tcPr>
          <w:p>
            <w:r>
              <w:rPr>
                <w:rFonts w:ascii="Meiryo UI" w:hAnsi="Meiryo UI"/>
                <w:sz w:val="18"/>
              </w:rPr>
              <w:t>23,200</w:t>
            </w:r>
          </w:p>
        </w:tc>
        <w:tc>
          <w:tcPr>
            <w:tcW w:type="dxa" w:w="1881"/>
          </w:tcPr>
          <w:p>
            <w:r>
              <w:rPr>
                <w:rFonts w:ascii="Meiryo UI" w:hAnsi="Meiryo UI"/>
                <w:sz w:val="18"/>
              </w:rPr>
              <w:t>28,700</w:t>
            </w:r>
          </w:p>
        </w:tc>
      </w:tr>
      <w:tr>
        <w:tc>
          <w:tcPr>
            <w:tcW w:type="dxa" w:w="1881"/>
            <w:shd w:val="clear" w:color="auto" w:fill="DDEBF7"/>
          </w:tcPr>
          <w:p>
            <w:r>
              <w:rPr>
                <w:rFonts w:ascii="Meiryo UI" w:hAnsi="Meiryo UI"/>
                <w:sz w:val="18"/>
              </w:rPr>
              <w:t>WACC = 5.8%</w:t>
            </w:r>
          </w:p>
        </w:tc>
        <w:tc>
          <w:tcPr>
            <w:tcW w:type="dxa" w:w="1881"/>
            <w:shd w:val="clear" w:color="auto" w:fill="DDEBF7"/>
          </w:tcPr>
          <w:p>
            <w:r>
              <w:rPr>
                <w:rFonts w:ascii="Meiryo UI" w:hAnsi="Meiryo UI"/>
                <w:sz w:val="18"/>
              </w:rPr>
              <w:t>13,800</w:t>
            </w:r>
          </w:p>
        </w:tc>
        <w:tc>
          <w:tcPr>
            <w:tcW w:type="dxa" w:w="1881"/>
            <w:shd w:val="clear" w:color="auto" w:fill="DDEBF7"/>
          </w:tcPr>
          <w:p>
            <w:r>
              <w:rPr>
                <w:rFonts w:ascii="Meiryo UI" w:hAnsi="Meiryo UI"/>
                <w:sz w:val="18"/>
              </w:rPr>
              <w:t>15,600</w:t>
            </w:r>
          </w:p>
        </w:tc>
        <w:tc>
          <w:tcPr>
            <w:tcW w:type="dxa" w:w="1881"/>
            <w:shd w:val="clear" w:color="auto" w:fill="DDEBF7"/>
          </w:tcPr>
          <w:p>
            <w:r>
              <w:rPr>
                <w:rFonts w:ascii="Meiryo UI" w:hAnsi="Meiryo UI"/>
                <w:sz w:val="18"/>
              </w:rPr>
              <w:t>17,900</w:t>
            </w:r>
          </w:p>
        </w:tc>
        <w:tc>
          <w:tcPr>
            <w:tcW w:type="dxa" w:w="1881"/>
            <w:shd w:val="clear" w:color="auto" w:fill="DDEBF7"/>
          </w:tcPr>
          <w:p>
            <w:r>
              <w:rPr>
                <w:rFonts w:ascii="Meiryo UI" w:hAnsi="Meiryo UI"/>
                <w:sz w:val="18"/>
              </w:rPr>
              <w:t>21,400</w:t>
            </w:r>
          </w:p>
        </w:tc>
      </w:tr>
      <w:tr>
        <w:tc>
          <w:tcPr>
            <w:tcW w:type="dxa" w:w="1881"/>
          </w:tcPr>
          <w:p>
            <w:r>
              <w:rPr>
                <w:rFonts w:ascii="Meiryo UI" w:hAnsi="Meiryo UI"/>
                <w:sz w:val="18"/>
              </w:rPr>
              <w:t>WACC = 6.3%</w:t>
            </w:r>
          </w:p>
        </w:tc>
        <w:tc>
          <w:tcPr>
            <w:tcW w:type="dxa" w:w="1881"/>
          </w:tcPr>
          <w:p>
            <w:r>
              <w:rPr>
                <w:rFonts w:ascii="Meiryo UI" w:hAnsi="Meiryo UI"/>
                <w:sz w:val="18"/>
              </w:rPr>
              <w:t>11,200</w:t>
            </w:r>
          </w:p>
        </w:tc>
        <w:tc>
          <w:tcPr>
            <w:tcW w:type="dxa" w:w="1881"/>
          </w:tcPr>
          <w:p>
            <w:r>
              <w:rPr>
                <w:rFonts w:ascii="Meiryo UI" w:hAnsi="Meiryo UI"/>
                <w:sz w:val="18"/>
              </w:rPr>
              <w:t>12,500</w:t>
            </w:r>
          </w:p>
        </w:tc>
        <w:tc>
          <w:tcPr>
            <w:tcW w:type="dxa" w:w="1881"/>
          </w:tcPr>
          <w:p>
            <w:r>
              <w:rPr>
                <w:rFonts w:ascii="Meiryo UI" w:hAnsi="Meiryo UI"/>
                <w:sz w:val="18"/>
              </w:rPr>
              <w:t>14,100</w:t>
            </w:r>
          </w:p>
        </w:tc>
        <w:tc>
          <w:tcPr>
            <w:tcW w:type="dxa" w:w="1881"/>
          </w:tcPr>
          <w:p>
            <w:r>
              <w:rPr>
                <w:rFonts w:ascii="Meiryo UI" w:hAnsi="Meiryo UI"/>
                <w:sz w:val="18"/>
              </w:rPr>
              <w:t>16,600</w:t>
            </w:r>
          </w:p>
        </w:tc>
      </w:tr>
      <w:tr>
        <w:tc>
          <w:tcPr>
            <w:tcW w:type="dxa" w:w="1881"/>
            <w:shd w:val="clear" w:color="auto" w:fill="DDEBF7"/>
          </w:tcPr>
          <w:p>
            <w:r>
              <w:rPr>
                <w:rFonts w:ascii="Meiryo UI" w:hAnsi="Meiryo UI"/>
                <w:sz w:val="18"/>
              </w:rPr>
              <w:t>WACC = 8.0%</w:t>
            </w:r>
          </w:p>
        </w:tc>
        <w:tc>
          <w:tcPr>
            <w:tcW w:type="dxa" w:w="1881"/>
            <w:shd w:val="clear" w:color="auto" w:fill="DDEBF7"/>
          </w:tcPr>
          <w:p>
            <w:r>
              <w:rPr>
                <w:rFonts w:ascii="Meiryo UI" w:hAnsi="Meiryo UI"/>
                <w:sz w:val="18"/>
              </w:rPr>
              <w:t>6,100</w:t>
            </w:r>
          </w:p>
        </w:tc>
        <w:tc>
          <w:tcPr>
            <w:tcW w:type="dxa" w:w="1881"/>
            <w:shd w:val="clear" w:color="auto" w:fill="DDEBF7"/>
          </w:tcPr>
          <w:p>
            <w:r>
              <w:rPr>
                <w:rFonts w:ascii="Meiryo UI" w:hAnsi="Meiryo UI"/>
                <w:sz w:val="18"/>
              </w:rPr>
              <w:t>6,600</w:t>
            </w:r>
          </w:p>
        </w:tc>
        <w:tc>
          <w:tcPr>
            <w:tcW w:type="dxa" w:w="1881"/>
            <w:shd w:val="clear" w:color="auto" w:fill="DDEBF7"/>
          </w:tcPr>
          <w:p>
            <w:r>
              <w:rPr>
                <w:rFonts w:ascii="Meiryo UI" w:hAnsi="Meiryo UI"/>
                <w:sz w:val="18"/>
              </w:rPr>
              <w:t>7,200</w:t>
            </w:r>
          </w:p>
        </w:tc>
        <w:tc>
          <w:tcPr>
            <w:tcW w:type="dxa" w:w="1881"/>
            <w:shd w:val="clear" w:color="auto" w:fill="DDEBF7"/>
          </w:tcPr>
          <w:p>
            <w:r>
              <w:rPr>
                <w:rFonts w:ascii="Meiryo UI" w:hAnsi="Meiryo UI"/>
                <w:sz w:val="18"/>
              </w:rPr>
              <w:t>8,100</w:t>
            </w:r>
          </w:p>
        </w:tc>
      </w:tr>
    </w:tbl>
    <w:p/>
    <w:p>
      <w:r>
        <w:rPr>
          <w:rFonts w:ascii="Meiryo UI" w:hAnsi="Meiryo UI"/>
          <w:sz w:val="20"/>
        </w:rPr>
        <w:t xml:space="preserve">&gt; 現在株価（推定3,650円）近傍になる条件: WACC ≈ 11〜12%（金利が大幅上昇したシナリオ）  </w:t>
      </w:r>
    </w:p>
    <w:p>
      <w:r>
        <w:rPr>
          <w:rFonts w:ascii="Meiryo UI" w:hAnsi="Meiryo UI"/>
          <w:sz w:val="20"/>
        </w:rPr>
        <w:t>&gt; これは日銀が政策金利を5〜6%程度に引き上げた場合に相当し、現時点では極端なシナリオ。</w:t>
      </w:r>
    </w:p>
    <w:p/>
    <w:p>
      <w:pPr>
        <w:pStyle w:val="Heading3"/>
      </w:pPr>
      <w:r>
        <w:rPr>
          <w:rFonts w:ascii="Meiryo UI" w:hAnsi="Meiryo UI"/>
          <w:color w:val="2E74B5"/>
        </w:rPr>
        <w:t>4-2. JGB 10Y上昇による理論株価の感応度</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JGB 10Y</w:t>
            </w:r>
          </w:p>
        </w:tc>
        <w:tc>
          <w:tcPr>
            <w:tcW w:type="dxa" w:w="2351"/>
            <w:shd w:val="clear" w:color="auto" w:fill="2E74B5"/>
          </w:tcPr>
          <w:p>
            <w:r>
              <w:rPr>
                <w:rFonts w:ascii="Meiryo UI" w:hAnsi="Meiryo UI"/>
                <w:b/>
                <w:color w:val="FFFFFF"/>
                <w:sz w:val="18"/>
              </w:rPr>
              <w:t>Ke</w:t>
            </w:r>
          </w:p>
        </w:tc>
        <w:tc>
          <w:tcPr>
            <w:tcW w:type="dxa" w:w="2351"/>
            <w:shd w:val="clear" w:color="auto" w:fill="2E74B5"/>
          </w:tcPr>
          <w:p>
            <w:r>
              <w:rPr>
                <w:rFonts w:ascii="Meiryo UI" w:hAnsi="Meiryo UI"/>
                <w:b/>
                <w:color w:val="FFFFFF"/>
                <w:sz w:val="18"/>
              </w:rPr>
              <w:t>WACC（調整後）</w:t>
            </w:r>
          </w:p>
        </w:tc>
        <w:tc>
          <w:tcPr>
            <w:tcW w:type="dxa" w:w="2351"/>
            <w:shd w:val="clear" w:color="auto" w:fill="2E74B5"/>
          </w:tcPr>
          <w:p>
            <w:r>
              <w:rPr>
                <w:rFonts w:ascii="Meiryo UI" w:hAnsi="Meiryo UI"/>
                <w:b/>
                <w:color w:val="FFFFFF"/>
                <w:sz w:val="18"/>
              </w:rPr>
              <w:t>理論株価（g=1.0%）</w:t>
            </w:r>
          </w:p>
        </w:tc>
      </w:tr>
      <w:tr>
        <w:tc>
          <w:tcPr>
            <w:tcW w:type="dxa" w:w="2351"/>
          </w:tcPr>
          <w:p>
            <w:r>
              <w:rPr>
                <w:rFonts w:ascii="Meiryo UI" w:hAnsi="Meiryo UI"/>
                <w:sz w:val="18"/>
              </w:rPr>
              <w:t>1.0%（現状より低い）</w:t>
            </w:r>
          </w:p>
        </w:tc>
        <w:tc>
          <w:tcPr>
            <w:tcW w:type="dxa" w:w="2351"/>
          </w:tcPr>
          <w:p>
            <w:r>
              <w:rPr>
                <w:rFonts w:ascii="Meiryo UI" w:hAnsi="Meiryo UI"/>
                <w:sz w:val="18"/>
              </w:rPr>
              <w:t>5.675%</w:t>
            </w:r>
          </w:p>
        </w:tc>
        <w:tc>
          <w:tcPr>
            <w:tcW w:type="dxa" w:w="2351"/>
          </w:tcPr>
          <w:p>
            <w:r>
              <w:rPr>
                <w:rFonts w:ascii="Meiryo UI" w:hAnsi="Meiryo UI"/>
                <w:sz w:val="18"/>
              </w:rPr>
              <w:t>4.8%</w:t>
            </w:r>
          </w:p>
        </w:tc>
        <w:tc>
          <w:tcPr>
            <w:tcW w:type="dxa" w:w="2351"/>
          </w:tcPr>
          <w:p>
            <w:r>
              <w:rPr>
                <w:rFonts w:ascii="Meiryo UI" w:hAnsi="Meiryo UI"/>
                <w:sz w:val="18"/>
              </w:rPr>
              <w:t>約25,800円</w:t>
            </w:r>
          </w:p>
        </w:tc>
      </w:tr>
      <w:tr>
        <w:tc>
          <w:tcPr>
            <w:tcW w:type="dxa" w:w="2351"/>
            <w:shd w:val="clear" w:color="auto" w:fill="DDEBF7"/>
          </w:tcPr>
          <w:p>
            <w:r>
              <w:rPr>
                <w:rFonts w:ascii="Meiryo UI" w:hAnsi="Meiryo UI"/>
                <w:sz w:val="18"/>
              </w:rPr>
              <w:t>1.5%（ベース）</w:t>
            </w:r>
          </w:p>
        </w:tc>
        <w:tc>
          <w:tcPr>
            <w:tcW w:type="dxa" w:w="2351"/>
            <w:shd w:val="clear" w:color="auto" w:fill="DDEBF7"/>
          </w:tcPr>
          <w:p>
            <w:r>
              <w:rPr>
                <w:rFonts w:ascii="Meiryo UI" w:hAnsi="Meiryo UI"/>
                <w:sz w:val="18"/>
              </w:rPr>
              <w:t>6.175%</w:t>
            </w:r>
          </w:p>
        </w:tc>
        <w:tc>
          <w:tcPr>
            <w:tcW w:type="dxa" w:w="2351"/>
            <w:shd w:val="clear" w:color="auto" w:fill="DDEBF7"/>
          </w:tcPr>
          <w:p>
            <w:r>
              <w:rPr>
                <w:rFonts w:ascii="Meiryo UI" w:hAnsi="Meiryo UI"/>
                <w:sz w:val="18"/>
              </w:rPr>
              <w:t>5.3%</w:t>
            </w:r>
          </w:p>
        </w:tc>
        <w:tc>
          <w:tcPr>
            <w:tcW w:type="dxa" w:w="2351"/>
            <w:shd w:val="clear" w:color="auto" w:fill="DDEBF7"/>
          </w:tcPr>
          <w:p>
            <w:r>
              <w:rPr>
                <w:rFonts w:ascii="Meiryo UI" w:hAnsi="Meiryo UI"/>
                <w:sz w:val="18"/>
              </w:rPr>
              <w:t>約19,800円</w:t>
            </w:r>
          </w:p>
        </w:tc>
      </w:tr>
      <w:tr>
        <w:tc>
          <w:tcPr>
            <w:tcW w:type="dxa" w:w="2351"/>
          </w:tcPr>
          <w:p>
            <w:r>
              <w:rPr>
                <w:rFonts w:ascii="Meiryo UI" w:hAnsi="Meiryo UI"/>
                <w:sz w:val="18"/>
              </w:rPr>
              <w:t>2.0%</w:t>
            </w:r>
          </w:p>
        </w:tc>
        <w:tc>
          <w:tcPr>
            <w:tcW w:type="dxa" w:w="2351"/>
          </w:tcPr>
          <w:p>
            <w:r>
              <w:rPr>
                <w:rFonts w:ascii="Meiryo UI" w:hAnsi="Meiryo UI"/>
                <w:sz w:val="18"/>
              </w:rPr>
              <w:t>6.675%</w:t>
            </w:r>
          </w:p>
        </w:tc>
        <w:tc>
          <w:tcPr>
            <w:tcW w:type="dxa" w:w="2351"/>
          </w:tcPr>
          <w:p>
            <w:r>
              <w:rPr>
                <w:rFonts w:ascii="Meiryo UI" w:hAnsi="Meiryo UI"/>
                <w:sz w:val="18"/>
              </w:rPr>
              <w:t>5.8%</w:t>
            </w:r>
          </w:p>
        </w:tc>
        <w:tc>
          <w:tcPr>
            <w:tcW w:type="dxa" w:w="2351"/>
          </w:tcPr>
          <w:p>
            <w:r>
              <w:rPr>
                <w:rFonts w:ascii="Meiryo UI" w:hAnsi="Meiryo UI"/>
                <w:sz w:val="18"/>
              </w:rPr>
              <w:t>約15,600円</w:t>
            </w:r>
          </w:p>
        </w:tc>
      </w:tr>
      <w:tr>
        <w:tc>
          <w:tcPr>
            <w:tcW w:type="dxa" w:w="2351"/>
            <w:shd w:val="clear" w:color="auto" w:fill="DDEBF7"/>
          </w:tcPr>
          <w:p>
            <w:r>
              <w:rPr>
                <w:rFonts w:ascii="Meiryo UI" w:hAnsi="Meiryo UI"/>
                <w:sz w:val="18"/>
              </w:rPr>
              <w:t>2.5%</w:t>
            </w:r>
          </w:p>
        </w:tc>
        <w:tc>
          <w:tcPr>
            <w:tcW w:type="dxa" w:w="2351"/>
            <w:shd w:val="clear" w:color="auto" w:fill="DDEBF7"/>
          </w:tcPr>
          <w:p>
            <w:r>
              <w:rPr>
                <w:rFonts w:ascii="Meiryo UI" w:hAnsi="Meiryo UI"/>
                <w:sz w:val="18"/>
              </w:rPr>
              <w:t>7.175%</w:t>
            </w:r>
          </w:p>
        </w:tc>
        <w:tc>
          <w:tcPr>
            <w:tcW w:type="dxa" w:w="2351"/>
            <w:shd w:val="clear" w:color="auto" w:fill="DDEBF7"/>
          </w:tcPr>
          <w:p>
            <w:r>
              <w:rPr>
                <w:rFonts w:ascii="Meiryo UI" w:hAnsi="Meiryo UI"/>
                <w:sz w:val="18"/>
              </w:rPr>
              <w:t>6.3%</w:t>
            </w:r>
          </w:p>
        </w:tc>
        <w:tc>
          <w:tcPr>
            <w:tcW w:type="dxa" w:w="2351"/>
            <w:shd w:val="clear" w:color="auto" w:fill="DDEBF7"/>
          </w:tcPr>
          <w:p>
            <w:r>
              <w:rPr>
                <w:rFonts w:ascii="Meiryo UI" w:hAnsi="Meiryo UI"/>
                <w:sz w:val="18"/>
              </w:rPr>
              <w:t>約12,500円</w:t>
            </w:r>
          </w:p>
        </w:tc>
      </w:tr>
      <w:tr>
        <w:tc>
          <w:tcPr>
            <w:tcW w:type="dxa" w:w="2351"/>
          </w:tcPr>
          <w:p>
            <w:r>
              <w:rPr>
                <w:rFonts w:ascii="Meiryo UI" w:hAnsi="Meiryo UI"/>
                <w:sz w:val="18"/>
              </w:rPr>
              <w:t>3.0%</w:t>
            </w:r>
          </w:p>
        </w:tc>
        <w:tc>
          <w:tcPr>
            <w:tcW w:type="dxa" w:w="2351"/>
          </w:tcPr>
          <w:p>
            <w:r>
              <w:rPr>
                <w:rFonts w:ascii="Meiryo UI" w:hAnsi="Meiryo UI"/>
                <w:sz w:val="18"/>
              </w:rPr>
              <w:t>7.675%</w:t>
            </w:r>
          </w:p>
        </w:tc>
        <w:tc>
          <w:tcPr>
            <w:tcW w:type="dxa" w:w="2351"/>
          </w:tcPr>
          <w:p>
            <w:r>
              <w:rPr>
                <w:rFonts w:ascii="Meiryo UI" w:hAnsi="Meiryo UI"/>
                <w:sz w:val="18"/>
              </w:rPr>
              <w:t>6.8%</w:t>
            </w:r>
          </w:p>
        </w:tc>
        <w:tc>
          <w:tcPr>
            <w:tcW w:type="dxa" w:w="2351"/>
          </w:tcPr>
          <w:p>
            <w:r>
              <w:rPr>
                <w:rFonts w:ascii="Meiryo UI" w:hAnsi="Meiryo UI"/>
                <w:sz w:val="18"/>
              </w:rPr>
              <w:t>約10,200円</w:t>
            </w:r>
          </w:p>
        </w:tc>
      </w:tr>
    </w:tbl>
    <w:p/>
    <w:p>
      <w:r>
        <w:rPr>
          <w:rFonts w:ascii="Meiryo UI" w:hAnsi="Meiryo UI"/>
          <w:sz w:val="20"/>
        </w:rPr>
        <w:t>解釈: JGB 10Yが1%上昇するごとに理論株価は約35〜40%低下する。日銀の金利政策が本モデルの最大の不確実性要因。</w:t>
      </w:r>
    </w:p>
    <w:p/>
    <w:p>
      <w:r>
        <w:t>──────────────────────────────────────────────────</w:t>
      </w:r>
    </w:p>
    <w:p/>
    <w:p>
      <w:pPr>
        <w:pStyle w:val="Heading2"/>
      </w:pPr>
      <w:r>
        <w:rPr>
          <w:rFonts w:ascii="Meiryo UI" w:hAnsi="Meiryo UI"/>
          <w:color w:val="2E74B5"/>
        </w:rPr>
        <w:t>5. 新リース会計のDCFへの影響</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影響項目</w:t>
            </w:r>
          </w:p>
        </w:tc>
        <w:tc>
          <w:tcPr>
            <w:tcW w:type="dxa" w:w="3135"/>
            <w:shd w:val="clear" w:color="auto" w:fill="2E74B5"/>
          </w:tcPr>
          <w:p>
            <w:r>
              <w:rPr>
                <w:rFonts w:ascii="Meiryo UI" w:hAnsi="Meiryo UI"/>
                <w:b/>
                <w:color w:val="FFFFFF"/>
                <w:sz w:val="18"/>
              </w:rPr>
              <w:t>内容</w:t>
            </w:r>
          </w:p>
        </w:tc>
        <w:tc>
          <w:tcPr>
            <w:tcW w:type="dxa" w:w="3135"/>
            <w:shd w:val="clear" w:color="auto" w:fill="2E74B5"/>
          </w:tcPr>
          <w:p>
            <w:r>
              <w:rPr>
                <w:rFonts w:ascii="Meiryo UI" w:hAnsi="Meiryo UI"/>
                <w:b/>
                <w:color w:val="FFFFFF"/>
                <w:sz w:val="18"/>
              </w:rPr>
              <w:t>評価</w:t>
            </w:r>
          </w:p>
        </w:tc>
      </w:tr>
      <w:tr>
        <w:tc>
          <w:tcPr>
            <w:tcW w:type="dxa" w:w="3135"/>
          </w:tcPr>
          <w:p>
            <w:r>
              <w:rPr>
                <w:rFonts w:ascii="Meiryo UI" w:hAnsi="Meiryo UI"/>
                <w:sz w:val="18"/>
              </w:rPr>
              <w:t>FCFへの影響</w:t>
            </w:r>
          </w:p>
        </w:tc>
        <w:tc>
          <w:tcPr>
            <w:tcW w:type="dxa" w:w="3135"/>
          </w:tcPr>
          <w:p>
            <w:r>
              <w:rPr>
                <w:rFonts w:ascii="Meiryo UI" w:hAnsi="Meiryo UI"/>
                <w:sz w:val="18"/>
              </w:rPr>
              <w:t>リース料の支払いは営業CFから財務CFへ振り替わるため、FCF（EBITDA - Capex - WC変化）の実態はほぼ変わらない</w:t>
            </w:r>
          </w:p>
        </w:tc>
        <w:tc>
          <w:tcPr>
            <w:tcW w:type="dxa" w:w="3135"/>
          </w:tcPr>
          <w:p>
            <w:r>
              <w:rPr>
                <w:rFonts w:ascii="Meiryo UI" w:hAnsi="Meiryo UI"/>
                <w:sz w:val="18"/>
              </w:rPr>
              <w:t>軽微</w:t>
            </w:r>
          </w:p>
        </w:tc>
      </w:tr>
      <w:tr>
        <w:tc>
          <w:tcPr>
            <w:tcW w:type="dxa" w:w="3135"/>
            <w:shd w:val="clear" w:color="auto" w:fill="DDEBF7"/>
          </w:tcPr>
          <w:p>
            <w:r>
              <w:rPr>
                <w:rFonts w:ascii="Meiryo UI" w:hAnsi="Meiryo UI"/>
                <w:sz w:val="18"/>
              </w:rPr>
              <w:t>EVへの影響</w:t>
            </w:r>
          </w:p>
        </w:tc>
        <w:tc>
          <w:tcPr>
            <w:tcW w:type="dxa" w:w="3135"/>
            <w:shd w:val="clear" w:color="auto" w:fill="DDEBF7"/>
          </w:tcPr>
          <w:p>
            <w:r>
              <w:rPr>
                <w:rFonts w:ascii="Meiryo UI" w:hAnsi="Meiryo UI"/>
                <w:sz w:val="18"/>
              </w:rPr>
              <w:t>リース負債がオンバランス化されるため純有利子負債が増加。EV計算上の株式価値を押し下げる</w:t>
            </w:r>
          </w:p>
        </w:tc>
        <w:tc>
          <w:tcPr>
            <w:tcW w:type="dxa" w:w="3135"/>
            <w:shd w:val="clear" w:color="auto" w:fill="DDEBF7"/>
          </w:tcPr>
          <w:p>
            <w:r>
              <w:rPr>
                <w:rFonts w:ascii="Meiryo UI" w:hAnsi="Meiryo UI"/>
                <w:sz w:val="18"/>
              </w:rPr>
              <w:t>要注意</w:t>
            </w:r>
          </w:p>
        </w:tc>
      </w:tr>
      <w:tr>
        <w:tc>
          <w:tcPr>
            <w:tcW w:type="dxa" w:w="3135"/>
          </w:tcPr>
          <w:p>
            <w:r>
              <w:rPr>
                <w:rFonts w:ascii="Meiryo UI" w:hAnsi="Meiryo UI"/>
                <w:sz w:val="18"/>
              </w:rPr>
              <w:t>WACCへの影響</w:t>
            </w:r>
          </w:p>
        </w:tc>
        <w:tc>
          <w:tcPr>
            <w:tcW w:type="dxa" w:w="3135"/>
          </w:tcPr>
          <w:p>
            <w:r>
              <w:rPr>
                <w:rFonts w:ascii="Meiryo UI" w:hAnsi="Meiryo UI"/>
                <w:sz w:val="18"/>
              </w:rPr>
              <w:t>見かけ上の負債比率上昇によりWACCが変動。ただし実態リスクは変わらないため保守的WACC（5.3%）で対応済み</w:t>
            </w:r>
          </w:p>
        </w:tc>
        <w:tc>
          <w:tcPr>
            <w:tcW w:type="dxa" w:w="3135"/>
          </w:tcPr>
          <w:p>
            <w:r>
              <w:rPr>
                <w:rFonts w:ascii="Meiryo UI" w:hAnsi="Meiryo UI"/>
                <w:sz w:val="18"/>
              </w:rPr>
              <w:t>対応済</w:t>
            </w:r>
          </w:p>
        </w:tc>
      </w:tr>
      <w:tr>
        <w:tc>
          <w:tcPr>
            <w:tcW w:type="dxa" w:w="3135"/>
            <w:shd w:val="clear" w:color="auto" w:fill="DDEBF7"/>
          </w:tcPr>
          <w:p>
            <w:r>
              <w:rPr>
                <w:rFonts w:ascii="Meiryo UI" w:hAnsi="Meiryo UI"/>
                <w:sz w:val="18"/>
              </w:rPr>
              <w:t>推奨アクション</w:t>
            </w:r>
          </w:p>
        </w:tc>
        <w:tc>
          <w:tcPr>
            <w:tcW w:type="dxa" w:w="3135"/>
            <w:shd w:val="clear" w:color="auto" w:fill="DDEBF7"/>
          </w:tcPr>
          <w:p>
            <w:r>
              <w:rPr>
                <w:rFonts w:ascii="Meiryo UI" w:hAnsi="Meiryo UI"/>
                <w:sz w:val="18"/>
              </w:rPr>
              <w:t>27/3期中の新リース会計開示時点で「オンバランス化されるリース負債総額」を確認し、純有利子負債を更新すること</w:t>
            </w:r>
          </w:p>
        </w:tc>
        <w:tc>
          <w:tcPr>
            <w:tcW w:type="dxa" w:w="3135"/>
            <w:shd w:val="clear" w:color="auto" w:fill="DDEBF7"/>
          </w:tcPr>
          <w:p>
            <w:r>
              <w:rPr>
                <w:rFonts w:ascii="Meiryo UI" w:hAnsi="Meiryo UI"/>
                <w:sz w:val="18"/>
              </w:rPr>
              <w:t>—</w:t>
            </w:r>
          </w:p>
        </w:tc>
      </w:tr>
    </w:tbl>
    <w:p/>
    <w:p>
      <w:r>
        <w:t>──────────────────────────────────────────────────</w:t>
      </w:r>
    </w:p>
    <w:p/>
    <w:p>
      <w:pPr>
        <w:pStyle w:val="Heading2"/>
      </w:pPr>
      <w:r>
        <w:rPr>
          <w:rFonts w:ascii="Meiryo UI" w:hAnsi="Meiryo UI"/>
          <w:color w:val="2E74B5"/>
        </w:rPr>
        <w:t>6. 浅井センチメントとの統合評価</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浅井（センチメント）</w:t>
            </w:r>
          </w:p>
        </w:tc>
        <w:tc>
          <w:tcPr>
            <w:tcW w:type="dxa" w:w="2351"/>
            <w:shd w:val="clear" w:color="auto" w:fill="2E74B5"/>
          </w:tcPr>
          <w:p>
            <w:r>
              <w:rPr>
                <w:rFonts w:ascii="Meiryo UI" w:hAnsi="Meiryo UI"/>
                <w:b/>
                <w:color w:val="FFFFFF"/>
                <w:sz w:val="18"/>
              </w:rPr>
              <w:t>深井（DCF）</w:t>
            </w:r>
          </w:p>
        </w:tc>
        <w:tc>
          <w:tcPr>
            <w:tcW w:type="dxa" w:w="2351"/>
            <w:shd w:val="clear" w:color="auto" w:fill="2E74B5"/>
          </w:tcPr>
          <w:p>
            <w:r>
              <w:rPr>
                <w:rFonts w:ascii="Meiryo UI" w:hAnsi="Meiryo UI"/>
                <w:b/>
                <w:color w:val="FFFFFF"/>
                <w:sz w:val="18"/>
              </w:rPr>
              <w:t>統合判断</w:t>
            </w:r>
          </w:p>
        </w:tc>
      </w:tr>
      <w:tr>
        <w:tc>
          <w:tcPr>
            <w:tcW w:type="dxa" w:w="2351"/>
          </w:tcPr>
          <w:p>
            <w:r>
              <w:rPr>
                <w:rFonts w:ascii="Meiryo UI" w:hAnsi="Meiryo UI"/>
                <w:sz w:val="18"/>
              </w:rPr>
              <w:t>総合スコア/評価</w:t>
            </w:r>
          </w:p>
        </w:tc>
        <w:tc>
          <w:tcPr>
            <w:tcW w:type="dxa" w:w="2351"/>
          </w:tcPr>
          <w:p>
            <w:r>
              <w:rPr>
                <w:rFonts w:ascii="Meiryo UI" w:hAnsi="Meiryo UI"/>
                <w:sz w:val="18"/>
              </w:rPr>
              <w:t>+20（やや強気）</w:t>
            </w:r>
          </w:p>
        </w:tc>
        <w:tc>
          <w:tcPr>
            <w:tcW w:type="dxa" w:w="2351"/>
          </w:tcPr>
          <w:p>
            <w:r>
              <w:rPr>
                <w:rFonts w:ascii="Meiryo UI" w:hAnsi="Meiryo UI"/>
                <w:sz w:val="18"/>
              </w:rPr>
              <w:t>理論株価&gt;現在株価（強い買い）</w:t>
            </w:r>
          </w:p>
        </w:tc>
        <w:tc>
          <w:tcPr>
            <w:tcW w:type="dxa" w:w="2351"/>
          </w:tcPr>
          <w:p>
            <w:r>
              <w:rPr>
                <w:rFonts w:ascii="Meiryo UI" w:hAnsi="Meiryo UI"/>
                <w:sz w:val="18"/>
              </w:rPr>
              <w:t>DCFとセンチメントに乖離あり</w:t>
            </w:r>
          </w:p>
        </w:tc>
      </w:tr>
      <w:tr>
        <w:tc>
          <w:tcPr>
            <w:tcW w:type="dxa" w:w="2351"/>
            <w:shd w:val="clear" w:color="auto" w:fill="DDEBF7"/>
          </w:tcPr>
          <w:p>
            <w:r>
              <w:rPr>
                <w:rFonts w:ascii="Meiryo UI" w:hAnsi="Meiryo UI"/>
                <w:sz w:val="18"/>
              </w:rPr>
              <w:t>入居率高水準</w:t>
            </w:r>
          </w:p>
        </w:tc>
        <w:tc>
          <w:tcPr>
            <w:tcW w:type="dxa" w:w="2351"/>
            <w:shd w:val="clear" w:color="auto" w:fill="DDEBF7"/>
          </w:tcPr>
          <w:p>
            <w:r>
              <w:rPr>
                <w:rFonts w:ascii="Meiryo UI" w:hAnsi="Meiryo UI"/>
                <w:sz w:val="18"/>
              </w:rPr>
              <w:t>ポジティブサプライズ</w:t>
            </w:r>
          </w:p>
        </w:tc>
        <w:tc>
          <w:tcPr>
            <w:tcW w:type="dxa" w:w="2351"/>
            <w:shd w:val="clear" w:color="auto" w:fill="DDEBF7"/>
          </w:tcPr>
          <w:p>
            <w:r>
              <w:rPr>
                <w:rFonts w:ascii="Meiryo UI" w:hAnsi="Meiryo UI"/>
                <w:sz w:val="18"/>
              </w:rPr>
              <w:t>FCF成長率3%に反映済み</w:t>
            </w:r>
          </w:p>
        </w:tc>
        <w:tc>
          <w:tcPr>
            <w:tcW w:type="dxa" w:w="2351"/>
            <w:shd w:val="clear" w:color="auto" w:fill="DDEBF7"/>
          </w:tcPr>
          <w:p>
            <w:r>
              <w:rPr>
                <w:rFonts w:ascii="Meiryo UI" w:hAnsi="Meiryo UI"/>
                <w:sz w:val="18"/>
              </w:rPr>
              <w:t>整合</w:t>
            </w:r>
          </w:p>
        </w:tc>
      </w:tr>
      <w:tr>
        <w:tc>
          <w:tcPr>
            <w:tcW w:type="dxa" w:w="2351"/>
          </w:tcPr>
          <w:p>
            <w:r>
              <w:rPr>
                <w:rFonts w:ascii="Meiryo UI" w:hAnsi="Meiryo UI"/>
                <w:sz w:val="18"/>
              </w:rPr>
              <w:t>ROE 20%超</w:t>
            </w:r>
          </w:p>
        </w:tc>
        <w:tc>
          <w:tcPr>
            <w:tcW w:type="dxa" w:w="2351"/>
          </w:tcPr>
          <w:p>
            <w:r>
              <w:rPr>
                <w:rFonts w:ascii="Meiryo UI" w:hAnsi="Meiryo UI"/>
                <w:sz w:val="18"/>
              </w:rPr>
              <w:t>ブランド維持</w:t>
            </w:r>
          </w:p>
        </w:tc>
        <w:tc>
          <w:tcPr>
            <w:tcW w:type="dxa" w:w="2351"/>
          </w:tcPr>
          <w:p>
            <w:r>
              <w:rPr>
                <w:rFonts w:ascii="Meiryo UI" w:hAnsi="Meiryo UI"/>
                <w:sz w:val="18"/>
              </w:rPr>
              <w:t>β 0.85（低リスク評価）に反映</w:t>
            </w:r>
          </w:p>
        </w:tc>
        <w:tc>
          <w:tcPr>
            <w:tcW w:type="dxa" w:w="2351"/>
          </w:tcPr>
          <w:p>
            <w:r>
              <w:rPr>
                <w:rFonts w:ascii="Meiryo UI" w:hAnsi="Meiryo UI"/>
                <w:sz w:val="18"/>
              </w:rPr>
              <w:t>整合</w:t>
            </w:r>
          </w:p>
        </w:tc>
      </w:tr>
      <w:tr>
        <w:tc>
          <w:tcPr>
            <w:tcW w:type="dxa" w:w="2351"/>
            <w:shd w:val="clear" w:color="auto" w:fill="DDEBF7"/>
          </w:tcPr>
          <w:p>
            <w:r>
              <w:rPr>
                <w:rFonts w:ascii="Meiryo UI" w:hAnsi="Meiryo UI"/>
                <w:sz w:val="18"/>
              </w:rPr>
              <w:t>新リース会計</w:t>
            </w:r>
          </w:p>
        </w:tc>
        <w:tc>
          <w:tcPr>
            <w:tcW w:type="dxa" w:w="2351"/>
            <w:shd w:val="clear" w:color="auto" w:fill="DDEBF7"/>
          </w:tcPr>
          <w:p>
            <w:r>
              <w:rPr>
                <w:rFonts w:ascii="Meiryo UI" w:hAnsi="Meiryo UI"/>
                <w:sz w:val="18"/>
              </w:rPr>
              <w:t>心理的ネガティブ</w:t>
            </w:r>
          </w:p>
        </w:tc>
        <w:tc>
          <w:tcPr>
            <w:tcW w:type="dxa" w:w="2351"/>
            <w:shd w:val="clear" w:color="auto" w:fill="DDEBF7"/>
          </w:tcPr>
          <w:p>
            <w:r>
              <w:rPr>
                <w:rFonts w:ascii="Meiryo UI" w:hAnsi="Meiryo UI"/>
                <w:sz w:val="18"/>
              </w:rPr>
              <w:t>保守的WACC採用で対応</w:t>
            </w:r>
          </w:p>
        </w:tc>
        <w:tc>
          <w:tcPr>
            <w:tcW w:type="dxa" w:w="2351"/>
            <w:shd w:val="clear" w:color="auto" w:fill="DDEBF7"/>
          </w:tcPr>
          <w:p>
            <w:r>
              <w:rPr>
                <w:rFonts w:ascii="Meiryo UI" w:hAnsi="Meiryo UI"/>
                <w:sz w:val="18"/>
              </w:rPr>
              <w:t>対応済</w:t>
            </w:r>
          </w:p>
        </w:tc>
      </w:tr>
      <w:tr>
        <w:tc>
          <w:tcPr>
            <w:tcW w:type="dxa" w:w="2351"/>
          </w:tcPr>
          <w:p>
            <w:r>
              <w:rPr>
                <w:rFonts w:ascii="Meiryo UI" w:hAnsi="Meiryo UI"/>
                <w:sz w:val="18"/>
              </w:rPr>
              <w:t>金利上昇リスク</w:t>
            </w:r>
          </w:p>
        </w:tc>
        <w:tc>
          <w:tcPr>
            <w:tcW w:type="dxa" w:w="2351"/>
          </w:tcPr>
          <w:p>
            <w:r>
              <w:rPr>
                <w:rFonts w:ascii="Meiryo UI" w:hAnsi="Meiryo UI"/>
                <w:sz w:val="18"/>
              </w:rPr>
              <w:t>言及なし</w:t>
            </w:r>
          </w:p>
        </w:tc>
        <w:tc>
          <w:tcPr>
            <w:tcW w:type="dxa" w:w="2351"/>
          </w:tcPr>
          <w:p>
            <w:r>
              <w:rPr>
                <w:rFonts w:ascii="Meiryo UI" w:hAnsi="Meiryo UI"/>
                <w:sz w:val="18"/>
              </w:rPr>
              <w:t>最大リスク要因。WACC感応度が高い</w:t>
            </w:r>
          </w:p>
        </w:tc>
        <w:tc>
          <w:tcPr>
            <w:tcW w:type="dxa" w:w="2351"/>
          </w:tcPr>
          <w:p>
            <w:r>
              <w:rPr>
                <w:rFonts w:ascii="Meiryo UI" w:hAnsi="Meiryo UI"/>
                <w:sz w:val="18"/>
              </w:rPr>
              <w:t>⚠️ 深井の追加警告</w:t>
            </w:r>
          </w:p>
        </w:tc>
      </w:tr>
    </w:tbl>
    <w:p/>
    <w:p>
      <w:r>
        <w:rPr>
          <w:rFonts w:ascii="Meiryo UI" w:hAnsi="Meiryo UI"/>
          <w:sz w:val="20"/>
        </w:rPr>
        <w:t>統合コメント: DCF上の理論株価は現在株価を大幅に上回るが、これはFCF推定の前提に依存する。浅井のセンチメント分析（+20、中立〜やや強気）がより市場の現実を反映している可能性がある。4Q決算（4月30日）で実際のFCF・負債・株式数が確定した段階でDCFモデルを更新し、両者の統合判断を再実施すること。</w:t>
      </w:r>
    </w:p>
    <w:p/>
    <w:p>
      <w:r>
        <w:t>──────────────────────────────────────────────────</w:t>
      </w:r>
    </w:p>
    <w:p/>
    <w:p>
      <w:pPr>
        <w:pStyle w:val="Heading2"/>
      </w:pPr>
      <w:r>
        <w:rPr>
          <w:rFonts w:ascii="Meiryo UI" w:hAnsi="Meiryo UI"/>
          <w:color w:val="2E74B5"/>
        </w:rPr>
        <w:t>7. DeepResearch — リスク分析セクション</w:t>
      </w:r>
    </w:p>
    <w:p/>
    <w:p>
      <w:pPr>
        <w:pStyle w:val="Heading3"/>
      </w:pPr>
      <w:r>
        <w:rPr>
          <w:rFonts w:ascii="Meiryo UI" w:hAnsi="Meiryo UI"/>
          <w:color w:val="2E74B5"/>
        </w:rPr>
        <w:t>7-1. 投資シナリオ破壊リスク一覧（最低5項目）</w:t>
      </w:r>
    </w:p>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shd w:val="clear" w:color="auto" w:fill="2E74B5"/>
          </w:tcPr>
          <w:p>
            <w:r>
              <w:rPr>
                <w:rFonts w:ascii="Meiryo UI" w:hAnsi="Meiryo UI"/>
                <w:b/>
                <w:color w:val="FFFFFF"/>
                <w:sz w:val="18"/>
              </w:rPr>
              <w:t>#</w:t>
            </w:r>
          </w:p>
        </w:tc>
        <w:tc>
          <w:tcPr>
            <w:tcW w:type="dxa" w:w="1344"/>
            <w:shd w:val="clear" w:color="auto" w:fill="2E74B5"/>
          </w:tcPr>
          <w:p>
            <w:r>
              <w:rPr>
                <w:rFonts w:ascii="Meiryo UI" w:hAnsi="Meiryo UI"/>
                <w:b/>
                <w:color w:val="FFFFFF"/>
                <w:sz w:val="18"/>
              </w:rPr>
              <w:t>リスク名</w:t>
            </w:r>
          </w:p>
        </w:tc>
        <w:tc>
          <w:tcPr>
            <w:tcW w:type="dxa" w:w="1344"/>
            <w:shd w:val="clear" w:color="auto" w:fill="2E74B5"/>
          </w:tcPr>
          <w:p>
            <w:r>
              <w:rPr>
                <w:rFonts w:ascii="Meiryo UI" w:hAnsi="Meiryo UI"/>
                <w:b/>
                <w:color w:val="FFFFFF"/>
                <w:sz w:val="18"/>
              </w:rPr>
              <w:t>概要</w:t>
            </w:r>
          </w:p>
        </w:tc>
        <w:tc>
          <w:tcPr>
            <w:tcW w:type="dxa" w:w="1344"/>
            <w:shd w:val="clear" w:color="auto" w:fill="2E74B5"/>
          </w:tcPr>
          <w:p>
            <w:r>
              <w:rPr>
                <w:rFonts w:ascii="Meiryo UI" w:hAnsi="Meiryo UI"/>
                <w:b/>
                <w:color w:val="FFFFFF"/>
                <w:sz w:val="18"/>
              </w:rPr>
              <w:t>発生確率</w:t>
            </w:r>
          </w:p>
        </w:tc>
        <w:tc>
          <w:tcPr>
            <w:tcW w:type="dxa" w:w="1344"/>
            <w:shd w:val="clear" w:color="auto" w:fill="2E74B5"/>
          </w:tcPr>
          <w:p>
            <w:r>
              <w:rPr>
                <w:rFonts w:ascii="Meiryo UI" w:hAnsi="Meiryo UI"/>
                <w:b/>
                <w:color w:val="FFFFFF"/>
                <w:sz w:val="18"/>
              </w:rPr>
              <w:t>インパクト</w:t>
            </w:r>
          </w:p>
        </w:tc>
        <w:tc>
          <w:tcPr>
            <w:tcW w:type="dxa" w:w="1344"/>
            <w:shd w:val="clear" w:color="auto" w:fill="2E74B5"/>
          </w:tcPr>
          <w:p>
            <w:r>
              <w:rPr>
                <w:rFonts w:ascii="Meiryo UI" w:hAnsi="Meiryo UI"/>
                <w:b/>
                <w:color w:val="FFFFFF"/>
                <w:sz w:val="18"/>
              </w:rPr>
              <w:t>優先度</w:t>
            </w:r>
          </w:p>
        </w:tc>
        <w:tc>
          <w:tcPr>
            <w:tcW w:type="dxa" w:w="1344"/>
            <w:shd w:val="clear" w:color="auto" w:fill="2E74B5"/>
          </w:tcPr>
          <w:p>
            <w:r>
              <w:rPr>
                <w:rFonts w:ascii="Meiryo UI" w:hAnsi="Meiryo UI"/>
                <w:b/>
                <w:color w:val="FFFFFF"/>
                <w:sz w:val="18"/>
              </w:rPr>
              <w:t>備考・対応策</w:t>
            </w:r>
          </w:p>
        </w:tc>
      </w:tr>
      <w:tr>
        <w:tc>
          <w:tcPr>
            <w:tcW w:type="dxa" w:w="1344"/>
          </w:tcPr>
          <w:p>
            <w:r>
              <w:rPr>
                <w:rFonts w:ascii="Meiryo UI" w:hAnsi="Meiryo UI"/>
                <w:sz w:val="18"/>
              </w:rPr>
              <w:t>1</w:t>
            </w:r>
          </w:p>
        </w:tc>
        <w:tc>
          <w:tcPr>
            <w:tcW w:type="dxa" w:w="1344"/>
          </w:tcPr>
          <w:p>
            <w:r>
              <w:rPr>
                <w:rFonts w:ascii="Meiryo UI" w:hAnsi="Meiryo UI"/>
                <w:sz w:val="18"/>
              </w:rPr>
              <w:t>日銀追加利上げによるWACC上昇</w:t>
            </w:r>
          </w:p>
        </w:tc>
        <w:tc>
          <w:tcPr>
            <w:tcW w:type="dxa" w:w="1344"/>
          </w:tcPr>
          <w:p>
            <w:r>
              <w:rPr>
                <w:rFonts w:ascii="Meiryo UI" w:hAnsi="Meiryo UI"/>
                <w:sz w:val="18"/>
              </w:rPr>
              <w:t>JGB 10Y上昇がWACCを押し上げ、DCF理論株価を急低下させる。利上げが1%進むごとに理論株価は35〜40%低下する感応度を持つ</w:t>
            </w:r>
          </w:p>
        </w:tc>
        <w:tc>
          <w:tcPr>
            <w:tcW w:type="dxa" w:w="1344"/>
          </w:tcPr>
          <w:p>
            <w:r>
              <w:rPr>
                <w:rFonts w:ascii="Meiryo UI" w:hAnsi="Meiryo UI"/>
                <w:sz w:val="18"/>
              </w:rPr>
              <w:t>高</w:t>
            </w:r>
          </w:p>
        </w:tc>
        <w:tc>
          <w:tcPr>
            <w:tcW w:type="dxa" w:w="1344"/>
          </w:tcPr>
          <w:p>
            <w:r>
              <w:rPr>
                <w:rFonts w:ascii="Meiryo UI" w:hAnsi="Meiryo UI"/>
                <w:sz w:val="18"/>
              </w:rPr>
              <w:t>大</w:t>
            </w:r>
          </w:p>
        </w:tc>
        <w:tc>
          <w:tcPr>
            <w:tcW w:type="dxa" w:w="1344"/>
          </w:tcPr>
          <w:p>
            <w:r>
              <w:rPr>
                <w:rFonts w:ascii="Meiryo UI" w:hAnsi="Meiryo UI"/>
                <w:sz w:val="18"/>
              </w:rPr>
              <w:t>🔴 Critical</w:t>
            </w:r>
          </w:p>
        </w:tc>
        <w:tc>
          <w:tcPr>
            <w:tcW w:type="dxa" w:w="1344"/>
          </w:tcPr>
          <w:p>
            <w:r>
              <w:rPr>
                <w:rFonts w:ascii="Meiryo UI" w:hAnsi="Meiryo UI"/>
                <w:sz w:val="18"/>
              </w:rPr>
              <w:t>JGB 10Yが2.5%超になると現在株価水準に理論株価が収束。日銀会合の都度モデル更新が必要</w:t>
            </w:r>
          </w:p>
        </w:tc>
      </w:tr>
      <w:tr>
        <w:tc>
          <w:tcPr>
            <w:tcW w:type="dxa" w:w="1344"/>
            <w:shd w:val="clear" w:color="auto" w:fill="DDEBF7"/>
          </w:tcPr>
          <w:p>
            <w:r>
              <w:rPr>
                <w:rFonts w:ascii="Meiryo UI" w:hAnsi="Meiryo UI"/>
                <w:sz w:val="18"/>
              </w:rPr>
              <w:t>2</w:t>
            </w:r>
          </w:p>
        </w:tc>
        <w:tc>
          <w:tcPr>
            <w:tcW w:type="dxa" w:w="1344"/>
            <w:shd w:val="clear" w:color="auto" w:fill="DDEBF7"/>
          </w:tcPr>
          <w:p>
            <w:r>
              <w:rPr>
                <w:rFonts w:ascii="Meiryo UI" w:hAnsi="Meiryo UI"/>
                <w:sz w:val="18"/>
              </w:rPr>
              <w:t>新リース会計による財務制限条項抵触</w:t>
            </w:r>
          </w:p>
        </w:tc>
        <w:tc>
          <w:tcPr>
            <w:tcW w:type="dxa" w:w="1344"/>
            <w:shd w:val="clear" w:color="auto" w:fill="DDEBF7"/>
          </w:tcPr>
          <w:p>
            <w:r>
              <w:rPr>
                <w:rFonts w:ascii="Meiryo UI" w:hAnsi="Meiryo UI"/>
                <w:sz w:val="18"/>
              </w:rPr>
              <w:t>IFRS16相当の新リース会計で自己資本比率が44.4%→15.5%に急落。銀行借入・社債の財務制限条項（コベナンツ）のトリガーとなるリスク</w:t>
            </w:r>
          </w:p>
        </w:tc>
        <w:tc>
          <w:tcPr>
            <w:tcW w:type="dxa" w:w="1344"/>
            <w:shd w:val="clear" w:color="auto" w:fill="DDEBF7"/>
          </w:tcPr>
          <w:p>
            <w:r>
              <w:rPr>
                <w:rFonts w:ascii="Meiryo UI" w:hAnsi="Meiryo UI"/>
                <w:sz w:val="18"/>
              </w:rPr>
              <w:t>中</w:t>
            </w:r>
          </w:p>
        </w:tc>
        <w:tc>
          <w:tcPr>
            <w:tcW w:type="dxa" w:w="1344"/>
            <w:shd w:val="clear" w:color="auto" w:fill="DDEBF7"/>
          </w:tcPr>
          <w:p>
            <w:r>
              <w:rPr>
                <w:rFonts w:ascii="Meiryo UI" w:hAnsi="Meiryo UI"/>
                <w:sz w:val="18"/>
              </w:rPr>
              <w:t>大</w:t>
            </w:r>
          </w:p>
        </w:tc>
        <w:tc>
          <w:tcPr>
            <w:tcW w:type="dxa" w:w="1344"/>
            <w:shd w:val="clear" w:color="auto" w:fill="DDEBF7"/>
          </w:tcPr>
          <w:p>
            <w:r>
              <w:rPr>
                <w:rFonts w:ascii="Meiryo UI" w:hAnsi="Meiryo UI"/>
                <w:sz w:val="18"/>
              </w:rPr>
              <w:t>🟠 High</w:t>
            </w:r>
          </w:p>
        </w:tc>
        <w:tc>
          <w:tcPr>
            <w:tcW w:type="dxa" w:w="1344"/>
            <w:shd w:val="clear" w:color="auto" w:fill="DDEBF7"/>
          </w:tcPr>
          <w:p>
            <w:r>
              <w:rPr>
                <w:rFonts w:ascii="Meiryo UI" w:hAnsi="Meiryo UI"/>
                <w:sz w:val="18"/>
              </w:rPr>
              <w:t>後述の財務制限条項チェック参照。会社側がコベナンツ除外合意を取得済みかが最重要確認事項</w:t>
            </w:r>
          </w:p>
        </w:tc>
      </w:tr>
      <w:tr>
        <w:tc>
          <w:tcPr>
            <w:tcW w:type="dxa" w:w="1344"/>
          </w:tcPr>
          <w:p>
            <w:r>
              <w:rPr>
                <w:rFonts w:ascii="Meiryo UI" w:hAnsi="Meiryo UI"/>
                <w:sz w:val="18"/>
              </w:rPr>
              <w:t>3</w:t>
            </w:r>
          </w:p>
        </w:tc>
        <w:tc>
          <w:tcPr>
            <w:tcW w:type="dxa" w:w="1344"/>
          </w:tcPr>
          <w:p>
            <w:r>
              <w:rPr>
                <w:rFonts w:ascii="Meiryo UI" w:hAnsi="Meiryo UI"/>
                <w:sz w:val="18"/>
              </w:rPr>
              <w:t>月次受注の下方トレンド定着</w:t>
            </w:r>
          </w:p>
        </w:tc>
        <w:tc>
          <w:tcPr>
            <w:tcW w:type="dxa" w:w="1344"/>
          </w:tcPr>
          <w:p>
            <w:r>
              <w:rPr>
                <w:rFonts w:ascii="Meiryo UI" w:hAnsi="Meiryo UI"/>
                <w:sz w:val="18"/>
              </w:rPr>
              <w:t>3月受注が前年同月比-5%（会社説明では実質横ばい）。Build Set案件を除いた本業受注が継続的にマイナスとなった場合、FCF成長率3%の前提が崩壊する</w:t>
            </w:r>
          </w:p>
        </w:tc>
        <w:tc>
          <w:tcPr>
            <w:tcW w:type="dxa" w:w="1344"/>
          </w:tcPr>
          <w:p>
            <w:r>
              <w:rPr>
                <w:rFonts w:ascii="Meiryo UI" w:hAnsi="Meiryo UI"/>
                <w:sz w:val="18"/>
              </w:rPr>
              <w:t>中</w:t>
            </w:r>
          </w:p>
        </w:tc>
        <w:tc>
          <w:tcPr>
            <w:tcW w:type="dxa" w:w="1344"/>
          </w:tcPr>
          <w:p>
            <w:r>
              <w:rPr>
                <w:rFonts w:ascii="Meiryo UI" w:hAnsi="Meiryo UI"/>
                <w:sz w:val="18"/>
              </w:rPr>
              <w:t>大</w:t>
            </w:r>
          </w:p>
        </w:tc>
        <w:tc>
          <w:tcPr>
            <w:tcW w:type="dxa" w:w="1344"/>
          </w:tcPr>
          <w:p>
            <w:r>
              <w:rPr>
                <w:rFonts w:ascii="Meiryo UI" w:hAnsi="Meiryo UI"/>
                <w:sz w:val="18"/>
              </w:rPr>
              <w:t>🟠 High</w:t>
            </w:r>
          </w:p>
        </w:tc>
        <w:tc>
          <w:tcPr>
            <w:tcW w:type="dxa" w:w="1344"/>
          </w:tcPr>
          <w:p>
            <w:r>
              <w:rPr>
                <w:rFonts w:ascii="Meiryo UI" w:hAnsi="Meiryo UI"/>
                <w:sz w:val="18"/>
              </w:rPr>
              <w:t>FCF成長率が3%→0%になると理論株価は約30%低下。受注トレンドの3ヶ月移動平均を継続監視すること</w:t>
            </w:r>
          </w:p>
        </w:tc>
      </w:tr>
      <w:tr>
        <w:tc>
          <w:tcPr>
            <w:tcW w:type="dxa" w:w="1344"/>
            <w:shd w:val="clear" w:color="auto" w:fill="DDEBF7"/>
          </w:tcPr>
          <w:p>
            <w:r>
              <w:rPr>
                <w:rFonts w:ascii="Meiryo UI" w:hAnsi="Meiryo UI"/>
                <w:sz w:val="18"/>
              </w:rPr>
              <w:t>4</w:t>
            </w:r>
          </w:p>
        </w:tc>
        <w:tc>
          <w:tcPr>
            <w:tcW w:type="dxa" w:w="1344"/>
            <w:shd w:val="clear" w:color="auto" w:fill="DDEBF7"/>
          </w:tcPr>
          <w:p>
            <w:r>
              <w:rPr>
                <w:rFonts w:ascii="Meiryo UI" w:hAnsi="Meiryo UI"/>
                <w:sz w:val="18"/>
              </w:rPr>
              <w:t>人口動態悪化によるターミナル成長率の下方修正</w:t>
            </w:r>
          </w:p>
        </w:tc>
        <w:tc>
          <w:tcPr>
            <w:tcW w:type="dxa" w:w="1344"/>
            <w:shd w:val="clear" w:color="auto" w:fill="DDEBF7"/>
          </w:tcPr>
          <w:p>
            <w:r>
              <w:rPr>
                <w:rFonts w:ascii="Meiryo UI" w:hAnsi="Meiryo UI"/>
                <w:sz w:val="18"/>
              </w:rPr>
              <w:t>日本の人口減少・世帯数縮小が加速した場合、賃貸住宅需要が長期的に低下し、ターミナル成長率1.0%の前提が維持できなくなる</w:t>
            </w:r>
          </w:p>
        </w:tc>
        <w:tc>
          <w:tcPr>
            <w:tcW w:type="dxa" w:w="1344"/>
            <w:shd w:val="clear" w:color="auto" w:fill="DDEBF7"/>
          </w:tcPr>
          <w:p>
            <w:r>
              <w:rPr>
                <w:rFonts w:ascii="Meiryo UI" w:hAnsi="Meiryo UI"/>
                <w:sz w:val="18"/>
              </w:rPr>
              <w:t>低</w:t>
            </w:r>
          </w:p>
        </w:tc>
        <w:tc>
          <w:tcPr>
            <w:tcW w:type="dxa" w:w="1344"/>
            <w:shd w:val="clear" w:color="auto" w:fill="DDEBF7"/>
          </w:tcPr>
          <w:p>
            <w:r>
              <w:rPr>
                <w:rFonts w:ascii="Meiryo UI" w:hAnsi="Meiryo UI"/>
                <w:sz w:val="18"/>
              </w:rPr>
              <w:t>大</w:t>
            </w:r>
          </w:p>
        </w:tc>
        <w:tc>
          <w:tcPr>
            <w:tcW w:type="dxa" w:w="1344"/>
            <w:shd w:val="clear" w:color="auto" w:fill="DDEBF7"/>
          </w:tcPr>
          <w:p>
            <w:r>
              <w:rPr>
                <w:rFonts w:ascii="Meiryo UI" w:hAnsi="Meiryo UI"/>
                <w:sz w:val="18"/>
              </w:rPr>
              <w:t>🟡 Medium</w:t>
            </w:r>
          </w:p>
        </w:tc>
        <w:tc>
          <w:tcPr>
            <w:tcW w:type="dxa" w:w="1344"/>
            <w:shd w:val="clear" w:color="auto" w:fill="DDEBF7"/>
          </w:tcPr>
          <w:p>
            <w:r>
              <w:rPr>
                <w:rFonts w:ascii="Meiryo UI" w:hAnsi="Meiryo UI"/>
                <w:sz w:val="18"/>
              </w:rPr>
              <w:t>ターミナル成長率が1.0%→0%になると理論株価は約20%低下。10年単位の構造リスクであり長期保有判断に影響</w:t>
            </w:r>
          </w:p>
        </w:tc>
      </w:tr>
      <w:tr>
        <w:tc>
          <w:tcPr>
            <w:tcW w:type="dxa" w:w="1344"/>
          </w:tcPr>
          <w:p>
            <w:r>
              <w:rPr>
                <w:rFonts w:ascii="Meiryo UI" w:hAnsi="Meiryo UI"/>
                <w:sz w:val="18"/>
              </w:rPr>
              <w:t>5</w:t>
            </w:r>
          </w:p>
        </w:tc>
        <w:tc>
          <w:tcPr>
            <w:tcW w:type="dxa" w:w="1344"/>
          </w:tcPr>
          <w:p>
            <w:r>
              <w:rPr>
                <w:rFonts w:ascii="Meiryo UI" w:hAnsi="Meiryo UI"/>
                <w:sz w:val="18"/>
              </w:rPr>
              <w:t>入居率の反転低下</w:t>
            </w:r>
          </w:p>
        </w:tc>
        <w:tc>
          <w:tcPr>
            <w:tcW w:type="dxa" w:w="1344"/>
          </w:tcPr>
          <w:p>
            <w:r>
              <w:rPr>
                <w:rFonts w:ascii="Meiryo UI" w:hAnsi="Meiryo UI"/>
                <w:sz w:val="18"/>
              </w:rPr>
              <w:t>現在97.98%と高水準だが、新規賃貸供給増加・退去増加・空き家問題の深刻化で入居率が96%台に低下すると管理収益が悪化しFCFを毀損する</w:t>
            </w:r>
          </w:p>
        </w:tc>
        <w:tc>
          <w:tcPr>
            <w:tcW w:type="dxa" w:w="1344"/>
          </w:tcPr>
          <w:p>
            <w:r>
              <w:rPr>
                <w:rFonts w:ascii="Meiryo UI" w:hAnsi="Meiryo UI"/>
                <w:sz w:val="18"/>
              </w:rPr>
              <w:t>低</w:t>
            </w:r>
          </w:p>
        </w:tc>
        <w:tc>
          <w:tcPr>
            <w:tcW w:type="dxa" w:w="1344"/>
          </w:tcPr>
          <w:p>
            <w:r>
              <w:rPr>
                <w:rFonts w:ascii="Meiryo UI" w:hAnsi="Meiryo UI"/>
                <w:sz w:val="18"/>
              </w:rPr>
              <w:t>中</w:t>
            </w:r>
          </w:p>
        </w:tc>
        <w:tc>
          <w:tcPr>
            <w:tcW w:type="dxa" w:w="1344"/>
          </w:tcPr>
          <w:p>
            <w:r>
              <w:rPr>
                <w:rFonts w:ascii="Meiryo UI" w:hAnsi="Meiryo UI"/>
                <w:sz w:val="18"/>
              </w:rPr>
              <w:t>🟢 Low</w:t>
            </w:r>
          </w:p>
        </w:tc>
        <w:tc>
          <w:tcPr>
            <w:tcW w:type="dxa" w:w="1344"/>
          </w:tcPr>
          <w:p>
            <w:r>
              <w:rPr>
                <w:rFonts w:ascii="Meiryo UI" w:hAnsi="Meiryo UI"/>
                <w:sz w:val="18"/>
              </w:rPr>
              <w:t>入居率1%低下でFCFが約3〜5%減少すると推定。毎月の月次データで97%台維持を確認すること</w:t>
            </w:r>
          </w:p>
        </w:tc>
      </w:tr>
      <w:tr>
        <w:tc>
          <w:tcPr>
            <w:tcW w:type="dxa" w:w="1344"/>
            <w:shd w:val="clear" w:color="auto" w:fill="DDEBF7"/>
          </w:tcPr>
          <w:p>
            <w:r>
              <w:rPr>
                <w:rFonts w:ascii="Meiryo UI" w:hAnsi="Meiryo UI"/>
                <w:sz w:val="18"/>
              </w:rPr>
              <w:t>6</w:t>
            </w:r>
          </w:p>
        </w:tc>
        <w:tc>
          <w:tcPr>
            <w:tcW w:type="dxa" w:w="1344"/>
            <w:shd w:val="clear" w:color="auto" w:fill="DDEBF7"/>
          </w:tcPr>
          <w:p>
            <w:r>
              <w:rPr>
                <w:rFonts w:ascii="Meiryo UI" w:hAnsi="Meiryo UI"/>
                <w:sz w:val="18"/>
              </w:rPr>
              <w:t>ソラスト特別利益の計上遅延・縮小</w:t>
            </w:r>
          </w:p>
        </w:tc>
        <w:tc>
          <w:tcPr>
            <w:tcW w:type="dxa" w:w="1344"/>
            <w:shd w:val="clear" w:color="auto" w:fill="DDEBF7"/>
          </w:tcPr>
          <w:p>
            <w:r>
              <w:rPr>
                <w:rFonts w:ascii="Meiryo UI" w:hAnsi="Meiryo UI"/>
                <w:sz w:val="18"/>
              </w:rPr>
              <w:t>2026年8月予定のソラスト株売却で約100億円の特別利益を見込むが、株価下落・売却中止・計上時期のズレが生じた場合、市場の期待外れとなり株価が急落するリスク</w:t>
            </w:r>
          </w:p>
        </w:tc>
        <w:tc>
          <w:tcPr>
            <w:tcW w:type="dxa" w:w="1344"/>
            <w:shd w:val="clear" w:color="auto" w:fill="DDEBF7"/>
          </w:tcPr>
          <w:p>
            <w:r>
              <w:rPr>
                <w:rFonts w:ascii="Meiryo UI" w:hAnsi="Meiryo UI"/>
                <w:sz w:val="18"/>
              </w:rPr>
              <w:t>中</w:t>
            </w:r>
          </w:p>
        </w:tc>
        <w:tc>
          <w:tcPr>
            <w:tcW w:type="dxa" w:w="1344"/>
            <w:shd w:val="clear" w:color="auto" w:fill="DDEBF7"/>
          </w:tcPr>
          <w:p>
            <w:r>
              <w:rPr>
                <w:rFonts w:ascii="Meiryo UI" w:hAnsi="Meiryo UI"/>
                <w:sz w:val="18"/>
              </w:rPr>
              <w:t>小</w:t>
            </w:r>
          </w:p>
        </w:tc>
        <w:tc>
          <w:tcPr>
            <w:tcW w:type="dxa" w:w="1344"/>
            <w:shd w:val="clear" w:color="auto" w:fill="DDEBF7"/>
          </w:tcPr>
          <w:p>
            <w:r>
              <w:rPr>
                <w:rFonts w:ascii="Meiryo UI" w:hAnsi="Meiryo UI"/>
                <w:sz w:val="18"/>
              </w:rPr>
              <w:t>🟢 Low</w:t>
            </w:r>
          </w:p>
        </w:tc>
        <w:tc>
          <w:tcPr>
            <w:tcW w:type="dxa" w:w="1344"/>
            <w:shd w:val="clear" w:color="auto" w:fill="DDEBF7"/>
          </w:tcPr>
          <w:p>
            <w:r>
              <w:rPr>
                <w:rFonts w:ascii="Meiryo UI" w:hAnsi="Meiryo UI"/>
                <w:sz w:val="18"/>
              </w:rPr>
              <w:t>特別利益はDCFモデルのFCFに含めていないため、バリュエーション上の影響は軽微。センチメントへの短期影響に注意</w:t>
            </w:r>
          </w:p>
        </w:tc>
      </w:tr>
      <w:tr>
        <w:tc>
          <w:tcPr>
            <w:tcW w:type="dxa" w:w="1344"/>
          </w:tcPr>
          <w:p>
            <w:r>
              <w:rPr>
                <w:rFonts w:ascii="Meiryo UI" w:hAnsi="Meiryo UI"/>
                <w:sz w:val="18"/>
              </w:rPr>
              <w:t>7</w:t>
            </w:r>
          </w:p>
        </w:tc>
        <w:tc>
          <w:tcPr>
            <w:tcW w:type="dxa" w:w="1344"/>
          </w:tcPr>
          <w:p>
            <w:r>
              <w:rPr>
                <w:rFonts w:ascii="Meiryo UI" w:hAnsi="Meiryo UI"/>
                <w:sz w:val="18"/>
              </w:rPr>
              <w:t>格付け低下による資金調達コスト上昇</w:t>
            </w:r>
          </w:p>
        </w:tc>
        <w:tc>
          <w:tcPr>
            <w:tcW w:type="dxa" w:w="1344"/>
          </w:tcPr>
          <w:p>
            <w:r>
              <w:rPr>
                <w:rFonts w:ascii="Meiryo UI" w:hAnsi="Meiryo UI"/>
                <w:sz w:val="18"/>
              </w:rPr>
              <w:t>新リース会計後の財務指標悪化が格付け機関の評価変更を招いた場合、社債・借入金利が上昇しWACCおよびFCFを同時に悪化させる二重打撃となる</w:t>
            </w:r>
          </w:p>
        </w:tc>
        <w:tc>
          <w:tcPr>
            <w:tcW w:type="dxa" w:w="1344"/>
          </w:tcPr>
          <w:p>
            <w:r>
              <w:rPr>
                <w:rFonts w:ascii="Meiryo UI" w:hAnsi="Meiryo UI"/>
                <w:sz w:val="18"/>
              </w:rPr>
              <w:t>低</w:t>
            </w:r>
          </w:p>
        </w:tc>
        <w:tc>
          <w:tcPr>
            <w:tcW w:type="dxa" w:w="1344"/>
          </w:tcPr>
          <w:p>
            <w:r>
              <w:rPr>
                <w:rFonts w:ascii="Meiryo UI" w:hAnsi="Meiryo UI"/>
                <w:sz w:val="18"/>
              </w:rPr>
              <w:t>大</w:t>
            </w:r>
          </w:p>
        </w:tc>
        <w:tc>
          <w:tcPr>
            <w:tcW w:type="dxa" w:w="1344"/>
          </w:tcPr>
          <w:p>
            <w:r>
              <w:rPr>
                <w:rFonts w:ascii="Meiryo UI" w:hAnsi="Meiryo UI"/>
                <w:sz w:val="18"/>
              </w:rPr>
              <w:t>🟡 Medium</w:t>
            </w:r>
          </w:p>
        </w:tc>
        <w:tc>
          <w:tcPr>
            <w:tcW w:type="dxa" w:w="1344"/>
          </w:tcPr>
          <w:p>
            <w:r>
              <w:rPr>
                <w:rFonts w:ascii="Meiryo UI" w:hAnsi="Meiryo UI"/>
                <w:sz w:val="18"/>
              </w:rPr>
              <w:t>格付けが1ノッチ下がると負債コストが0.3〜0.5%上昇し、WACCが0.1〜0.2%上昇する見込み</w:t>
            </w:r>
          </w:p>
        </w:tc>
      </w:tr>
    </w:tbl>
    <w:p/>
    <w:p>
      <w:r>
        <w:t>──────────────────────────────────────────────────</w:t>
      </w:r>
    </w:p>
    <w:p/>
    <w:p>
      <w:pPr>
        <w:pStyle w:val="Heading3"/>
      </w:pPr>
      <w:r>
        <w:rPr>
          <w:rFonts w:ascii="Meiryo UI" w:hAnsi="Meiryo UI"/>
          <w:color w:val="2E74B5"/>
        </w:rPr>
        <w:t>7-2. 財務制限条項（コベナンツ）リスク評価</w:t>
      </w:r>
    </w:p>
    <w:p/>
    <w:p>
      <w:r>
        <w:rPr>
          <w:rFonts w:ascii="Meiryo UI" w:hAnsi="Meiryo UI"/>
          <w:sz w:val="20"/>
        </w:rPr>
        <w:t>新リース会計による自己資本比率44.4%→15.5%は最重要の財務リスクであるため、コベナンツへの影響を詳細に検討する。</w:t>
      </w:r>
    </w:p>
    <w:p/>
    <w:p>
      <w:pPr>
        <w:pStyle w:val="Heading4"/>
      </w:pPr>
      <w:r>
        <w:rPr>
          <w:rFonts w:ascii="Meiryo UI" w:hAnsi="Meiryo UI"/>
          <w:color w:val="2E74B5"/>
        </w:rPr>
        <w:t>コベナンツ基本チェック</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確認項目</w:t>
            </w:r>
          </w:p>
        </w:tc>
        <w:tc>
          <w:tcPr>
            <w:tcW w:type="dxa" w:w="3135"/>
            <w:shd w:val="clear" w:color="auto" w:fill="2E74B5"/>
          </w:tcPr>
          <w:p>
            <w:r>
              <w:rPr>
                <w:rFonts w:ascii="Meiryo UI" w:hAnsi="Meiryo UI"/>
                <w:b/>
                <w:color w:val="FFFFFF"/>
                <w:sz w:val="18"/>
              </w:rPr>
              <w:t>内容</w:t>
            </w:r>
          </w:p>
        </w:tc>
        <w:tc>
          <w:tcPr>
            <w:tcW w:type="dxa" w:w="3135"/>
            <w:shd w:val="clear" w:color="auto" w:fill="2E74B5"/>
          </w:tcPr>
          <w:p>
            <w:r>
              <w:rPr>
                <w:rFonts w:ascii="Meiryo UI" w:hAnsi="Meiryo UI"/>
                <w:b/>
                <w:color w:val="FFFFFF"/>
                <w:sz w:val="18"/>
              </w:rPr>
              <w:t>評価</w:t>
            </w:r>
          </w:p>
        </w:tc>
      </w:tr>
      <w:tr>
        <w:tc>
          <w:tcPr>
            <w:tcW w:type="dxa" w:w="3135"/>
          </w:tcPr>
          <w:p>
            <w:r>
              <w:rPr>
                <w:rFonts w:ascii="Meiryo UI" w:hAnsi="Meiryo UI"/>
                <w:sz w:val="18"/>
              </w:rPr>
              <w:t>条項の存在</w:t>
            </w:r>
          </w:p>
        </w:tc>
        <w:tc>
          <w:tcPr>
            <w:tcW w:type="dxa" w:w="3135"/>
          </w:tcPr>
          <w:p>
            <w:r>
              <w:rPr>
                <w:rFonts w:ascii="Meiryo UI" w:hAnsi="Meiryo UI"/>
                <w:sz w:val="18"/>
              </w:rPr>
              <w:t>大東建託は銀行借入・社債を有しており、一般的にコベナンツが設定されていると推定される。具体的な条項内容は有価証券報告書・社債要項で要確認</w:t>
            </w:r>
          </w:p>
        </w:tc>
        <w:tc>
          <w:tcPr>
            <w:tcW w:type="dxa" w:w="3135"/>
          </w:tcPr>
          <w:p>
            <w:r>
              <w:rPr>
                <w:rFonts w:ascii="Meiryo UI" w:hAnsi="Meiryo UI"/>
                <w:sz w:val="18"/>
              </w:rPr>
              <w:t>要確認</w:t>
            </w:r>
          </w:p>
        </w:tc>
      </w:tr>
      <w:tr>
        <w:tc>
          <w:tcPr>
            <w:tcW w:type="dxa" w:w="3135"/>
            <w:shd w:val="clear" w:color="auto" w:fill="DDEBF7"/>
          </w:tcPr>
          <w:p>
            <w:r>
              <w:rPr>
                <w:rFonts w:ascii="Meiryo UI" w:hAnsi="Meiryo UI"/>
                <w:sz w:val="18"/>
              </w:rPr>
              <w:t>典型的トリガー指標</w:t>
            </w:r>
          </w:p>
        </w:tc>
        <w:tc>
          <w:tcPr>
            <w:tcW w:type="dxa" w:w="3135"/>
            <w:shd w:val="clear" w:color="auto" w:fill="DDEBF7"/>
          </w:tcPr>
          <w:p>
            <w:r>
              <w:rPr>
                <w:rFonts w:ascii="Meiryo UI" w:hAnsi="Meiryo UI"/>
                <w:sz w:val="18"/>
              </w:rPr>
              <w:t>自己資本比率（一般的に30〜40%を下限とするケースが多い）、純資産額の維持（一般的に直近期末比75%以上）、D/Eレシオ（一般的に2.0倍以下）</w:t>
            </w:r>
          </w:p>
        </w:tc>
        <w:tc>
          <w:tcPr>
            <w:tcW w:type="dxa" w:w="3135"/>
            <w:shd w:val="clear" w:color="auto" w:fill="DDEBF7"/>
          </w:tcPr>
          <w:p>
            <w:r>
              <w:rPr>
                <w:rFonts w:ascii="Meiryo UI" w:hAnsi="Meiryo UI"/>
                <w:sz w:val="18"/>
              </w:rPr>
              <w:t>—</w:t>
            </w:r>
          </w:p>
        </w:tc>
      </w:tr>
      <w:tr>
        <w:tc>
          <w:tcPr>
            <w:tcW w:type="dxa" w:w="3135"/>
          </w:tcPr>
          <w:p>
            <w:r>
              <w:rPr>
                <w:rFonts w:ascii="Meiryo UI" w:hAnsi="Meiryo UI"/>
                <w:sz w:val="18"/>
              </w:rPr>
              <w:t>現状値（現行会計）</w:t>
            </w:r>
          </w:p>
        </w:tc>
        <w:tc>
          <w:tcPr>
            <w:tcW w:type="dxa" w:w="3135"/>
          </w:tcPr>
          <w:p>
            <w:r>
              <w:rPr>
                <w:rFonts w:ascii="Meiryo UI" w:hAnsi="Meiryo UI"/>
                <w:sz w:val="18"/>
              </w:rPr>
              <w:t>自己資本比率: 44.4%（条項閾値30〜40%なら余裕あり）</w:t>
            </w:r>
          </w:p>
        </w:tc>
        <w:tc>
          <w:tcPr>
            <w:tcW w:type="dxa" w:w="3135"/>
          </w:tcPr>
          <w:p>
            <w:r>
              <w:rPr>
                <w:rFonts w:ascii="Meiryo UI" w:hAnsi="Meiryo UI"/>
                <w:sz w:val="18"/>
              </w:rPr>
              <w:t>🟢 現状問題なし</w:t>
            </w:r>
          </w:p>
        </w:tc>
      </w:tr>
      <w:tr>
        <w:tc>
          <w:tcPr>
            <w:tcW w:type="dxa" w:w="3135"/>
            <w:shd w:val="clear" w:color="auto" w:fill="DDEBF7"/>
          </w:tcPr>
          <w:p>
            <w:r>
              <w:rPr>
                <w:rFonts w:ascii="Meiryo UI" w:hAnsi="Meiryo UI"/>
                <w:sz w:val="18"/>
              </w:rPr>
              <w:t>新リース会計適用後の推計値</w:t>
            </w:r>
          </w:p>
        </w:tc>
        <w:tc>
          <w:tcPr>
            <w:tcW w:type="dxa" w:w="3135"/>
            <w:shd w:val="clear" w:color="auto" w:fill="DDEBF7"/>
          </w:tcPr>
          <w:p>
            <w:r>
              <w:rPr>
                <w:rFonts w:ascii="Meiryo UI" w:hAnsi="Meiryo UI"/>
                <w:sz w:val="18"/>
              </w:rPr>
              <w:t>自己資本比率: 15.5%（一般的な30〜40%の閾値を大幅に下回る）</w:t>
            </w:r>
          </w:p>
        </w:tc>
        <w:tc>
          <w:tcPr>
            <w:tcW w:type="dxa" w:w="3135"/>
            <w:shd w:val="clear" w:color="auto" w:fill="DDEBF7"/>
          </w:tcPr>
          <w:p>
            <w:r>
              <w:rPr>
                <w:rFonts w:ascii="Meiryo UI" w:hAnsi="Meiryo UI"/>
                <w:sz w:val="18"/>
              </w:rPr>
              <w:t>🔴 抵触リスク高</w:t>
            </w:r>
          </w:p>
        </w:tc>
      </w:tr>
      <w:tr>
        <w:tc>
          <w:tcPr>
            <w:tcW w:type="dxa" w:w="3135"/>
          </w:tcPr>
          <w:p>
            <w:r>
              <w:rPr>
                <w:rFonts w:ascii="Meiryo UI" w:hAnsi="Meiryo UI"/>
                <w:sz w:val="18"/>
              </w:rPr>
              <w:t>抵触リスク</w:t>
            </w:r>
          </w:p>
        </w:tc>
        <w:tc>
          <w:tcPr>
            <w:tcW w:type="dxa" w:w="3135"/>
          </w:tcPr>
          <w:p>
            <w:r>
              <w:rPr>
                <w:rFonts w:ascii="Meiryo UI" w:hAnsi="Meiryo UI"/>
                <w:sz w:val="18"/>
              </w:rPr>
              <w:t>条項が「現行会計基準ベース」で設定されている場合、新基準移行時点でトリガーに抵触する可能性が高い</w:t>
            </w:r>
          </w:p>
        </w:tc>
        <w:tc>
          <w:tcPr>
            <w:tcW w:type="dxa" w:w="3135"/>
          </w:tcPr>
          <w:p>
            <w:r>
              <w:rPr>
                <w:rFonts w:ascii="Meiryo UI" w:hAnsi="Meiryo UI"/>
                <w:sz w:val="18"/>
              </w:rPr>
              <w:t>🟠 High</w:t>
            </w:r>
          </w:p>
        </w:tc>
      </w:tr>
      <w:tr>
        <w:tc>
          <w:tcPr>
            <w:tcW w:type="dxa" w:w="3135"/>
            <w:shd w:val="clear" w:color="auto" w:fill="DDEBF7"/>
          </w:tcPr>
          <w:p>
            <w:r>
              <w:rPr>
                <w:rFonts w:ascii="Meiryo UI" w:hAnsi="Meiryo UI"/>
                <w:sz w:val="18"/>
              </w:rPr>
              <w:t>想定される帰結</w:t>
            </w:r>
          </w:p>
        </w:tc>
        <w:tc>
          <w:tcPr>
            <w:tcW w:type="dxa" w:w="3135"/>
            <w:shd w:val="clear" w:color="auto" w:fill="DDEBF7"/>
          </w:tcPr>
          <w:p>
            <w:r>
              <w:rPr>
                <w:rFonts w:ascii="Meiryo UI" w:hAnsi="Meiryo UI"/>
                <w:sz w:val="18"/>
              </w:rPr>
              <w:t>期限の利益喪失（借入の即時返済請求）、追加担保の差入要求、金利の引き上げ、コミットメントラインの撤回</w:t>
            </w:r>
          </w:p>
        </w:tc>
        <w:tc>
          <w:tcPr>
            <w:tcW w:type="dxa" w:w="3135"/>
            <w:shd w:val="clear" w:color="auto" w:fill="DDEBF7"/>
          </w:tcPr>
          <w:p>
            <w:r>
              <w:rPr>
                <w:rFonts w:ascii="Meiryo UI" w:hAnsi="Meiryo UI"/>
                <w:sz w:val="18"/>
              </w:rPr>
              <w:t>重大</w:t>
            </w:r>
          </w:p>
        </w:tc>
      </w:tr>
      <w:tr>
        <w:tc>
          <w:tcPr>
            <w:tcW w:type="dxa" w:w="3135"/>
          </w:tcPr>
          <w:p>
            <w:r>
              <w:rPr>
                <w:rFonts w:ascii="Meiryo UI" w:hAnsi="Meiryo UI"/>
                <w:sz w:val="18"/>
              </w:rPr>
              <w:t>会社の対応状況</w:t>
            </w:r>
          </w:p>
        </w:tc>
        <w:tc>
          <w:tcPr>
            <w:tcW w:type="dxa" w:w="3135"/>
          </w:tcPr>
          <w:p>
            <w:r>
              <w:rPr>
                <w:rFonts w:ascii="Meiryo UI" w:hAnsi="Meiryo UI"/>
                <w:sz w:val="18"/>
              </w:rPr>
              <w:t>みずほ証券レポートでは「株主還元方針を含め実態に変化はないと対外公表する」と記載。ただし銀行・社債権者との具体的なコベナンツ対応（除外合意・新基準ベースへの条項改定）については言及なし</w:t>
            </w:r>
          </w:p>
        </w:tc>
        <w:tc>
          <w:tcPr>
            <w:tcW w:type="dxa" w:w="3135"/>
          </w:tcPr>
          <w:p>
            <w:r>
              <w:rPr>
                <w:rFonts w:ascii="Meiryo UI" w:hAnsi="Meiryo UI"/>
                <w:sz w:val="18"/>
              </w:rPr>
              <w:t>⚠️ 要確認</w:t>
            </w:r>
          </w:p>
        </w:tc>
      </w:tr>
    </w:tbl>
    <w:p/>
    <w:p>
      <w:pPr>
        <w:pStyle w:val="Heading4"/>
      </w:pPr>
      <w:r>
        <w:rPr>
          <w:rFonts w:ascii="Meiryo UI" w:hAnsi="Meiryo UI"/>
          <w:color w:val="2E74B5"/>
        </w:rPr>
        <w:t>コベナンツリスクの深層分析</w:t>
      </w:r>
    </w:p>
    <w:p/>
    <w:p>
      <w:r>
        <w:rPr>
          <w:rFonts w:ascii="Meiryo UI" w:hAnsi="Meiryo UI"/>
          <w:sz w:val="20"/>
        </w:rPr>
        <w:t>シナリオA（楽観）: 条項が新会計基準除外合意済み</w:t>
      </w:r>
    </w:p>
    <w:p>
      <w:pPr>
        <w:pStyle w:val="ListBullet"/>
      </w:pPr>
      <w:r>
        <w:rPr>
          <w:rFonts w:ascii="Meiryo UI" w:hAnsi="Meiryo UI"/>
          <w:sz w:val="20"/>
        </w:rPr>
        <w:t>多くの日本企業が新リース会計移行前に「新基準適用後の数値はコベナンツ判定から除外する」旨の合意を銀行側と締結済みのケースが多い</w:t>
      </w:r>
    </w:p>
    <w:p>
      <w:pPr>
        <w:pStyle w:val="ListBullet"/>
      </w:pPr>
      <w:r>
        <w:rPr>
          <w:rFonts w:ascii="Meiryo UI" w:hAnsi="Meiryo UI"/>
          <w:sz w:val="20"/>
        </w:rPr>
        <w:t>大東建託がこの合意を取得済みであれば、コベナンツリスクは実質ゼロ</w:t>
      </w:r>
    </w:p>
    <w:p>
      <w:pPr>
        <w:pStyle w:val="ListBullet"/>
      </w:pPr>
      <w:r>
        <w:rPr>
          <w:rFonts w:ascii="Meiryo UI" w:hAnsi="Meiryo UI"/>
          <w:sz w:val="20"/>
        </w:rPr>
        <w:t>確認方法: 27/3期中の新リース会計開示時のIR・説明資料で「コベナンツへの影響なし」の記載を確認</w:t>
      </w:r>
    </w:p>
    <w:p/>
    <w:p>
      <w:r>
        <w:rPr>
          <w:rFonts w:ascii="Meiryo UI" w:hAnsi="Meiryo UI"/>
          <w:sz w:val="20"/>
        </w:rPr>
        <w:t>シナリオB（悲観）: 条項が旧基準ベースのまま</w:t>
      </w:r>
    </w:p>
    <w:p>
      <w:pPr>
        <w:pStyle w:val="ListBullet"/>
      </w:pPr>
      <w:r>
        <w:rPr>
          <w:rFonts w:ascii="Meiryo UI" w:hAnsi="Meiryo UI"/>
          <w:sz w:val="20"/>
        </w:rPr>
        <w:t>自己資本比率15.5%は一般的なコベナンツ閾値（30%）を大幅に下回る</w:t>
      </w:r>
    </w:p>
    <w:p>
      <w:pPr>
        <w:pStyle w:val="ListBullet"/>
      </w:pPr>
      <w:r>
        <w:rPr>
          <w:rFonts w:ascii="Meiryo UI" w:hAnsi="Meiryo UI"/>
          <w:sz w:val="20"/>
        </w:rPr>
        <w:t>即時の期限の利益喪失リスクは低いが、銀行との協議が必要となりリファイナンスコストが上昇</w:t>
      </w:r>
    </w:p>
    <w:p>
      <w:pPr>
        <w:pStyle w:val="ListBullet"/>
      </w:pPr>
      <w:r>
        <w:rPr>
          <w:rFonts w:ascii="Meiryo UI" w:hAnsi="Meiryo UI"/>
          <w:sz w:val="20"/>
        </w:rPr>
        <w:t>社債の場合は償還・条件変更を要求されるケースも存在</w:t>
      </w:r>
    </w:p>
    <w:p>
      <w:pPr>
        <w:pStyle w:val="ListBullet"/>
      </w:pPr>
      <w:r>
        <w:rPr>
          <w:rFonts w:ascii="Meiryo UI" w:hAnsi="Meiryo UI"/>
          <w:sz w:val="20"/>
        </w:rPr>
        <w:t>このシナリオでは純有利子負債が実質的に増加し、DCFモデルの株式価値を大幅に押し下げる</w:t>
      </w:r>
    </w:p>
    <w:p/>
    <w:p>
      <w:r>
        <w:rPr>
          <w:rFonts w:ascii="Meiryo UI" w:hAnsi="Meiryo UI"/>
          <w:sz w:val="20"/>
        </w:rPr>
        <w:t>DeepResearch優先アクション:</w:t>
      </w:r>
    </w:p>
    <w:p>
      <w:pPr>
        <w:pStyle w:val="ListNumber"/>
      </w:pPr>
      <w:r>
        <w:rPr>
          <w:rFonts w:ascii="Meiryo UI" w:hAnsi="Meiryo UI"/>
          <w:sz w:val="20"/>
        </w:rPr>
        <w:t>直近の有価証券報告書（財務諸表注記）でコベナンツ条項の開示内容を確認</w:t>
      </w:r>
    </w:p>
    <w:p>
      <w:pPr>
        <w:pStyle w:val="ListNumber"/>
      </w:pPr>
      <w:r>
        <w:rPr>
          <w:rFonts w:ascii="Meiryo UI" w:hAnsi="Meiryo UI"/>
          <w:sz w:val="20"/>
        </w:rPr>
        <w:t>5月22日の竹内社長スモールミーティング（ZOOM）で「新リース会計後のコベナンツへの対応状況」を質問項目として設定</w:t>
      </w:r>
    </w:p>
    <w:p>
      <w:pPr>
        <w:pStyle w:val="ListNumber"/>
      </w:pPr>
      <w:r>
        <w:rPr>
          <w:rFonts w:ascii="Meiryo UI" w:hAnsi="Meiryo UI"/>
          <w:sz w:val="20"/>
        </w:rPr>
        <w:t>27/3期中の新リース会計移行開示時に、コベナンツへの言及があるか注視</w:t>
      </w:r>
    </w:p>
    <w:p/>
    <w:p>
      <w:r>
        <w:t>──────────────────────────────────────────────────</w:t>
      </w:r>
    </w:p>
    <w:p/>
    <w:p>
      <w:pPr>
        <w:pStyle w:val="Heading2"/>
      </w:pPr>
      <w:r>
        <w:rPr>
          <w:rFonts w:ascii="Meiryo UI" w:hAnsi="Meiryo UI"/>
          <w:color w:val="2E74B5"/>
        </w:rPr>
        <w:t>8. 深井総合所見</w:t>
      </w:r>
    </w:p>
    <w:p/>
    <w:p>
      <w:r>
        <w:rPr>
          <w:rFonts w:ascii="Meiryo UI" w:hAnsi="Meiryo UI"/>
          <w:sz w:val="20"/>
        </w:rPr>
        <w:t>DCF法に基づく試算では理論株価は現在株価を大幅に上回る結果となったが、これはベースFCF（450億円）と発行済株式数（3,900万株）の推定値に基づくものであり、実績値との乖離がある可能性が高い。本分析の本質的な価値は「WACCの感応度」と「コベナンツリスクの早期発見」にある。</w:t>
      </w:r>
    </w:p>
    <w:p/>
    <w:p>
      <w:r>
        <w:rPr>
          <w:rFonts w:ascii="Meiryo UI" w:hAnsi="Meiryo UI"/>
          <w:sz w:val="20"/>
        </w:rPr>
        <w:t>リスク分析の結果、最も警戒すべきは🔴 Criticalの日銀利上げリスクと🟠 Highの新リース会計コベナンツ抵触リスクの2点である。前者はJGB 10Yが2.5%を超えると理論株価が現在株価水準に収束する。後者は会社側がコベナンツ除外合意を取得済みかどうかで評価が180度変わる。この2点の確認なしに積極的な買い判断を下すことはリスク管理上許容できない。</w:t>
      </w:r>
    </w:p>
    <w:p/>
    <w:p>
      <w:r>
        <w:rPr>
          <w:rFonts w:ascii="Meiryo UI" w:hAnsi="Meiryo UI"/>
          <w:sz w:val="20"/>
        </w:rPr>
        <w:t>投資判断としては、①4月30日の4Q本決算でFCF実績・純有利子負債を確認、②5月22日の社長ミーティングでコベナンツ対応状況を確認、③DCFモデルを実績値で再構築の3ステップを経てから最終判断を行う。現時点での推奨は「中立・要調査継続」。</w:t>
      </w:r>
    </w:p>
    <w:p/>
    <w:p>
      <w:r>
        <w:t>──────────────────────────────────────────────────</w:t>
      </w:r>
    </w:p>
    <w:p/>
    <w:p>
      <w:r>
        <w:rPr>
          <w:rFonts w:ascii="Meiryo UI" w:hAnsi="Meiryo UI"/>
          <w:sz w:val="20"/>
        </w:rPr>
        <w:t xml:space="preserve">本レポートは竹村トレードカンパニー社内分析資料（DCF法 v2 + DeepResearchリスク分析）です。会社共通ルールに基づき全社員に共有されます。  </w:t>
      </w:r>
    </w:p>
    <w:p>
      <w:r>
        <w:rPr>
          <w:rFonts w:ascii="Meiryo UI" w:hAnsi="Meiryo UI"/>
          <w:sz w:val="20"/>
        </w:rPr>
        <w:t>次回更新: 2026-04-30 4Q決算発表後。金田（トレーダー）・豆田（リスク管理）への連携は本レポートと浅井レポートの両方を参照のこと。</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