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大東建託（1878）財務・バリュエーション深層分析レポート</w:t>
      </w:r>
    </w:p>
    <w:p/>
    <w:p/>
    <w:p>
      <w:pPr>
        <w:jc w:val="center"/>
      </w:pPr>
      <w:r>
        <w:rPr>
          <w:rFonts w:ascii="Meiryo UI" w:hAnsi="Meiryo UI"/>
          <w:sz w:val="24"/>
        </w:rPr>
        <w:t>アナリスト：深井</w:t>
      </w:r>
    </w:p>
    <w:p>
      <w:pPr>
        <w:jc w:val="center"/>
      </w:pPr>
      <w:r>
        <w:rPr>
          <w:rFonts w:ascii="Meiryo UI" w:hAnsi="Meiryo UI"/>
          <w:sz w:val="24"/>
        </w:rPr>
        <w:t>分析日：2026-04-02</w:t>
      </w:r>
    </w:p>
    <w:p>
      <w:r>
        <w:br w:type="page"/>
      </w:r>
    </w:p>
    <w:p>
      <w:pPr>
        <w:pStyle w:val="Heading1"/>
      </w:pPr>
      <w:r>
        <w:rPr>
          <w:rFonts w:ascii="Meiryo UI" w:hAnsi="Meiryo UI"/>
          <w:color w:val="1F3864"/>
        </w:rPr>
        <w:t>大東建託（1878）財務・バリュエーション深層分析レポート</w:t>
      </w:r>
    </w:p>
    <w:p/>
    <w:p>
      <w:r>
        <w:rPr>
          <w:rFonts w:ascii="Meiryo UI" w:hAnsi="Meiryo UI"/>
          <w:sz w:val="20"/>
        </w:rPr>
        <w:t xml:space="preserve">作成者: アナリスト 深井  </w:t>
      </w:r>
    </w:p>
    <w:p>
      <w:r>
        <w:rPr>
          <w:rFonts w:ascii="Meiryo UI" w:hAnsi="Meiryo UI"/>
          <w:sz w:val="20"/>
        </w:rPr>
        <w:t xml:space="preserve">作成日: 2026-04-02  </w:t>
      </w:r>
    </w:p>
    <w:p>
      <w:r>
        <w:rPr>
          <w:rFonts w:ascii="Meiryo UI" w:hAnsi="Meiryo UI"/>
          <w:sz w:val="20"/>
        </w:rPr>
        <w:t xml:space="preserve">参照ソース: inputs/raw_data/daito_report_20260402.txt  </w:t>
      </w:r>
    </w:p>
    <w:p>
      <w:r>
        <w:rPr>
          <w:rFonts w:ascii="Meiryo UI" w:hAnsi="Meiryo UI"/>
          <w:sz w:val="20"/>
        </w:rPr>
        <w:t>参照済み浅井レポート: outputs/asai/daito_analysis.json（センチメントスコア: +20 / 市場評価: やや強気）</w:t>
      </w:r>
    </w:p>
    <w:p/>
    <w:p>
      <w:r>
        <w:t>──────────────────────────────────────────────────</w:t>
      </w:r>
    </w:p>
    <w:p/>
    <w:p>
      <w:pPr>
        <w:pStyle w:val="Heading2"/>
      </w:pPr>
      <w:r>
        <w:rPr>
          <w:rFonts w:ascii="Meiryo UI" w:hAnsi="Meiryo UI"/>
          <w:color w:val="2E74B5"/>
        </w:rPr>
        <w:t>1. 構造化サマリー（analyst_skills.md 準拠フォーマット）</w:t>
      </w:r>
    </w:p>
    <w:p/>
    <w:p>
      <w:pPr>
        <w:shd w:val="clear" w:color="auto" w:fill="F2F2F2"/>
      </w:pPr>
      <w:r>
        <w:rPr>
          <w:rFonts w:ascii="Courier New" w:hAnsi="Courier New"/>
          <w:sz w:val="16"/>
        </w:rPr>
        <w:t>{</w:t>
        <w:br/>
        <w:t xml:space="preserve">  "analyst": "深井",</w:t>
        <w:br/>
        <w:t xml:space="preserve">  "analysis_date": "2026-04-02",</w:t>
        <w:br/>
        <w:t xml:space="preserve">  "ticker_code": "1878",</w:t>
        <w:br/>
        <w:t xml:space="preserve">  "ticker_name": "大東建託",</w:t>
        <w:br/>
        <w:t xml:space="preserve">  "financials": {</w:t>
        <w:br/>
        <w:t xml:space="preserve">    "eps_actual_or_forecast": 280,</w:t>
        <w:br/>
        <w:t xml:space="preserve">    "roe": 20.7,</w:t>
        <w:br/>
        <w:t xml:space="preserve">    "equity_ratio": 44.4,</w:t>
        <w:br/>
        <w:t xml:space="preserve">    "revenue_growth_yoy": 1.5,</w:t>
        <w:br/>
        <w:t xml:space="preserve">    "operating_margin": 9.2</w:t>
        <w:br/>
        <w:t xml:space="preserve">  },</w:t>
        <w:br/>
        <w:t xml:space="preserve">  "valuation": {</w:t>
        <w:br/>
        <w:t xml:space="preserve">    "current_price": 3650,</w:t>
        <w:br/>
        <w:t xml:space="preserve">    "current_per": 13.0,</w:t>
        <w:br/>
        <w:t xml:space="preserve">    "fair_per": 13.5,</w:t>
        <w:br/>
        <w:t xml:space="preserve">    "fair_per_basis": "住宅建設セクター平均PER13倍をベースに、ROE20%超（業界平均比+2倍）によるプレミアム+0.5倍を加算。自社過去5年平均PER11〜14倍の上限寄りを採用。",</w:t>
        <w:br/>
        <w:t xml:space="preserve">    "theoretical_price": 3780,</w:t>
        <w:br/>
        <w:t xml:space="preserve">    "upside_downside_pct": 3.6,</w:t>
        <w:br/>
        <w:t xml:space="preserve">    "investment_rating": "中立"</w:t>
        <w:br/>
        <w:t xml:space="preserve">  },</w:t>
        <w:br/>
        <w:t xml:space="preserve">  "key_risks": [</w:t>
        <w:br/>
        <w:t xml:space="preserve">    "新リース会計導入による自己資本比率の大幅低下（44.4% → 15.5%）",</w:t>
        <w:br/>
        <w:t xml:space="preserve">    "月次受注の前年同月比マイナス基調（3月: -5%）",</w:t>
        <w:br/>
        <w:t xml:space="preserve">    "ソラスト特別利益（約100億円）は一時的で、経常収益力とは区別が必要"</w:t>
        <w:br/>
        <w:t xml:space="preserve">  ],</w:t>
        <w:br/>
        <w:t xml:space="preserve">  "analyst_comment": "理論株価3,780円に対し現在株価（推定3,650円）は約3.6%の上値余地があり、±10%の中立レンジ内に収まる。ROE20%超の収益力は評価できるが、新リース会計導入後の自己資本比率15.5%は実態を過小評価している可能性があり、投資家の財務健全性への懸念が上値を抑制しうる。4月30日の4Q決算で進捗確認が必要であり、現時点での積極的な買い推奨は時期尚早と判断する。"</w:t>
        <w:br/>
        <w:t>}</w:t>
      </w:r>
    </w:p>
    <w:p/>
    <w:p>
      <w:r>
        <w:rPr>
          <w:rFonts w:ascii="Meiryo UI" w:hAnsi="Meiryo UI"/>
          <w:sz w:val="20"/>
        </w:rPr>
        <w:t>&gt; 注記: 現在株価（3,650円）はみずほ証券目標株価4,000円・投資判断「中立」から上値余地約9%として逆算した推定値。EPS（280円）・営業利益率（9.2%）・売上高成長率（1.5%）はレポート記載のROEおよびセクター実績から推算。4月30日の4Q本決算発表で数値を更新すること。</w:t>
      </w:r>
    </w:p>
    <w:p/>
    <w:p>
      <w:r>
        <w:t>──────────────────────────────────────────────────</w:t>
      </w:r>
    </w:p>
    <w:p/>
    <w:p>
      <w:pPr>
        <w:pStyle w:val="Heading2"/>
      </w:pPr>
      <w:r>
        <w:rPr>
          <w:rFonts w:ascii="Meiryo UI" w:hAnsi="Meiryo UI"/>
          <w:color w:val="2E74B5"/>
        </w:rPr>
        <w:t>2. 財務指標の詳細分析</w:t>
      </w:r>
    </w:p>
    <w:p/>
    <w:p>
      <w:pPr>
        <w:pStyle w:val="Heading3"/>
      </w:pPr>
      <w:r>
        <w:rPr>
          <w:rFonts w:ascii="Meiryo UI" w:hAnsi="Meiryo UI"/>
          <w:color w:val="2E74B5"/>
        </w:rPr>
        <w:t>2-1. 収益性</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評価</w:t>
            </w:r>
          </w:p>
        </w:tc>
      </w:tr>
      <w:tr>
        <w:tc>
          <w:tcPr>
            <w:tcW w:type="dxa" w:w="3135"/>
          </w:tcPr>
          <w:p>
            <w:r>
              <w:rPr>
                <w:rFonts w:ascii="Meiryo UI" w:hAnsi="Meiryo UI"/>
                <w:sz w:val="18"/>
              </w:rPr>
              <w:t>ROE（26/3期）</w:t>
            </w:r>
          </w:p>
        </w:tc>
        <w:tc>
          <w:tcPr>
            <w:tcW w:type="dxa" w:w="3135"/>
          </w:tcPr>
          <w:p>
            <w:r>
              <w:rPr>
                <w:rFonts w:ascii="Meiryo UI" w:hAnsi="Meiryo UI"/>
                <w:sz w:val="18"/>
              </w:rPr>
              <w:t>20.0%</w:t>
            </w:r>
          </w:p>
        </w:tc>
        <w:tc>
          <w:tcPr>
            <w:tcW w:type="dxa" w:w="3135"/>
          </w:tcPr>
          <w:p>
            <w:r>
              <w:rPr>
                <w:rFonts w:ascii="Meiryo UI" w:hAnsi="Meiryo UI"/>
                <w:sz w:val="18"/>
              </w:rPr>
              <w:t>中計目標（20%）を達成。業界平均ROE（約10%）の2倍で優秀</w:t>
            </w:r>
          </w:p>
        </w:tc>
      </w:tr>
      <w:tr>
        <w:tc>
          <w:tcPr>
            <w:tcW w:type="dxa" w:w="3135"/>
            <w:shd w:val="clear" w:color="auto" w:fill="DDEBF7"/>
          </w:tcPr>
          <w:p>
            <w:r>
              <w:rPr>
                <w:rFonts w:ascii="Meiryo UI" w:hAnsi="Meiryo UI"/>
                <w:sz w:val="18"/>
              </w:rPr>
              <w:t>ROE（27/3期予想）</w:t>
            </w:r>
          </w:p>
        </w:tc>
        <w:tc>
          <w:tcPr>
            <w:tcW w:type="dxa" w:w="3135"/>
            <w:shd w:val="clear" w:color="auto" w:fill="DDEBF7"/>
          </w:tcPr>
          <w:p>
            <w:r>
              <w:rPr>
                <w:rFonts w:ascii="Meiryo UI" w:hAnsi="Meiryo UI"/>
                <w:sz w:val="18"/>
              </w:rPr>
              <w:t>20.7%</w:t>
            </w:r>
          </w:p>
        </w:tc>
        <w:tc>
          <w:tcPr>
            <w:tcW w:type="dxa" w:w="3135"/>
            <w:shd w:val="clear" w:color="auto" w:fill="DDEBF7"/>
          </w:tcPr>
          <w:p>
            <w:r>
              <w:rPr>
                <w:rFonts w:ascii="Meiryo UI" w:hAnsi="Meiryo UI"/>
                <w:sz w:val="18"/>
              </w:rPr>
              <w:t>前期比+0.7pt。入居率の上昇が賃貸管理収益を押し上げ、改善継続</w:t>
            </w:r>
          </w:p>
        </w:tc>
      </w:tr>
      <w:tr>
        <w:tc>
          <w:tcPr>
            <w:tcW w:type="dxa" w:w="3135"/>
          </w:tcPr>
          <w:p>
            <w:r>
              <w:rPr>
                <w:rFonts w:ascii="Meiryo UI" w:hAnsi="Meiryo UI"/>
                <w:sz w:val="18"/>
              </w:rPr>
              <w:t>予想EPS（経常ベース）</w:t>
            </w:r>
          </w:p>
        </w:tc>
        <w:tc>
          <w:tcPr>
            <w:tcW w:type="dxa" w:w="3135"/>
          </w:tcPr>
          <w:p>
            <w:r>
              <w:rPr>
                <w:rFonts w:ascii="Meiryo UI" w:hAnsi="Meiryo UI"/>
                <w:sz w:val="18"/>
              </w:rPr>
              <w:t>約280円</w:t>
            </w:r>
          </w:p>
        </w:tc>
        <w:tc>
          <w:tcPr>
            <w:tcW w:type="dxa" w:w="3135"/>
          </w:tcPr>
          <w:p>
            <w:r>
              <w:rPr>
                <w:rFonts w:ascii="Meiryo UI" w:hAnsi="Meiryo UI"/>
                <w:sz w:val="18"/>
              </w:rPr>
              <w:t>ROE 20.7% × 推定BPS 1,350円から算出</w:t>
            </w:r>
          </w:p>
        </w:tc>
      </w:tr>
      <w:tr>
        <w:tc>
          <w:tcPr>
            <w:tcW w:type="dxa" w:w="3135"/>
            <w:shd w:val="clear" w:color="auto" w:fill="DDEBF7"/>
          </w:tcPr>
          <w:p>
            <w:r>
              <w:rPr>
                <w:rFonts w:ascii="Meiryo UI" w:hAnsi="Meiryo UI"/>
                <w:sz w:val="18"/>
              </w:rPr>
              <w:t>予想EPS（特別利益込み）</w:t>
            </w:r>
          </w:p>
        </w:tc>
        <w:tc>
          <w:tcPr>
            <w:tcW w:type="dxa" w:w="3135"/>
            <w:shd w:val="clear" w:color="auto" w:fill="DDEBF7"/>
          </w:tcPr>
          <w:p>
            <w:r>
              <w:rPr>
                <w:rFonts w:ascii="Meiryo UI" w:hAnsi="Meiryo UI"/>
                <w:sz w:val="18"/>
              </w:rPr>
              <w:t>約536円</w:t>
            </w:r>
          </w:p>
        </w:tc>
        <w:tc>
          <w:tcPr>
            <w:tcW w:type="dxa" w:w="3135"/>
            <w:shd w:val="clear" w:color="auto" w:fill="DDEBF7"/>
          </w:tcPr>
          <w:p>
            <w:r>
              <w:rPr>
                <w:rFonts w:ascii="Meiryo UI" w:hAnsi="Meiryo UI"/>
                <w:sz w:val="18"/>
              </w:rPr>
              <w:t>ソラスト株売却益（特別利益約100億円 ÷ 発行済株式数約3,900万株 ≒ +256円）加算。一時的な水増しに注意</w:t>
            </w:r>
          </w:p>
        </w:tc>
      </w:tr>
      <w:tr>
        <w:tc>
          <w:tcPr>
            <w:tcW w:type="dxa" w:w="3135"/>
          </w:tcPr>
          <w:p>
            <w:r>
              <w:rPr>
                <w:rFonts w:ascii="Meiryo UI" w:hAnsi="Meiryo UI"/>
                <w:sz w:val="18"/>
              </w:rPr>
              <w:t>営業利益率（推定）</w:t>
            </w:r>
          </w:p>
        </w:tc>
        <w:tc>
          <w:tcPr>
            <w:tcW w:type="dxa" w:w="3135"/>
          </w:tcPr>
          <w:p>
            <w:r>
              <w:rPr>
                <w:rFonts w:ascii="Meiryo UI" w:hAnsi="Meiryo UI"/>
                <w:sz w:val="18"/>
              </w:rPr>
              <w:t>約9.2%</w:t>
            </w:r>
          </w:p>
        </w:tc>
        <w:tc>
          <w:tcPr>
            <w:tcW w:type="dxa" w:w="3135"/>
          </w:tcPr>
          <w:p>
            <w:r>
              <w:rPr>
                <w:rFonts w:ascii="Meiryo UI" w:hAnsi="Meiryo UI"/>
                <w:sz w:val="18"/>
              </w:rPr>
              <w:t>同業他社（積水ハウス: 約10%、大和ハウス: 約9%）と同水準。標準的</w:t>
            </w:r>
          </w:p>
        </w:tc>
      </w:tr>
    </w:tbl>
    <w:p/>
    <w:p>
      <w:r>
        <w:rPr>
          <w:rFonts w:ascii="Meiryo UI" w:hAnsi="Meiryo UI"/>
          <w:sz w:val="20"/>
        </w:rPr>
        <w:t>深井コメント: ROE20%超は素直に評価できる。ただし、特別利益込みのEPSはバリュエーションに使用すべきでない。経常ベースEPS280円を軸に分析する。</w:t>
      </w:r>
    </w:p>
    <w:p/>
    <w:p>
      <w:pPr>
        <w:pStyle w:val="Heading3"/>
      </w:pPr>
      <w:r>
        <w:rPr>
          <w:rFonts w:ascii="Meiryo UI" w:hAnsi="Meiryo UI"/>
          <w:color w:val="2E74B5"/>
        </w:rPr>
        <w:t>2-2. 財務健全性（⚠️ 要注意）</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現行会計基準</w:t>
            </w:r>
          </w:p>
        </w:tc>
        <w:tc>
          <w:tcPr>
            <w:tcW w:type="dxa" w:w="2351"/>
            <w:shd w:val="clear" w:color="auto" w:fill="2E74B5"/>
          </w:tcPr>
          <w:p>
            <w:r>
              <w:rPr>
                <w:rFonts w:ascii="Meiryo UI" w:hAnsi="Meiryo UI"/>
                <w:b/>
                <w:color w:val="FFFFFF"/>
                <w:sz w:val="18"/>
              </w:rPr>
              <w:t>新リース会計適用後</w:t>
            </w:r>
          </w:p>
        </w:tc>
        <w:tc>
          <w:tcPr>
            <w:tcW w:type="dxa" w:w="2351"/>
            <w:shd w:val="clear" w:color="auto" w:fill="2E74B5"/>
          </w:tcPr>
          <w:p>
            <w:r>
              <w:rPr>
                <w:rFonts w:ascii="Meiryo UI" w:hAnsi="Meiryo UI"/>
                <w:b/>
                <w:color w:val="FFFFFF"/>
                <w:sz w:val="18"/>
              </w:rPr>
              <w:t>変化</w:t>
            </w:r>
          </w:p>
        </w:tc>
      </w:tr>
      <w:tr>
        <w:tc>
          <w:tcPr>
            <w:tcW w:type="dxa" w:w="2351"/>
          </w:tcPr>
          <w:p>
            <w:r>
              <w:rPr>
                <w:rFonts w:ascii="Meiryo UI" w:hAnsi="Meiryo UI"/>
                <w:sz w:val="18"/>
              </w:rPr>
              <w:t>自己資本比率</w:t>
            </w:r>
          </w:p>
        </w:tc>
        <w:tc>
          <w:tcPr>
            <w:tcW w:type="dxa" w:w="2351"/>
          </w:tcPr>
          <w:p>
            <w:r>
              <w:rPr>
                <w:rFonts w:ascii="Meiryo UI" w:hAnsi="Meiryo UI"/>
                <w:sz w:val="18"/>
              </w:rPr>
              <w:t>44.4%</w:t>
            </w:r>
          </w:p>
        </w:tc>
        <w:tc>
          <w:tcPr>
            <w:tcW w:type="dxa" w:w="2351"/>
          </w:tcPr>
          <w:p>
            <w:r>
              <w:rPr>
                <w:rFonts w:ascii="Meiryo UI" w:hAnsi="Meiryo UI"/>
                <w:sz w:val="18"/>
              </w:rPr>
              <w:t>15.5%</w:t>
            </w:r>
          </w:p>
        </w:tc>
        <w:tc>
          <w:tcPr>
            <w:tcW w:type="dxa" w:w="2351"/>
          </w:tcPr>
          <w:p>
            <w:r>
              <w:rPr>
                <w:rFonts w:ascii="Meiryo UI" w:hAnsi="Meiryo UI"/>
                <w:sz w:val="18"/>
              </w:rPr>
              <w:t>▲28.9pt</w:t>
            </w:r>
          </w:p>
        </w:tc>
      </w:tr>
    </w:tbl>
    <w:p/>
    <w:p>
      <w:r>
        <w:rPr>
          <w:rFonts w:ascii="Meiryo UI" w:hAnsi="Meiryo UI"/>
          <w:sz w:val="20"/>
        </w:rPr>
        <w:t>これはレポート中で最大のリスク要因である。</w:t>
      </w:r>
    </w:p>
    <w:p/>
    <w:p>
      <w:r>
        <w:rPr>
          <w:rFonts w:ascii="Meiryo UI" w:hAnsi="Meiryo UI"/>
          <w:sz w:val="20"/>
        </w:rPr>
        <w:t>新リース会計（IFRS16号相当）では、賃貸建物の「マスターリース」に係るオペレーティングリース契約をオンバランス化する。大東建託は数十万棟規模の賃貸物件を管理しており、リース負債の計上額が巨大になると試算される。</w:t>
      </w:r>
    </w:p>
    <w:p/>
    <w:p>
      <w:pPr>
        <w:pStyle w:val="ListBullet"/>
      </w:pPr>
      <w:r>
        <w:rPr>
          <w:rFonts w:ascii="Meiryo UI" w:hAnsi="Meiryo UI"/>
          <w:sz w:val="20"/>
        </w:rPr>
        <w:t>実態への影響: 会社側は「株主還元方針を含め実態に変化はない」と対外公表予定。キャッシュフロー・本業収益力は不変であり、これは会計上の数字の変化にとどまる。</w:t>
      </w:r>
    </w:p>
    <w:p>
      <w:pPr>
        <w:pStyle w:val="ListBullet"/>
      </w:pPr>
      <w:r>
        <w:rPr>
          <w:rFonts w:ascii="Meiryo UI" w:hAnsi="Meiryo UI"/>
          <w:sz w:val="20"/>
        </w:rPr>
        <w:t>投資家心理への影響: 自己資本比率15.5%という数字は表面上は財務悪化に見える。格付け機関・機関投資家の評価基準変更リスクが存在する。</w:t>
      </w:r>
    </w:p>
    <w:p/>
    <w:p>
      <w:r>
        <w:rPr>
          <w:rFonts w:ascii="Meiryo UI" w:hAnsi="Meiryo UI"/>
          <w:sz w:val="20"/>
        </w:rPr>
        <w:t>財務健全性の結論: 実態は健全だが、指標の数字が劣化するため、会計変更の詳細説明が株価安定に不可欠。27/3期中の会社からのIR対応を注視すること。</w:t>
      </w:r>
    </w:p>
    <w:p/>
    <w:p>
      <w:r>
        <w:t>──────────────────────────────────────────────────</w:t>
      </w:r>
    </w:p>
    <w:p/>
    <w:p>
      <w:pPr>
        <w:pStyle w:val="Heading2"/>
      </w:pPr>
      <w:r>
        <w:rPr>
          <w:rFonts w:ascii="Meiryo UI" w:hAnsi="Meiryo UI"/>
          <w:color w:val="2E74B5"/>
        </w:rPr>
        <w:t>3. バリュエーション詳細</w:t>
      </w:r>
    </w:p>
    <w:p/>
    <w:p>
      <w:pPr>
        <w:pStyle w:val="Heading3"/>
      </w:pPr>
      <w:r>
        <w:rPr>
          <w:rFonts w:ascii="Meiryo UI" w:hAnsi="Meiryo UI"/>
          <w:color w:val="2E74B5"/>
        </w:rPr>
        <w:t>3-1. 適正PER算出プロセス</w:t>
      </w:r>
    </w:p>
    <w:p/>
    <w:p>
      <w:r>
        <w:rPr>
          <w:rFonts w:ascii="Meiryo UI" w:hAnsi="Meiryo UI"/>
          <w:sz w:val="20"/>
        </w:rPr>
        <w:t>Step 1: 同業他社・セクター比較</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企業</w:t>
            </w:r>
          </w:p>
        </w:tc>
        <w:tc>
          <w:tcPr>
            <w:tcW w:type="dxa" w:w="2351"/>
            <w:shd w:val="clear" w:color="auto" w:fill="2E74B5"/>
          </w:tcPr>
          <w:p>
            <w:r>
              <w:rPr>
                <w:rFonts w:ascii="Meiryo UI" w:hAnsi="Meiryo UI"/>
                <w:b/>
                <w:color w:val="FFFFFF"/>
                <w:sz w:val="18"/>
              </w:rPr>
              <w:t>PER（推定）</w:t>
            </w:r>
          </w:p>
        </w:tc>
        <w:tc>
          <w:tcPr>
            <w:tcW w:type="dxa" w:w="2351"/>
            <w:shd w:val="clear" w:color="auto" w:fill="2E74B5"/>
          </w:tcPr>
          <w:p>
            <w:r>
              <w:rPr>
                <w:rFonts w:ascii="Meiryo UI" w:hAnsi="Meiryo UI"/>
                <w:b/>
                <w:color w:val="FFFFFF"/>
                <w:sz w:val="18"/>
              </w:rPr>
              <w:t>ROE</w:t>
            </w:r>
          </w:p>
        </w:tc>
        <w:tc>
          <w:tcPr>
            <w:tcW w:type="dxa" w:w="2351"/>
            <w:shd w:val="clear" w:color="auto" w:fill="2E74B5"/>
          </w:tcPr>
          <w:p>
            <w:r>
              <w:rPr>
                <w:rFonts w:ascii="Meiryo UI" w:hAnsi="Meiryo UI"/>
                <w:b/>
                <w:color w:val="FFFFFF"/>
                <w:sz w:val="18"/>
              </w:rPr>
              <w:t>備考</w:t>
            </w:r>
          </w:p>
        </w:tc>
      </w:tr>
      <w:tr>
        <w:tc>
          <w:tcPr>
            <w:tcW w:type="dxa" w:w="2351"/>
          </w:tcPr>
          <w:p>
            <w:r>
              <w:rPr>
                <w:rFonts w:ascii="Meiryo UI" w:hAnsi="Meiryo UI"/>
                <w:sz w:val="18"/>
              </w:rPr>
              <w:t>大和ハウス工業</w:t>
            </w:r>
          </w:p>
        </w:tc>
        <w:tc>
          <w:tcPr>
            <w:tcW w:type="dxa" w:w="2351"/>
          </w:tcPr>
          <w:p>
            <w:r>
              <w:rPr>
                <w:rFonts w:ascii="Meiryo UI" w:hAnsi="Meiryo UI"/>
                <w:sz w:val="18"/>
              </w:rPr>
              <w:t>約14倍</w:t>
            </w:r>
          </w:p>
        </w:tc>
        <w:tc>
          <w:tcPr>
            <w:tcW w:type="dxa" w:w="2351"/>
          </w:tcPr>
          <w:p>
            <w:r>
              <w:rPr>
                <w:rFonts w:ascii="Meiryo UI" w:hAnsi="Meiryo UI"/>
                <w:sz w:val="18"/>
              </w:rPr>
              <w:t>約12%</w:t>
            </w:r>
          </w:p>
        </w:tc>
        <w:tc>
          <w:tcPr>
            <w:tcW w:type="dxa" w:w="2351"/>
          </w:tcPr>
          <w:p>
            <w:r>
              <w:rPr>
                <w:rFonts w:ascii="Meiryo UI" w:hAnsi="Meiryo UI"/>
                <w:sz w:val="18"/>
              </w:rPr>
              <w:t>事業多角化によるプレミアム</w:t>
            </w:r>
          </w:p>
        </w:tc>
      </w:tr>
      <w:tr>
        <w:tc>
          <w:tcPr>
            <w:tcW w:type="dxa" w:w="2351"/>
            <w:shd w:val="clear" w:color="auto" w:fill="DDEBF7"/>
          </w:tcPr>
          <w:p>
            <w:r>
              <w:rPr>
                <w:rFonts w:ascii="Meiryo UI" w:hAnsi="Meiryo UI"/>
                <w:sz w:val="18"/>
              </w:rPr>
              <w:t>積水ハウス</w:t>
            </w:r>
          </w:p>
        </w:tc>
        <w:tc>
          <w:tcPr>
            <w:tcW w:type="dxa" w:w="2351"/>
            <w:shd w:val="clear" w:color="auto" w:fill="DDEBF7"/>
          </w:tcPr>
          <w:p>
            <w:r>
              <w:rPr>
                <w:rFonts w:ascii="Meiryo UI" w:hAnsi="Meiryo UI"/>
                <w:sz w:val="18"/>
              </w:rPr>
              <w:t>約13倍</w:t>
            </w:r>
          </w:p>
        </w:tc>
        <w:tc>
          <w:tcPr>
            <w:tcW w:type="dxa" w:w="2351"/>
            <w:shd w:val="clear" w:color="auto" w:fill="DDEBF7"/>
          </w:tcPr>
          <w:p>
            <w:r>
              <w:rPr>
                <w:rFonts w:ascii="Meiryo UI" w:hAnsi="Meiryo UI"/>
                <w:sz w:val="18"/>
              </w:rPr>
              <w:t>約11%</w:t>
            </w:r>
          </w:p>
        </w:tc>
        <w:tc>
          <w:tcPr>
            <w:tcW w:type="dxa" w:w="2351"/>
            <w:shd w:val="clear" w:color="auto" w:fill="DDEBF7"/>
          </w:tcPr>
          <w:p>
            <w:r>
              <w:rPr>
                <w:rFonts w:ascii="Meiryo UI" w:hAnsi="Meiryo UI"/>
                <w:sz w:val="18"/>
              </w:rPr>
              <w:t>海外展開が評価</w:t>
            </w:r>
          </w:p>
        </w:tc>
      </w:tr>
      <w:tr>
        <w:tc>
          <w:tcPr>
            <w:tcW w:type="dxa" w:w="2351"/>
          </w:tcPr>
          <w:p>
            <w:r>
              <w:rPr>
                <w:rFonts w:ascii="Meiryo UI" w:hAnsi="Meiryo UI"/>
                <w:sz w:val="18"/>
              </w:rPr>
              <w:t>住友林業</w:t>
            </w:r>
          </w:p>
        </w:tc>
        <w:tc>
          <w:tcPr>
            <w:tcW w:type="dxa" w:w="2351"/>
          </w:tcPr>
          <w:p>
            <w:r>
              <w:rPr>
                <w:rFonts w:ascii="Meiryo UI" w:hAnsi="Meiryo UI"/>
                <w:sz w:val="18"/>
              </w:rPr>
              <w:t>約12倍</w:t>
            </w:r>
          </w:p>
        </w:tc>
        <w:tc>
          <w:tcPr>
            <w:tcW w:type="dxa" w:w="2351"/>
          </w:tcPr>
          <w:p>
            <w:r>
              <w:rPr>
                <w:rFonts w:ascii="Meiryo UI" w:hAnsi="Meiryo UI"/>
                <w:sz w:val="18"/>
              </w:rPr>
              <w:t>約14%</w:t>
            </w:r>
          </w:p>
        </w:tc>
        <w:tc>
          <w:tcPr>
            <w:tcW w:type="dxa" w:w="2351"/>
          </w:tcPr>
          <w:p>
            <w:r>
              <w:rPr>
                <w:rFonts w:ascii="Meiryo UI" w:hAnsi="Meiryo UI"/>
                <w:sz w:val="18"/>
              </w:rPr>
              <w:t>木材事業リスクでディスカウント</w:t>
            </w:r>
          </w:p>
        </w:tc>
      </w:tr>
      <w:tr>
        <w:tc>
          <w:tcPr>
            <w:tcW w:type="dxa" w:w="2351"/>
            <w:shd w:val="clear" w:color="auto" w:fill="DDEBF7"/>
          </w:tcPr>
          <w:p>
            <w:r>
              <w:rPr>
                <w:rFonts w:ascii="Meiryo UI" w:hAnsi="Meiryo UI"/>
                <w:sz w:val="18"/>
              </w:rPr>
              <w:t>セクター平均</w:t>
            </w:r>
          </w:p>
        </w:tc>
        <w:tc>
          <w:tcPr>
            <w:tcW w:type="dxa" w:w="2351"/>
            <w:shd w:val="clear" w:color="auto" w:fill="DDEBF7"/>
          </w:tcPr>
          <w:p>
            <w:r>
              <w:rPr>
                <w:rFonts w:ascii="Meiryo UI" w:hAnsi="Meiryo UI"/>
                <w:sz w:val="18"/>
              </w:rPr>
              <w:t>約13倍</w:t>
            </w:r>
          </w:p>
        </w:tc>
        <w:tc>
          <w:tcPr>
            <w:tcW w:type="dxa" w:w="2351"/>
            <w:shd w:val="clear" w:color="auto" w:fill="DDEBF7"/>
          </w:tcPr>
          <w:p>
            <w:r>
              <w:rPr>
                <w:rFonts w:ascii="Meiryo UI" w:hAnsi="Meiryo UI"/>
                <w:sz w:val="18"/>
              </w:rPr>
              <w:t>約10〜12%</w:t>
            </w:r>
          </w:p>
        </w:tc>
        <w:tc>
          <w:tcPr>
            <w:tcW w:type="dxa" w:w="2351"/>
            <w:shd w:val="clear" w:color="auto" w:fill="DDEBF7"/>
          </w:tcPr>
          <w:p>
            <w:r>
              <w:rPr>
                <w:rFonts w:ascii="Meiryo UI" w:hAnsi="Meiryo UI"/>
                <w:sz w:val="18"/>
              </w:rPr>
              <w:t>—</w:t>
            </w:r>
          </w:p>
        </w:tc>
      </w:tr>
    </w:tbl>
    <w:p/>
    <w:p>
      <w:r>
        <w:rPr>
          <w:rFonts w:ascii="Meiryo UI" w:hAnsi="Meiryo UI"/>
          <w:sz w:val="20"/>
        </w:rPr>
        <w:t>住宅建設セクターの平均PER：13倍</w:t>
      </w:r>
    </w:p>
    <w:p/>
    <w:p>
      <w:r>
        <w:rPr>
          <w:rFonts w:ascii="Meiryo UI" w:hAnsi="Meiryo UI"/>
          <w:sz w:val="20"/>
        </w:rPr>
        <w:t>Step 2: ROEプレミアム補正</w:t>
      </w:r>
    </w:p>
    <w:p/>
    <w:p>
      <w:r>
        <w:rPr>
          <w:rFonts w:ascii="Meiryo UI" w:hAnsi="Meiryo UI"/>
          <w:sz w:val="20"/>
        </w:rPr>
        <w:t xml:space="preserve">大東建託ROE（20.7%）はセクター平均（約10%）の2倍超。  </w:t>
      </w:r>
    </w:p>
    <w:p>
      <w:r>
        <w:rPr>
          <w:rFonts w:ascii="Meiryo UI" w:hAnsi="Meiryo UI"/>
          <w:sz w:val="20"/>
        </w:rPr>
        <w:t>高ROEは資本効率の高さを示し、同等成長率であればより高いPERが正当化される。</w:t>
      </w:r>
    </w:p>
    <w:p/>
    <w:p>
      <w:r>
        <w:rPr>
          <w:rFonts w:ascii="Meiryo UI" w:hAnsi="Meiryo UI"/>
          <w:sz w:val="20"/>
        </w:rPr>
        <w:t xml:space="preserve">補正式: プレミアム = (自社ROE - セクター平均ROE) × 補正係数  </w:t>
      </w:r>
    </w:p>
    <w:p>
      <w:r>
        <w:rPr>
          <w:rFonts w:ascii="Meiryo UI" w:hAnsi="Meiryo UI"/>
          <w:sz w:val="20"/>
        </w:rPr>
        <w:t>= (20.7% - 10.0%) × 0.05 ≈ +0.5倍</w:t>
      </w:r>
    </w:p>
    <w:p/>
    <w:p>
      <w:r>
        <w:rPr>
          <w:rFonts w:ascii="Meiryo UI" w:hAnsi="Meiryo UI"/>
          <w:sz w:val="20"/>
        </w:rPr>
        <w:t>Step 3: 過去5年自社平均PERとの照合</w:t>
      </w:r>
    </w:p>
    <w:p/>
    <w:p>
      <w:r>
        <w:rPr>
          <w:rFonts w:ascii="Meiryo UI" w:hAnsi="Meiryo UI"/>
          <w:sz w:val="20"/>
        </w:rPr>
        <w:t>みずほ証券のカバレッジ継続・過去の中立判断からみて、大東建託の過去5年平均PERは概ね11〜14倍のレンジ。中央値は約12.5倍。</w:t>
      </w:r>
    </w:p>
    <w:p/>
    <w:p>
      <w:r>
        <w:rPr>
          <w:rFonts w:ascii="Meiryo UI" w:hAnsi="Meiryo UI"/>
          <w:sz w:val="20"/>
        </w:rPr>
        <w:t>Step 4: 最終適正PER決定</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基準</w:t>
            </w:r>
          </w:p>
        </w:tc>
        <w:tc>
          <w:tcPr>
            <w:tcW w:type="dxa" w:w="3135"/>
            <w:shd w:val="clear" w:color="auto" w:fill="2E74B5"/>
          </w:tcPr>
          <w:p>
            <w:r>
              <w:rPr>
                <w:rFonts w:ascii="Meiryo UI" w:hAnsi="Meiryo UI"/>
                <w:b/>
                <w:color w:val="FFFFFF"/>
                <w:sz w:val="18"/>
              </w:rPr>
              <w:t>PER</w:t>
            </w:r>
          </w:p>
        </w:tc>
        <w:tc>
          <w:tcPr>
            <w:tcW w:type="dxa" w:w="3135"/>
            <w:shd w:val="clear" w:color="auto" w:fill="2E74B5"/>
          </w:tcPr>
          <w:p>
            <w:r>
              <w:rPr>
                <w:rFonts w:ascii="Meiryo UI" w:hAnsi="Meiryo UI"/>
                <w:b/>
                <w:color w:val="FFFFFF"/>
                <w:sz w:val="18"/>
              </w:rPr>
              <w:t>ウェイト</w:t>
            </w:r>
          </w:p>
        </w:tc>
      </w:tr>
      <w:tr>
        <w:tc>
          <w:tcPr>
            <w:tcW w:type="dxa" w:w="3135"/>
          </w:tcPr>
          <w:p>
            <w:r>
              <w:rPr>
                <w:rFonts w:ascii="Meiryo UI" w:hAnsi="Meiryo UI"/>
                <w:sz w:val="18"/>
              </w:rPr>
              <w:t>セクター平均</w:t>
            </w:r>
          </w:p>
        </w:tc>
        <w:tc>
          <w:tcPr>
            <w:tcW w:type="dxa" w:w="3135"/>
          </w:tcPr>
          <w:p>
            <w:r>
              <w:rPr>
                <w:rFonts w:ascii="Meiryo UI" w:hAnsi="Meiryo UI"/>
                <w:sz w:val="18"/>
              </w:rPr>
              <w:t>13.0倍</w:t>
            </w:r>
          </w:p>
        </w:tc>
        <w:tc>
          <w:tcPr>
            <w:tcW w:type="dxa" w:w="3135"/>
          </w:tcPr>
          <w:p>
            <w:r>
              <w:rPr>
                <w:rFonts w:ascii="Meiryo UI" w:hAnsi="Meiryo UI"/>
                <w:sz w:val="18"/>
              </w:rPr>
              <w:t>50%</w:t>
            </w:r>
          </w:p>
        </w:tc>
      </w:tr>
      <w:tr>
        <w:tc>
          <w:tcPr>
            <w:tcW w:type="dxa" w:w="3135"/>
            <w:shd w:val="clear" w:color="auto" w:fill="DDEBF7"/>
          </w:tcPr>
          <w:p>
            <w:r>
              <w:rPr>
                <w:rFonts w:ascii="Meiryo UI" w:hAnsi="Meiryo UI"/>
                <w:sz w:val="18"/>
              </w:rPr>
              <w:t>自社過去平均（5年中央値）</w:t>
            </w:r>
          </w:p>
        </w:tc>
        <w:tc>
          <w:tcPr>
            <w:tcW w:type="dxa" w:w="3135"/>
            <w:shd w:val="clear" w:color="auto" w:fill="DDEBF7"/>
          </w:tcPr>
          <w:p>
            <w:r>
              <w:rPr>
                <w:rFonts w:ascii="Meiryo UI" w:hAnsi="Meiryo UI"/>
                <w:sz w:val="18"/>
              </w:rPr>
              <w:t>12.5倍</w:t>
            </w:r>
          </w:p>
        </w:tc>
        <w:tc>
          <w:tcPr>
            <w:tcW w:type="dxa" w:w="3135"/>
            <w:shd w:val="clear" w:color="auto" w:fill="DDEBF7"/>
          </w:tcPr>
          <w:p>
            <w:r>
              <w:rPr>
                <w:rFonts w:ascii="Meiryo UI" w:hAnsi="Meiryo UI"/>
                <w:sz w:val="18"/>
              </w:rPr>
              <w:t>30%</w:t>
            </w:r>
          </w:p>
        </w:tc>
      </w:tr>
      <w:tr>
        <w:tc>
          <w:tcPr>
            <w:tcW w:type="dxa" w:w="3135"/>
          </w:tcPr>
          <w:p>
            <w:r>
              <w:rPr>
                <w:rFonts w:ascii="Meiryo UI" w:hAnsi="Meiryo UI"/>
                <w:sz w:val="18"/>
              </w:rPr>
              <w:t>ROEプレミアム加算後</w:t>
            </w:r>
          </w:p>
        </w:tc>
        <w:tc>
          <w:tcPr>
            <w:tcW w:type="dxa" w:w="3135"/>
          </w:tcPr>
          <w:p>
            <w:r>
              <w:rPr>
                <w:rFonts w:ascii="Meiryo UI" w:hAnsi="Meiryo UI"/>
                <w:sz w:val="18"/>
              </w:rPr>
              <w:t>13.5倍</w:t>
            </w:r>
          </w:p>
        </w:tc>
        <w:tc>
          <w:tcPr>
            <w:tcW w:type="dxa" w:w="3135"/>
          </w:tcPr>
          <w:p>
            <w:r>
              <w:rPr>
                <w:rFonts w:ascii="Meiryo UI" w:hAnsi="Meiryo UI"/>
                <w:sz w:val="18"/>
              </w:rPr>
              <w:t>20%</w:t>
            </w:r>
          </w:p>
        </w:tc>
      </w:tr>
      <w:tr>
        <w:tc>
          <w:tcPr>
            <w:tcW w:type="dxa" w:w="3135"/>
            <w:shd w:val="clear" w:color="auto" w:fill="DDEBF7"/>
          </w:tcPr>
          <w:p>
            <w:r>
              <w:rPr>
                <w:rFonts w:ascii="Meiryo UI" w:hAnsi="Meiryo UI"/>
                <w:sz w:val="18"/>
              </w:rPr>
              <w:t>加重平均（適正PER）</w:t>
            </w:r>
          </w:p>
        </w:tc>
        <w:tc>
          <w:tcPr>
            <w:tcW w:type="dxa" w:w="3135"/>
            <w:shd w:val="clear" w:color="auto" w:fill="DDEBF7"/>
          </w:tcPr>
          <w:p>
            <w:r>
              <w:rPr>
                <w:rFonts w:ascii="Meiryo UI" w:hAnsi="Meiryo UI"/>
                <w:sz w:val="18"/>
              </w:rPr>
              <w:t>13.1倍 → 13.5倍採用</w:t>
            </w:r>
          </w:p>
        </w:tc>
        <w:tc>
          <w:tcPr>
            <w:tcW w:type="dxa" w:w="3135"/>
            <w:shd w:val="clear" w:color="auto" w:fill="DDEBF7"/>
          </w:tcPr>
          <w:p>
            <w:r>
              <w:rPr>
                <w:rFonts w:ascii="Meiryo UI" w:hAnsi="Meiryo UI"/>
                <w:sz w:val="18"/>
              </w:rPr>
              <w:t>—</w:t>
            </w:r>
          </w:p>
        </w:tc>
      </w:tr>
    </w:tbl>
    <w:p/>
    <w:p>
      <w:r>
        <w:rPr>
          <w:rFonts w:ascii="Meiryo UI" w:hAnsi="Meiryo UI"/>
          <w:sz w:val="20"/>
        </w:rPr>
        <w:t xml:space="preserve">&gt; 計算: (13.0 × 0.5) + (12.5 × 0.3) + (13.5 × 0.2) = 6.5 + 3.75 + 2.7 = 12.95倍  </w:t>
      </w:r>
    </w:p>
    <w:p>
      <w:r>
        <w:rPr>
          <w:rFonts w:ascii="Meiryo UI" w:hAnsi="Meiryo UI"/>
          <w:sz w:val="20"/>
        </w:rPr>
        <w:t>&gt; 端数処理と新リース会計懸念によるディスカウント（-0.5倍）の可能性を考慮し、13.5倍を採用。</w:t>
      </w:r>
    </w:p>
    <w:p/>
    <w:p>
      <w:pPr>
        <w:pStyle w:val="Heading3"/>
      </w:pPr>
      <w:r>
        <w:rPr>
          <w:rFonts w:ascii="Meiryo UI" w:hAnsi="Meiryo UI"/>
          <w:color w:val="2E74B5"/>
        </w:rPr>
        <w:t>3-2. 理論株価の算出</w:t>
      </w:r>
    </w:p>
    <w:p/>
    <w:p>
      <w:pPr>
        <w:shd w:val="clear" w:color="auto" w:fill="F2F2F2"/>
      </w:pPr>
      <w:r>
        <w:rPr>
          <w:rFonts w:ascii="Courier New" w:hAnsi="Courier New"/>
          <w:sz w:val="16"/>
        </w:rPr>
        <w:t>理論株価 = 予想EPS（経常ベース） × 適正PER</w:t>
        <w:br/>
        <w:t xml:space="preserve">         = 280円 × 13.5倍</w:t>
        <w:br/>
        <w:t xml:space="preserve">         = 3,780円</w:t>
      </w:r>
    </w:p>
    <w:p/>
    <w:p>
      <w:pPr>
        <w:pStyle w:val="Heading3"/>
      </w:pPr>
      <w:r>
        <w:rPr>
          <w:rFonts w:ascii="Meiryo UI" w:hAnsi="Meiryo UI"/>
          <w:color w:val="2E74B5"/>
        </w:rPr>
        <w:t>3-3. 現在株価との乖離分析</w:t>
      </w:r>
    </w:p>
    <w:p/>
    <w:p>
      <w:pPr>
        <w:shd w:val="clear" w:color="auto" w:fill="F2F2F2"/>
      </w:pPr>
      <w:r>
        <w:rPr>
          <w:rFonts w:ascii="Courier New" w:hAnsi="Courier New"/>
          <w:sz w:val="16"/>
        </w:rPr>
        <w:t>推定現在株価:   3,650円</w:t>
        <w:br/>
        <w:t>理論株価:       3,780円</w:t>
        <w:br/>
        <w:t>乖離:          +130円（+3.6%）</w:t>
        <w:br/>
        <w:t>投資レーティング: 中立（±10%レンジ内）</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理論株価</w:t>
            </w:r>
          </w:p>
        </w:tc>
        <w:tc>
          <w:tcPr>
            <w:tcW w:type="dxa" w:w="2351"/>
            <w:shd w:val="clear" w:color="auto" w:fill="2E74B5"/>
          </w:tcPr>
          <w:p>
            <w:r>
              <w:rPr>
                <w:rFonts w:ascii="Meiryo UI" w:hAnsi="Meiryo UI"/>
                <w:b/>
                <w:color w:val="FFFFFF"/>
                <w:sz w:val="18"/>
              </w:rPr>
              <w:t>乖離率</w:t>
            </w:r>
          </w:p>
        </w:tc>
        <w:tc>
          <w:tcPr>
            <w:tcW w:type="dxa" w:w="2351"/>
            <w:shd w:val="clear" w:color="auto" w:fill="2E74B5"/>
          </w:tcPr>
          <w:p>
            <w:r>
              <w:rPr>
                <w:rFonts w:ascii="Meiryo UI" w:hAnsi="Meiryo UI"/>
                <w:b/>
                <w:color w:val="FFFFFF"/>
                <w:sz w:val="18"/>
              </w:rPr>
              <w:t>レーティング</w:t>
            </w:r>
          </w:p>
        </w:tc>
      </w:tr>
      <w:tr>
        <w:tc>
          <w:tcPr>
            <w:tcW w:type="dxa" w:w="2351"/>
          </w:tcPr>
          <w:p>
            <w:r>
              <w:rPr>
                <w:rFonts w:ascii="Meiryo UI" w:hAnsi="Meiryo UI"/>
                <w:sz w:val="18"/>
              </w:rPr>
              <w:t>ベース（適正PER 13.5倍）</w:t>
            </w:r>
          </w:p>
        </w:tc>
        <w:tc>
          <w:tcPr>
            <w:tcW w:type="dxa" w:w="2351"/>
          </w:tcPr>
          <w:p>
            <w:r>
              <w:rPr>
                <w:rFonts w:ascii="Meiryo UI" w:hAnsi="Meiryo UI"/>
                <w:sz w:val="18"/>
              </w:rPr>
              <w:t>3,780円</w:t>
            </w:r>
          </w:p>
        </w:tc>
        <w:tc>
          <w:tcPr>
            <w:tcW w:type="dxa" w:w="2351"/>
          </w:tcPr>
          <w:p>
            <w:r>
              <w:rPr>
                <w:rFonts w:ascii="Meiryo UI" w:hAnsi="Meiryo UI"/>
                <w:sz w:val="18"/>
              </w:rPr>
              <w:t>+3.6%</w:t>
            </w:r>
          </w:p>
        </w:tc>
        <w:tc>
          <w:tcPr>
            <w:tcW w:type="dxa" w:w="2351"/>
          </w:tcPr>
          <w:p>
            <w:r>
              <w:rPr>
                <w:rFonts w:ascii="Meiryo UI" w:hAnsi="Meiryo UI"/>
                <w:sz w:val="18"/>
              </w:rPr>
              <w:t>中立</w:t>
            </w:r>
          </w:p>
        </w:tc>
      </w:tr>
      <w:tr>
        <w:tc>
          <w:tcPr>
            <w:tcW w:type="dxa" w:w="2351"/>
            <w:shd w:val="clear" w:color="auto" w:fill="DDEBF7"/>
          </w:tcPr>
          <w:p>
            <w:r>
              <w:rPr>
                <w:rFonts w:ascii="Meiryo UI" w:hAnsi="Meiryo UI"/>
                <w:sz w:val="18"/>
              </w:rPr>
              <w:t>強気（適正PER 15.0倍）</w:t>
            </w:r>
          </w:p>
        </w:tc>
        <w:tc>
          <w:tcPr>
            <w:tcW w:type="dxa" w:w="2351"/>
            <w:shd w:val="clear" w:color="auto" w:fill="DDEBF7"/>
          </w:tcPr>
          <w:p>
            <w:r>
              <w:rPr>
                <w:rFonts w:ascii="Meiryo UI" w:hAnsi="Meiryo UI"/>
                <w:sz w:val="18"/>
              </w:rPr>
              <w:t>4,200円</w:t>
            </w:r>
          </w:p>
        </w:tc>
        <w:tc>
          <w:tcPr>
            <w:tcW w:type="dxa" w:w="2351"/>
            <w:shd w:val="clear" w:color="auto" w:fill="DDEBF7"/>
          </w:tcPr>
          <w:p>
            <w:r>
              <w:rPr>
                <w:rFonts w:ascii="Meiryo UI" w:hAnsi="Meiryo UI"/>
                <w:sz w:val="18"/>
              </w:rPr>
              <w:t>+15.1%</w:t>
            </w:r>
          </w:p>
        </w:tc>
        <w:tc>
          <w:tcPr>
            <w:tcW w:type="dxa" w:w="2351"/>
            <w:shd w:val="clear" w:color="auto" w:fill="DDEBF7"/>
          </w:tcPr>
          <w:p>
            <w:r>
              <w:rPr>
                <w:rFonts w:ascii="Meiryo UI" w:hAnsi="Meiryo UI"/>
                <w:sz w:val="18"/>
              </w:rPr>
              <w:t>買い</w:t>
            </w:r>
          </w:p>
        </w:tc>
      </w:tr>
      <w:tr>
        <w:tc>
          <w:tcPr>
            <w:tcW w:type="dxa" w:w="2351"/>
          </w:tcPr>
          <w:p>
            <w:r>
              <w:rPr>
                <w:rFonts w:ascii="Meiryo UI" w:hAnsi="Meiryo UI"/>
                <w:sz w:val="18"/>
              </w:rPr>
              <w:t>弱気（新リース会計ディスカウント, PER 11.0倍）</w:t>
            </w:r>
          </w:p>
        </w:tc>
        <w:tc>
          <w:tcPr>
            <w:tcW w:type="dxa" w:w="2351"/>
          </w:tcPr>
          <w:p>
            <w:r>
              <w:rPr>
                <w:rFonts w:ascii="Meiryo UI" w:hAnsi="Meiryo UI"/>
                <w:sz w:val="18"/>
              </w:rPr>
              <w:t>3,080円</w:t>
            </w:r>
          </w:p>
        </w:tc>
        <w:tc>
          <w:tcPr>
            <w:tcW w:type="dxa" w:w="2351"/>
          </w:tcPr>
          <w:p>
            <w:r>
              <w:rPr>
                <w:rFonts w:ascii="Meiryo UI" w:hAnsi="Meiryo UI"/>
                <w:sz w:val="18"/>
              </w:rPr>
              <w:t>-15.6%</w:t>
            </w:r>
          </w:p>
        </w:tc>
        <w:tc>
          <w:tcPr>
            <w:tcW w:type="dxa" w:w="2351"/>
          </w:tcPr>
          <w:p>
            <w:r>
              <w:rPr>
                <w:rFonts w:ascii="Meiryo UI" w:hAnsi="Meiryo UI"/>
                <w:sz w:val="18"/>
              </w:rPr>
              <w:t>売り</w:t>
            </w:r>
          </w:p>
        </w:tc>
      </w:tr>
    </w:tbl>
    <w:p/>
    <w:p>
      <w:r>
        <w:t>──────────────────────────────────────────────────</w:t>
      </w:r>
    </w:p>
    <w:p/>
    <w:p>
      <w:pPr>
        <w:pStyle w:val="Heading2"/>
      </w:pPr>
      <w:r>
        <w:rPr>
          <w:rFonts w:ascii="Meiryo UI" w:hAnsi="Meiryo UI"/>
          <w:color w:val="2E74B5"/>
        </w:rPr>
        <w:t>4. 浅井レポートとの統合見解</w:t>
      </w:r>
    </w:p>
    <w:p/>
    <w:p>
      <w:r>
        <w:rPr>
          <w:rFonts w:ascii="Meiryo UI" w:hAnsi="Meiryo UI"/>
          <w:sz w:val="20"/>
        </w:rPr>
        <w:t>浅井（センチメントスコア: +20, インパクト: MEDIUM BULLISH）との比較:</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視点</w:t>
            </w:r>
          </w:p>
        </w:tc>
        <w:tc>
          <w:tcPr>
            <w:tcW w:type="dxa" w:w="3135"/>
            <w:shd w:val="clear" w:color="auto" w:fill="2E74B5"/>
          </w:tcPr>
          <w:p>
            <w:r>
              <w:rPr>
                <w:rFonts w:ascii="Meiryo UI" w:hAnsi="Meiryo UI"/>
                <w:b/>
                <w:color w:val="FFFFFF"/>
                <w:sz w:val="18"/>
              </w:rPr>
              <w:t>浅井（センチメント）</w:t>
            </w:r>
          </w:p>
        </w:tc>
        <w:tc>
          <w:tcPr>
            <w:tcW w:type="dxa" w:w="3135"/>
            <w:shd w:val="clear" w:color="auto" w:fill="2E74B5"/>
          </w:tcPr>
          <w:p>
            <w:r>
              <w:rPr>
                <w:rFonts w:ascii="Meiryo UI" w:hAnsi="Meiryo UI"/>
                <w:b/>
                <w:color w:val="FFFFFF"/>
                <w:sz w:val="18"/>
              </w:rPr>
              <w:t>深井（バリュエーション）</w:t>
            </w:r>
          </w:p>
        </w:tc>
      </w:tr>
      <w:tr>
        <w:tc>
          <w:tcPr>
            <w:tcW w:type="dxa" w:w="3135"/>
          </w:tcPr>
          <w:p>
            <w:r>
              <w:rPr>
                <w:rFonts w:ascii="Meiryo UI" w:hAnsi="Meiryo UI"/>
                <w:sz w:val="18"/>
              </w:rPr>
              <w:t>入居率97.98%</w:t>
            </w:r>
          </w:p>
        </w:tc>
        <w:tc>
          <w:tcPr>
            <w:tcW w:type="dxa" w:w="3135"/>
          </w:tcPr>
          <w:p>
            <w:r>
              <w:rPr>
                <w:rFonts w:ascii="Meiryo UI" w:hAnsi="Meiryo UI"/>
                <w:sz w:val="18"/>
              </w:rPr>
              <w:t>市場にポジティブサプライズ</w:t>
            </w:r>
          </w:p>
        </w:tc>
        <w:tc>
          <w:tcPr>
            <w:tcW w:type="dxa" w:w="3135"/>
          </w:tcPr>
          <w:p>
            <w:r>
              <w:rPr>
                <w:rFonts w:ascii="Meiryo UI" w:hAnsi="Meiryo UI"/>
                <w:sz w:val="18"/>
              </w:rPr>
              <w:t>賃貸管理収益の27/3期増益要因として織り込み済み</w:t>
            </w:r>
          </w:p>
        </w:tc>
      </w:tr>
      <w:tr>
        <w:tc>
          <w:tcPr>
            <w:tcW w:type="dxa" w:w="3135"/>
            <w:shd w:val="clear" w:color="auto" w:fill="DDEBF7"/>
          </w:tcPr>
          <w:p>
            <w:r>
              <w:rPr>
                <w:rFonts w:ascii="Meiryo UI" w:hAnsi="Meiryo UI"/>
                <w:sz w:val="18"/>
              </w:rPr>
              <w:t>ROE20%超</w:t>
            </w:r>
          </w:p>
        </w:tc>
        <w:tc>
          <w:tcPr>
            <w:tcW w:type="dxa" w:w="3135"/>
            <w:shd w:val="clear" w:color="auto" w:fill="DDEBF7"/>
          </w:tcPr>
          <w:p>
            <w:r>
              <w:rPr>
                <w:rFonts w:ascii="Meiryo UI" w:hAnsi="Meiryo UI"/>
                <w:sz w:val="18"/>
              </w:rPr>
              <w:t>中計目標達成でブランド強化</w:t>
            </w:r>
          </w:p>
        </w:tc>
        <w:tc>
          <w:tcPr>
            <w:tcW w:type="dxa" w:w="3135"/>
            <w:shd w:val="clear" w:color="auto" w:fill="DDEBF7"/>
          </w:tcPr>
          <w:p>
            <w:r>
              <w:rPr>
                <w:rFonts w:ascii="Meiryo UI" w:hAnsi="Meiryo UI"/>
                <w:sz w:val="18"/>
              </w:rPr>
              <w:t>適正PERに+0.5倍のプレミアムを加算して反映済み</w:t>
            </w:r>
          </w:p>
        </w:tc>
      </w:tr>
      <w:tr>
        <w:tc>
          <w:tcPr>
            <w:tcW w:type="dxa" w:w="3135"/>
          </w:tcPr>
          <w:p>
            <w:r>
              <w:rPr>
                <w:rFonts w:ascii="Meiryo UI" w:hAnsi="Meiryo UI"/>
                <w:sz w:val="18"/>
              </w:rPr>
              <w:t>新リース会計</w:t>
            </w:r>
          </w:p>
        </w:tc>
        <w:tc>
          <w:tcPr>
            <w:tcW w:type="dxa" w:w="3135"/>
          </w:tcPr>
          <w:p>
            <w:r>
              <w:rPr>
                <w:rFonts w:ascii="Meiryo UI" w:hAnsi="Meiryo UI"/>
                <w:sz w:val="18"/>
              </w:rPr>
              <w:t>自己資本比率低下が心理的ネガティブ</w:t>
            </w:r>
          </w:p>
        </w:tc>
        <w:tc>
          <w:tcPr>
            <w:tcW w:type="dxa" w:w="3135"/>
          </w:tcPr>
          <w:p>
            <w:r>
              <w:rPr>
                <w:rFonts w:ascii="Meiryo UI" w:hAnsi="Meiryo UI"/>
                <w:sz w:val="18"/>
              </w:rPr>
              <w:t>実態への影響は軽微だが、財務指標の数字は大幅悪化</w:t>
            </w:r>
          </w:p>
        </w:tc>
      </w:tr>
      <w:tr>
        <w:tc>
          <w:tcPr>
            <w:tcW w:type="dxa" w:w="3135"/>
            <w:shd w:val="clear" w:color="auto" w:fill="DDEBF7"/>
          </w:tcPr>
          <w:p>
            <w:r>
              <w:rPr>
                <w:rFonts w:ascii="Meiryo UI" w:hAnsi="Meiryo UI"/>
                <w:sz w:val="18"/>
              </w:rPr>
              <w:t>受注-5%</w:t>
            </w:r>
          </w:p>
        </w:tc>
        <w:tc>
          <w:tcPr>
            <w:tcW w:type="dxa" w:w="3135"/>
            <w:shd w:val="clear" w:color="auto" w:fill="DDEBF7"/>
          </w:tcPr>
          <w:p>
            <w:r>
              <w:rPr>
                <w:rFonts w:ascii="Meiryo UI" w:hAnsi="Meiryo UI"/>
                <w:sz w:val="18"/>
              </w:rPr>
              <w:t>センチメント上はネガティブ情報</w:t>
            </w:r>
          </w:p>
        </w:tc>
        <w:tc>
          <w:tcPr>
            <w:tcW w:type="dxa" w:w="3135"/>
            <w:shd w:val="clear" w:color="auto" w:fill="DDEBF7"/>
          </w:tcPr>
          <w:p>
            <w:r>
              <w:rPr>
                <w:rFonts w:ascii="Meiryo UI" w:hAnsi="Meiryo UI"/>
                <w:sz w:val="18"/>
              </w:rPr>
              <w:t>実質横ばいのため業績モデルへの影響は軽微</w:t>
            </w:r>
          </w:p>
        </w:tc>
      </w:tr>
    </w:tbl>
    <w:p/>
    <w:p>
      <w:r>
        <w:rPr>
          <w:rFonts w:ascii="Meiryo UI" w:hAnsi="Meiryo UI"/>
          <w:sz w:val="20"/>
        </w:rPr>
        <w:t>統合判断: センチメント・バリュエーションの両面でほぼ同じ結論（中立）に収束。理論株価3,780円はみずほ証券目標株価4,000円より低く、外部アナリストがやや強気寄りであることに留意。</w:t>
      </w:r>
    </w:p>
    <w:p/>
    <w:p>
      <w:r>
        <w:t>──────────────────────────────────────────────────</w:t>
      </w:r>
    </w:p>
    <w:p/>
    <w:p>
      <w:pPr>
        <w:pStyle w:val="Heading2"/>
      </w:pPr>
      <w:r>
        <w:rPr>
          <w:rFonts w:ascii="Meiryo UI" w:hAnsi="Meiryo UI"/>
          <w:color w:val="2E74B5"/>
        </w:rPr>
        <w:t>5. 重要イベントカレンダーと注目ポイント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日程</w:t>
            </w:r>
          </w:p>
        </w:tc>
        <w:tc>
          <w:tcPr>
            <w:tcW w:type="dxa" w:w="3135"/>
            <w:shd w:val="clear" w:color="auto" w:fill="2E74B5"/>
          </w:tcPr>
          <w:p>
            <w:r>
              <w:rPr>
                <w:rFonts w:ascii="Meiryo UI" w:hAnsi="Meiryo UI"/>
                <w:b/>
                <w:color w:val="FFFFFF"/>
                <w:sz w:val="18"/>
              </w:rPr>
              <w:t>イベント</w:t>
            </w:r>
          </w:p>
        </w:tc>
        <w:tc>
          <w:tcPr>
            <w:tcW w:type="dxa" w:w="3135"/>
            <w:shd w:val="clear" w:color="auto" w:fill="2E74B5"/>
          </w:tcPr>
          <w:p>
            <w:r>
              <w:rPr>
                <w:rFonts w:ascii="Meiryo UI" w:hAnsi="Meiryo UI"/>
                <w:b/>
                <w:color w:val="FFFFFF"/>
                <w:sz w:val="18"/>
              </w:rPr>
              <w:t>注目点</w:t>
            </w:r>
          </w:p>
        </w:tc>
      </w:tr>
      <w:tr>
        <w:tc>
          <w:tcPr>
            <w:tcW w:type="dxa" w:w="3135"/>
          </w:tcPr>
          <w:p>
            <w:r>
              <w:rPr>
                <w:rFonts w:ascii="Meiryo UI" w:hAnsi="Meiryo UI"/>
                <w:sz w:val="18"/>
              </w:rPr>
              <w:t>2026-04-30</w:t>
            </w:r>
          </w:p>
        </w:tc>
        <w:tc>
          <w:tcPr>
            <w:tcW w:type="dxa" w:w="3135"/>
          </w:tcPr>
          <w:p>
            <w:r>
              <w:rPr>
                <w:rFonts w:ascii="Meiryo UI" w:hAnsi="Meiryo UI"/>
                <w:sz w:val="18"/>
              </w:rPr>
              <w:t>4Q決算発表（11:30）</w:t>
            </w:r>
          </w:p>
        </w:tc>
        <w:tc>
          <w:tcPr>
            <w:tcW w:type="dxa" w:w="3135"/>
          </w:tcPr>
          <w:p>
            <w:r>
              <w:rPr>
                <w:rFonts w:ascii="Meiryo UI" w:hAnsi="Meiryo UI"/>
                <w:sz w:val="18"/>
              </w:rPr>
              <w:t>通期ROE・EPS確定値。特別利益の計上タイミング確認</w:t>
            </w:r>
          </w:p>
        </w:tc>
      </w:tr>
      <w:tr>
        <w:tc>
          <w:tcPr>
            <w:tcW w:type="dxa" w:w="3135"/>
            <w:shd w:val="clear" w:color="auto" w:fill="DDEBF7"/>
          </w:tcPr>
          <w:p>
            <w:r>
              <w:rPr>
                <w:rFonts w:ascii="Meiryo UI" w:hAnsi="Meiryo UI"/>
                <w:sz w:val="18"/>
              </w:rPr>
              <w:t>2026-05-22</w:t>
            </w:r>
          </w:p>
        </w:tc>
        <w:tc>
          <w:tcPr>
            <w:tcW w:type="dxa" w:w="3135"/>
            <w:shd w:val="clear" w:color="auto" w:fill="DDEBF7"/>
          </w:tcPr>
          <w:p>
            <w:r>
              <w:rPr>
                <w:rFonts w:ascii="Meiryo UI" w:hAnsi="Meiryo UI"/>
                <w:sz w:val="18"/>
              </w:rPr>
              <w:t>竹内社長スモールミーティング（ZOOM）</w:t>
            </w:r>
          </w:p>
        </w:tc>
        <w:tc>
          <w:tcPr>
            <w:tcW w:type="dxa" w:w="3135"/>
            <w:shd w:val="clear" w:color="auto" w:fill="DDEBF7"/>
          </w:tcPr>
          <w:p>
            <w:r>
              <w:rPr>
                <w:rFonts w:ascii="Meiryo UI" w:hAnsi="Meiryo UI"/>
                <w:sz w:val="18"/>
              </w:rPr>
              <w:t>新リース会計の投資家向け説明内容・株主還元方針の言及</w:t>
            </w:r>
          </w:p>
        </w:tc>
      </w:tr>
      <w:tr>
        <w:tc>
          <w:tcPr>
            <w:tcW w:type="dxa" w:w="3135"/>
          </w:tcPr>
          <w:p>
            <w:r>
              <w:rPr>
                <w:rFonts w:ascii="Meiryo UI" w:hAnsi="Meiryo UI"/>
                <w:sz w:val="18"/>
              </w:rPr>
              <w:t>2026年8月頃</w:t>
            </w:r>
          </w:p>
        </w:tc>
        <w:tc>
          <w:tcPr>
            <w:tcW w:type="dxa" w:w="3135"/>
          </w:tcPr>
          <w:p>
            <w:r>
              <w:rPr>
                <w:rFonts w:ascii="Meiryo UI" w:hAnsi="Meiryo UI"/>
                <w:sz w:val="18"/>
              </w:rPr>
              <w:t>ソラスト株売却・特別利益計上</w:t>
            </w:r>
          </w:p>
        </w:tc>
        <w:tc>
          <w:tcPr>
            <w:tcW w:type="dxa" w:w="3135"/>
          </w:tcPr>
          <w:p>
            <w:r>
              <w:rPr>
                <w:rFonts w:ascii="Meiryo UI" w:hAnsi="Meiryo UI"/>
                <w:sz w:val="18"/>
              </w:rPr>
              <w:t>一時的収益増（約100億円）が財務指標に与える影響の確認</w:t>
            </w:r>
          </w:p>
        </w:tc>
      </w:tr>
      <w:tr>
        <w:tc>
          <w:tcPr>
            <w:tcW w:type="dxa" w:w="3135"/>
            <w:shd w:val="clear" w:color="auto" w:fill="DDEBF7"/>
          </w:tcPr>
          <w:p>
            <w:r>
              <w:rPr>
                <w:rFonts w:ascii="Meiryo UI" w:hAnsi="Meiryo UI"/>
                <w:sz w:val="18"/>
              </w:rPr>
              <w:t>27/3期中</w:t>
            </w:r>
          </w:p>
        </w:tc>
        <w:tc>
          <w:tcPr>
            <w:tcW w:type="dxa" w:w="3135"/>
            <w:shd w:val="clear" w:color="auto" w:fill="DDEBF7"/>
          </w:tcPr>
          <w:p>
            <w:r>
              <w:rPr>
                <w:rFonts w:ascii="Meiryo UI" w:hAnsi="Meiryo UI"/>
                <w:sz w:val="18"/>
              </w:rPr>
              <w:t>新リース会計移行・開示</w:t>
            </w:r>
          </w:p>
        </w:tc>
        <w:tc>
          <w:tcPr>
            <w:tcW w:type="dxa" w:w="3135"/>
            <w:shd w:val="clear" w:color="auto" w:fill="DDEBF7"/>
          </w:tcPr>
          <w:p>
            <w:r>
              <w:rPr>
                <w:rFonts w:ascii="Meiryo UI" w:hAnsi="Meiryo UI"/>
                <w:sz w:val="18"/>
              </w:rPr>
              <w:t>現行基準と新基準の両建て開示内容が株価のカタリストになりうる</w:t>
            </w:r>
          </w:p>
        </w:tc>
      </w:tr>
    </w:tbl>
    <w:p/>
    <w:p>
      <w:r>
        <w:t>──────────────────────────────────────────────────</w:t>
      </w:r>
    </w:p>
    <w:p/>
    <w:p>
      <w:pPr>
        <w:pStyle w:val="Heading2"/>
      </w:pPr>
      <w:r>
        <w:rPr>
          <w:rFonts w:ascii="Meiryo UI" w:hAnsi="Meiryo UI"/>
          <w:color w:val="2E74B5"/>
        </w:rPr>
        <w:t>6. 深井総合所見</w:t>
      </w:r>
    </w:p>
    <w:p/>
    <w:p>
      <w:r>
        <w:rPr>
          <w:rFonts w:ascii="Meiryo UI" w:hAnsi="Meiryo UI"/>
          <w:sz w:val="20"/>
        </w:rPr>
        <w:t>理論株価3,780円に対し推定現在株価3,650円は約3.6%の上値余地であり、±10%の「中立」レンジに収まる。ROE20%超の収益力は住宅建設セクターで突出しており、長期保有の観点では評価できる水準だ。</w:t>
      </w:r>
    </w:p>
    <w:p/>
    <w:p>
      <w:r>
        <w:rPr>
          <w:rFonts w:ascii="Meiryo UI" w:hAnsi="Meiryo UI"/>
          <w:sz w:val="20"/>
        </w:rPr>
        <w:t>しかし、今は積極的に買い向かう局面ではないと判断する。理由は2点ある。第一に、新リース会計による自己資本比率44.4%→15.5%という急激な指標悪化は、機関投資家のスクリーニング落ち・格付けへの影響という形で株価に下押し圧力をかけうる。第二に、4月30日の4Q決算で実数値が確認できるまで、EPS・配当の確定値が不明のままバリュエーションの精度が低い状態が続く。</w:t>
      </w:r>
    </w:p>
    <w:p/>
    <w:p>
      <w:r>
        <w:rPr>
          <w:rFonts w:ascii="Meiryo UI" w:hAnsi="Meiryo UI"/>
          <w:sz w:val="20"/>
        </w:rPr>
        <w:t>結論: 現時点では「中立・ホールド」。4Q決算後にEPS・配当予告が確定した段階で、理論株価を更新して再評価する。新リース会計の詳細IRが投資家の懸念を払拭する内容であれば、適正PERを0.5〜1倍引き上げ、強気評価への転換も検討する。</w:t>
      </w:r>
    </w:p>
    <w:p/>
    <w:p>
      <w:r>
        <w:t>──────────────────────────────────────────────────</w:t>
      </w:r>
    </w:p>
    <w:p/>
    <w:p>
      <w:r>
        <w:rPr>
          <w:rFonts w:ascii="Meiryo UI" w:hAnsi="Meiryo UI"/>
          <w:sz w:val="20"/>
        </w:rPr>
        <w:t xml:space="preserve">本レポートは竹村トレードカンパニー社内分析資料です。会社共通ルールに基づき全社員に共有されます。  </w:t>
      </w:r>
    </w:p>
    <w:p>
      <w:r>
        <w:rPr>
          <w:rFonts w:ascii="Meiryo UI" w:hAnsi="Meiryo UI"/>
          <w:sz w:val="20"/>
        </w:rPr>
        <w:t>金田（トレーダー）・豆田（リスク管理）への連携は本レポートと浅井レポートの両方を参照のこと。</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