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 — 最終版】大東建託（1878） 総合投資調査レポート</w:t>
      </w:r>
    </w:p>
    <w:p/>
    <w:p/>
    <w:p>
      <w:pPr>
        <w:jc w:val="center"/>
      </w:pPr>
      <w:r>
        <w:rPr>
          <w:rFonts w:ascii="Meiryo UI" w:hAnsi="Meiryo UI"/>
          <w:sz w:val="24"/>
        </w:rPr>
        <w:t>アナリスト：深井</w:t>
      </w:r>
    </w:p>
    <w:p>
      <w:pPr>
        <w:jc w:val="center"/>
      </w:pPr>
      <w:r>
        <w:rPr>
          <w:rFonts w:ascii="Meiryo UI" w:hAnsi="Meiryo UI"/>
          <w:sz w:val="24"/>
        </w:rPr>
        <w:t>分析日：2026年04月04日</w:t>
      </w:r>
    </w:p>
    <w:p>
      <w:r>
        <w:br w:type="page"/>
      </w:r>
    </w:p>
    <w:p>
      <w:pPr>
        <w:pStyle w:val="Heading1"/>
      </w:pPr>
      <w:r>
        <w:rPr>
          <w:rFonts w:ascii="Meiryo UI" w:hAnsi="Meiryo UI"/>
          <w:color w:val="1F3864"/>
        </w:rPr>
        <w:t>【Deep Research — 最終版】大東建託（1878） 総合投資調査レポート</w:t>
      </w:r>
    </w:p>
    <w:p/>
    <w:p>
      <w:pPr>
        <w:shd w:val="clear" w:color="auto" w:fill="F2F2F2"/>
      </w:pPr>
      <w:r>
        <w:rPr>
          <w:rFonts w:ascii="Courier New" w:hAnsi="Courier New"/>
          <w:sz w:val="16"/>
        </w:rPr>
        <w:t>{</w:t>
        <w:br/>
        <w:t xml:space="preserve">  "analyst": "深井",</w:t>
        <w:br/>
        <w:t xml:space="preserve">  "analysis_date": "2026-04-04",</w:t>
        <w:br/>
        <w:t xml:space="preserve">  "ticker_code": "1878",</w:t>
        <w:br/>
        <w:t xml:space="preserve">  "ticker_name": "大東建託株式会社",</w:t>
        <w:br/>
        <w:t xml:space="preserve">  "report_type": "Deep Research — 最終版（定性デルタ分析統合）",</w:t>
        <w:br/>
        <w:t xml:space="preserve">  "financials": {</w:t>
        <w:br/>
        <w:t xml:space="preserve">    "fcf_base": 80000,</w:t>
        <w:br/>
        <w:t xml:space="preserve">    "roe": 21.5,</w:t>
        <w:br/>
        <w:t xml:space="preserve">    "equity_ratio": 38.4,</w:t>
        <w:br/>
        <w:t xml:space="preserve">    "revenue_growth_yoy": 6.4,</w:t>
        <w:br/>
        <w:t xml:space="preserve">    "operating_margin": 6.5</w:t>
        <w:br/>
        <w:t xml:space="preserve">  },</w:t>
        <w:br/>
        <w:t xml:space="preserve">  "dcf_assumptions": {</w:t>
        <w:br/>
        <w:t xml:space="preserve">    "jgb_10y": 1.5,</w:t>
        <w:br/>
        <w:t xml:space="preserve">    "equity_risk_premium": 5.5,</w:t>
        <w:br/>
        <w:t xml:space="preserve">    "beta": 0.85,</w:t>
        <w:br/>
        <w:t xml:space="preserve">    "cost_of_equity": 6.2,</w:t>
        <w:br/>
        <w:t xml:space="preserve">    "cost_of_debt_after_tax": 0.5,</w:t>
        <w:br/>
        <w:t xml:space="preserve">    "wacc": 5.0,</w:t>
        <w:br/>
        <w:t xml:space="preserve">    "wacc_basis": "Ke=1.5%+5.5%×0.85=6.175%、Kd税引後=0.5%、資本構成E/V≈80%・D/V≈20%でWACC算出",</w:t>
        <w:br/>
        <w:t xml:space="preserve">    "fcf_growth_phase1": 5.0,</w:t>
        <w:br/>
        <w:t xml:space="preserve">    "fcf_growth_phase1_basis": "管理戸数増加・都市部集中戦略・入居率高水準維持（97.98%）による安定FCF拡大。中計最終年度FY2026目標（営業利益1,400億円）達成シナリオに基づく5%成長採用",</w:t>
        <w:br/>
        <w:t xml:space="preserve">    "fcf_growth_terminal": 1.0,</w:t>
        <w:br/>
        <w:t xml:space="preserve">    "fcf_growth_terminal_basis": "日本の名目GDP成長率1.0〜1.5%の下限。人口動態の逆風を考慮し保守的に1.0%を採用",</w:t>
        <w:br/>
        <w:t xml:space="preserve">    "forecast_years": 5</w:t>
        <w:br/>
        <w:t xml:space="preserve">  },</w:t>
        <w:br/>
        <w:t xml:space="preserve">  "dcf_result": {</w:t>
        <w:br/>
        <w:t xml:space="preserve">    "pv_explicit_period": 399040,</w:t>
        <w:br/>
        <w:t xml:space="preserve">    "terminal_value": 2578100,</w:t>
        <w:br/>
        <w:t xml:space="preserve">    "pv_terminal_value": 2020700,</w:t>
        <w:br/>
        <w:t xml:space="preserve">    "enterprise_value": 2419740,</w:t>
        <w:br/>
        <w:t xml:space="preserve">    "net_debt": -80000,</w:t>
        <w:br/>
        <w:t xml:space="preserve">    "equity_value": 2499740,</w:t>
        <w:br/>
        <w:t xml:space="preserve">    "shares_outstanding": 34459,</w:t>
        <w:br/>
        <w:t xml:space="preserve">    "theoretical_price": 7254,</w:t>
        <w:br/>
        <w:t xml:space="preserve">    "theoretical_price_conservative": 5900,</w:t>
        <w:br/>
        <w:t xml:space="preserve">    "current_price": 3742,</w:t>
        <w:br/>
        <w:t xml:space="preserve">    "upside_downside_pct": 57.7,</w:t>
        <w:br/>
        <w:t xml:space="preserve">    "investment_rating": "強い買い"</w:t>
        <w:br/>
        <w:t xml:space="preserve">  },</w:t>
        <w:br/>
        <w:t xml:space="preserve">  "qualitative_delta_signal": "🟠 中〜強シグナル（経営陣トーン：防衛的→攻撃的、新リース会計リスク：先手開示モードへ移行）",</w:t>
        <w:br/>
        <w:t xml:space="preserve">  "key_risks": [</w:t>
        <w:br/>
        <w:t xml:space="preserve">    "受注高の前期比▲11.7%（FY2026Q1）という先行指標の悪化",</w:t>
        <w:br/>
        <w:t xml:space="preserve">    "建設コスト上昇による受注採算・量への圧力",</w:t>
        <w:br/>
        <w:t xml:space="preserve">    "人口減少による長期賃貸需要の構造的減退",</w:t>
        <w:br/>
        <w:t xml:space="preserve">    "金利上昇によるアパートローン需要減退",</w:t>
        <w:br/>
        <w:t xml:space="preserve">    "新リース会計適用後の自己資本比率44.4%→15.5%への急落（外部開示リスク）",</w:t>
        <w:br/>
        <w:t xml:space="preserve">    "サブリース賃料下落（築年数経過に伴う構造的圧力）"</w:t>
        <w:br/>
        <w:t xml:space="preserve">  ],</w:t>
        <w:br/>
        <w:t xml:space="preserve">  "analyst_comment": "本最終版レポートでは、定性デルタ分析を統合した結果、経営陣のメッセージングが防衛的から攻撃的へと転換していることが確認された。新リース会計問題についても、会社が先手で両基準を開示する姿勢を取り始めており、これはネガティブサプライズの確率を低下させる重要なポジティブシグナルである。入居率97.98%・ROE20%超という本業の強さを背景に、DCFベースの保守的理論株価5,900円は現在株価3,742円に対して+57.7%の上値余地を示している。4月30日の4Q決算発表が最大のカタリストとなる見込みであり、受注モメンタムの回復確認が中長期投資の買い増しシグナルとなる。"</w:t>
        <w:br/>
        <w:t>}</w:t>
      </w:r>
    </w:p>
    <w:p/>
    <w:p>
      <w:r>
        <w:t>──────────────────────────────────────────────────</w:t>
      </w:r>
    </w:p>
    <w:p/>
    <w:p>
      <w:pPr>
        <w:pStyle w:val="Heading2"/>
      </w:pPr>
      <w:r>
        <w:rPr>
          <w:rFonts w:ascii="Meiryo UI" w:hAnsi="Meiryo UI"/>
          <w:color w:val="2E74B5"/>
        </w:rPr>
        <w:t>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銘柄</w:t>
            </w:r>
          </w:p>
        </w:tc>
        <w:tc>
          <w:tcPr>
            <w:tcW w:type="dxa" w:w="4703"/>
          </w:tcPr>
          <w:p>
            <w:r>
              <w:rPr>
                <w:rFonts w:ascii="Meiryo UI" w:hAnsi="Meiryo UI"/>
                <w:sz w:val="18"/>
              </w:rPr>
              <w:t>大東建託株式会社（東証プライム：1878）</w:t>
            </w:r>
          </w:p>
        </w:tc>
      </w:tr>
      <w:tr>
        <w:tc>
          <w:tcPr>
            <w:tcW w:type="dxa" w:w="4703"/>
            <w:shd w:val="clear" w:color="auto" w:fill="DDEBF7"/>
          </w:tcPr>
          <w:p>
            <w:r>
              <w:rPr>
                <w:rFonts w:ascii="Meiryo UI" w:hAnsi="Meiryo UI"/>
                <w:sz w:val="18"/>
              </w:rPr>
              <w:t>分析日</w:t>
            </w:r>
          </w:p>
        </w:tc>
        <w:tc>
          <w:tcPr>
            <w:tcW w:type="dxa" w:w="4703"/>
            <w:shd w:val="clear" w:color="auto" w:fill="DDEBF7"/>
          </w:tcPr>
          <w:p>
            <w:r>
              <w:rPr>
                <w:rFonts w:ascii="Meiryo UI" w:hAnsi="Meiryo UI"/>
                <w:sz w:val="18"/>
              </w:rPr>
              <w:t>2026年4月4日</w:t>
            </w:r>
          </w:p>
        </w:tc>
      </w:tr>
      <w:tr>
        <w:tc>
          <w:tcPr>
            <w:tcW w:type="dxa" w:w="4703"/>
          </w:tcPr>
          <w:p>
            <w:r>
              <w:rPr>
                <w:rFonts w:ascii="Meiryo UI" w:hAnsi="Meiryo UI"/>
                <w:sz w:val="18"/>
              </w:rPr>
              <w:t>現在株価</w:t>
            </w:r>
          </w:p>
        </w:tc>
        <w:tc>
          <w:tcPr>
            <w:tcW w:type="dxa" w:w="4703"/>
          </w:tcPr>
          <w:p>
            <w:r>
              <w:rPr>
                <w:rFonts w:ascii="Meiryo UI" w:hAnsi="Meiryo UI"/>
                <w:sz w:val="18"/>
              </w:rPr>
              <w:t>3,742円</w:t>
            </w:r>
          </w:p>
        </w:tc>
      </w:tr>
      <w:tr>
        <w:tc>
          <w:tcPr>
            <w:tcW w:type="dxa" w:w="4703"/>
            <w:shd w:val="clear" w:color="auto" w:fill="DDEBF7"/>
          </w:tcPr>
          <w:p>
            <w:r>
              <w:rPr>
                <w:rFonts w:ascii="Meiryo UI" w:hAnsi="Meiryo UI"/>
                <w:sz w:val="18"/>
              </w:rPr>
              <w:t>DCF理論株価（ベースケース）</w:t>
            </w:r>
          </w:p>
        </w:tc>
        <w:tc>
          <w:tcPr>
            <w:tcW w:type="dxa" w:w="4703"/>
            <w:shd w:val="clear" w:color="auto" w:fill="DDEBF7"/>
          </w:tcPr>
          <w:p>
            <w:r>
              <w:rPr>
                <w:rFonts w:ascii="Meiryo UI" w:hAnsi="Meiryo UI"/>
                <w:sz w:val="18"/>
              </w:rPr>
              <w:t>7,254円</w:t>
            </w:r>
          </w:p>
        </w:tc>
      </w:tr>
      <w:tr>
        <w:tc>
          <w:tcPr>
            <w:tcW w:type="dxa" w:w="4703"/>
          </w:tcPr>
          <w:p>
            <w:r>
              <w:rPr>
                <w:rFonts w:ascii="Meiryo UI" w:hAnsi="Meiryo UI"/>
                <w:sz w:val="18"/>
              </w:rPr>
              <w:t>DCF理論株価（保守的）</w:t>
            </w:r>
          </w:p>
        </w:tc>
        <w:tc>
          <w:tcPr>
            <w:tcW w:type="dxa" w:w="4703"/>
          </w:tcPr>
          <w:p>
            <w:r>
              <w:rPr>
                <w:rFonts w:ascii="Meiryo UI" w:hAnsi="Meiryo UI"/>
                <w:sz w:val="18"/>
              </w:rPr>
              <w:t>5,900円</w:t>
            </w:r>
          </w:p>
        </w:tc>
      </w:tr>
      <w:tr>
        <w:tc>
          <w:tcPr>
            <w:tcW w:type="dxa" w:w="4703"/>
            <w:shd w:val="clear" w:color="auto" w:fill="DDEBF7"/>
          </w:tcPr>
          <w:p>
            <w:r>
              <w:rPr>
                <w:rFonts w:ascii="Meiryo UI" w:hAnsi="Meiryo UI"/>
                <w:sz w:val="18"/>
              </w:rPr>
              <w:t>上値余地（保守的ベース）</w:t>
            </w:r>
          </w:p>
        </w:tc>
        <w:tc>
          <w:tcPr>
            <w:tcW w:type="dxa" w:w="4703"/>
            <w:shd w:val="clear" w:color="auto" w:fill="DDEBF7"/>
          </w:tcPr>
          <w:p>
            <w:r>
              <w:rPr>
                <w:rFonts w:ascii="Meiryo UI" w:hAnsi="Meiryo UI"/>
                <w:sz w:val="18"/>
              </w:rPr>
              <w:t>+57.7%</w:t>
            </w:r>
          </w:p>
        </w:tc>
      </w:tr>
      <w:tr>
        <w:tc>
          <w:tcPr>
            <w:tcW w:type="dxa" w:w="4703"/>
          </w:tcPr>
          <w:p>
            <w:r>
              <w:rPr>
                <w:rFonts w:ascii="Meiryo UI" w:hAnsi="Meiryo UI"/>
                <w:sz w:val="18"/>
              </w:rPr>
              <w:t>投資レーティング</w:t>
            </w:r>
          </w:p>
        </w:tc>
        <w:tc>
          <w:tcPr>
            <w:tcW w:type="dxa" w:w="4703"/>
          </w:tcPr>
          <w:p>
            <w:r>
              <w:rPr>
                <w:rFonts w:ascii="Meiryo UI" w:hAnsi="Meiryo UI"/>
                <w:sz w:val="18"/>
              </w:rPr>
              <w:t>強い買い</w:t>
            </w:r>
          </w:p>
        </w:tc>
      </w:tr>
      <w:tr>
        <w:tc>
          <w:tcPr>
            <w:tcW w:type="dxa" w:w="4703"/>
            <w:shd w:val="clear" w:color="auto" w:fill="DDEBF7"/>
          </w:tcPr>
          <w:p>
            <w:r>
              <w:rPr>
                <w:rFonts w:ascii="Meiryo UI" w:hAnsi="Meiryo UI"/>
                <w:sz w:val="18"/>
              </w:rPr>
              <w:t>配当利回り（予）</w:t>
            </w:r>
          </w:p>
        </w:tc>
        <w:tc>
          <w:tcPr>
            <w:tcW w:type="dxa" w:w="4703"/>
            <w:shd w:val="clear" w:color="auto" w:fill="DDEBF7"/>
          </w:tcPr>
          <w:p>
            <w:r>
              <w:rPr>
                <w:rFonts w:ascii="Meiryo UI" w:hAnsi="Meiryo UI"/>
                <w:sz w:val="18"/>
              </w:rPr>
              <w:t>3.82%（1株143円）</w:t>
            </w:r>
          </w:p>
        </w:tc>
      </w:tr>
      <w:tr>
        <w:tc>
          <w:tcPr>
            <w:tcW w:type="dxa" w:w="4703"/>
          </w:tcPr>
          <w:p>
            <w:r>
              <w:rPr>
                <w:rFonts w:ascii="Meiryo UI" w:hAnsi="Meiryo UI"/>
                <w:sz w:val="18"/>
              </w:rPr>
              <w:t>定性デルタシグナル</w:t>
            </w:r>
          </w:p>
        </w:tc>
        <w:tc>
          <w:tcPr>
            <w:tcW w:type="dxa" w:w="4703"/>
          </w:tcPr>
          <w:p>
            <w:r>
              <w:rPr>
                <w:rFonts w:ascii="Meiryo UI" w:hAnsi="Meiryo UI"/>
                <w:sz w:val="18"/>
              </w:rPr>
              <w:t>🟠 中〜強シグナル（攻撃的トーンへ転換）</w:t>
            </w:r>
          </w:p>
        </w:tc>
      </w:tr>
      <w:tr>
        <w:tc>
          <w:tcPr>
            <w:tcW w:type="dxa" w:w="4703"/>
            <w:shd w:val="clear" w:color="auto" w:fill="DDEBF7"/>
          </w:tcPr>
          <w:p>
            <w:r>
              <w:rPr>
                <w:rFonts w:ascii="Meiryo UI" w:hAnsi="Meiryo UI"/>
                <w:sz w:val="18"/>
              </w:rPr>
              <w:t>総合リスク評価</w:t>
            </w:r>
          </w:p>
        </w:tc>
        <w:tc>
          <w:tcPr>
            <w:tcW w:type="dxa" w:w="4703"/>
            <w:shd w:val="clear" w:color="auto" w:fill="DDEBF7"/>
          </w:tcPr>
          <w:p>
            <w:r>
              <w:rPr>
                <w:rFonts w:ascii="Meiryo UI" w:hAnsi="Meiryo UI"/>
                <w:sz w:val="18"/>
              </w:rPr>
              <w:t>🟠 High（主因：受注モメンタム悪化、新リース会計）</w:t>
            </w:r>
          </w:p>
        </w:tc>
      </w:tr>
      <w:tr>
        <w:tc>
          <w:tcPr>
            <w:tcW w:type="dxa" w:w="4703"/>
          </w:tcPr>
          <w:p>
            <w:r>
              <w:rPr>
                <w:rFonts w:ascii="Meiryo UI" w:hAnsi="Meiryo UI"/>
                <w:sz w:val="18"/>
              </w:rPr>
              <w:t>次の重要イベント</w:t>
            </w:r>
          </w:p>
        </w:tc>
        <w:tc>
          <w:tcPr>
            <w:tcW w:type="dxa" w:w="4703"/>
          </w:tcPr>
          <w:p>
            <w:r>
              <w:rPr>
                <w:rFonts w:ascii="Meiryo UI" w:hAnsi="Meiryo UI"/>
                <w:sz w:val="18"/>
              </w:rPr>
              <w:t>4月30日（木）4Q決算発表（11:30）</w:t>
            </w:r>
          </w:p>
        </w:tc>
      </w:tr>
    </w:tbl>
    <w:p/>
    <w:p>
      <w:r>
        <w:t>──────────────────────────────────────────────────</w:t>
      </w:r>
    </w:p>
    <w:p/>
    <w:p>
      <w:pPr>
        <w:pStyle w:val="Heading2"/>
      </w:pPr>
      <w:r>
        <w:rPr>
          <w:rFonts w:ascii="Meiryo UI" w:hAnsi="Meiryo UI"/>
          <w:color w:val="2E74B5"/>
        </w:rPr>
        <w:t>Section E: 決算資料の定性デルタ分析（新機能 — スキルv最終版）</w:t>
      </w:r>
    </w:p>
    <w:p/>
    <w:p>
      <w:r>
        <w:rPr>
          <w:rFonts w:ascii="Meiryo UI" w:hAnsi="Meiryo UI"/>
          <w:sz w:val="20"/>
        </w:rPr>
        <w:t>比較対象期間:</w:t>
      </w:r>
    </w:p>
    <w:p>
      <w:pPr>
        <w:pStyle w:val="ListBullet"/>
      </w:pPr>
      <w:r>
        <w:rPr>
          <w:rFonts w:ascii="Meiryo UI" w:hAnsi="Meiryo UI"/>
          <w:sz w:val="20"/>
        </w:rPr>
        <w:t>旧資料（2026年4月2日時点）: みずほ証券レポート受領時点での初期DCF分析（daito_dcf_report.md）</w:t>
      </w:r>
    </w:p>
    <w:p>
      <w:pPr>
        <w:pStyle w:val="ListBullet"/>
      </w:pPr>
      <w:r>
        <w:rPr>
          <w:rFonts w:ascii="Meiryo UI" w:hAnsi="Meiryo UI"/>
          <w:sz w:val="20"/>
        </w:rPr>
        <w:t>新資料（2026年4月3〜4日時点）: Deep Research統合版（daito_comprehensive_report.md）＋みずほ証券橋本レポート全文解析</w:t>
      </w:r>
    </w:p>
    <w:p/>
    <w:p>
      <w:r>
        <w:t>──────────────────────────────────────────────────</w:t>
      </w:r>
    </w:p>
    <w:p/>
    <w:p>
      <w:pPr>
        <w:pStyle w:val="Heading3"/>
      </w:pPr>
      <w:r>
        <w:rPr>
          <w:rFonts w:ascii="Meiryo UI" w:hAnsi="Meiryo UI"/>
          <w:color w:val="2E74B5"/>
        </w:rPr>
        <w:t>トーン変化分析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分析軸</w:t>
            </w:r>
          </w:p>
        </w:tc>
        <w:tc>
          <w:tcPr>
            <w:tcW w:type="dxa" w:w="1881"/>
            <w:shd w:val="clear" w:color="auto" w:fill="2E74B5"/>
          </w:tcPr>
          <w:p>
            <w:r>
              <w:rPr>
                <w:rFonts w:ascii="Meiryo UI" w:hAnsi="Meiryo UI"/>
                <w:b/>
                <w:color w:val="FFFFFF"/>
                <w:sz w:val="18"/>
              </w:rPr>
              <w:t>旧資料（2026-04-02時点）</w:t>
            </w:r>
          </w:p>
        </w:tc>
        <w:tc>
          <w:tcPr>
            <w:tcW w:type="dxa" w:w="1881"/>
            <w:shd w:val="clear" w:color="auto" w:fill="2E74B5"/>
          </w:tcPr>
          <w:p>
            <w:r>
              <w:rPr>
                <w:rFonts w:ascii="Meiryo UI" w:hAnsi="Meiryo UI"/>
                <w:b/>
                <w:color w:val="FFFFFF"/>
                <w:sz w:val="18"/>
              </w:rPr>
              <w:t>新資料（2026-04-03/04時点）</w:t>
            </w:r>
          </w:p>
        </w:tc>
        <w:tc>
          <w:tcPr>
            <w:tcW w:type="dxa" w:w="1881"/>
            <w:shd w:val="clear" w:color="auto" w:fill="2E74B5"/>
          </w:tcPr>
          <w:p>
            <w:r>
              <w:rPr>
                <w:rFonts w:ascii="Meiryo UI" w:hAnsi="Meiryo UI"/>
                <w:b/>
                <w:color w:val="FFFFFF"/>
                <w:sz w:val="18"/>
              </w:rPr>
              <w:t>変化方向</w:t>
            </w:r>
          </w:p>
        </w:tc>
        <w:tc>
          <w:tcPr>
            <w:tcW w:type="dxa" w:w="1881"/>
            <w:shd w:val="clear" w:color="auto" w:fill="2E74B5"/>
          </w:tcPr>
          <w:p>
            <w:r>
              <w:rPr>
                <w:rFonts w:ascii="Meiryo UI" w:hAnsi="Meiryo UI"/>
                <w:b/>
                <w:color w:val="FFFFFF"/>
                <w:sz w:val="18"/>
              </w:rPr>
              <w:t>シグナル</w:t>
            </w:r>
          </w:p>
        </w:tc>
      </w:tr>
      <w:tr>
        <w:tc>
          <w:tcPr>
            <w:tcW w:type="dxa" w:w="1881"/>
          </w:tcPr>
          <w:p>
            <w:r>
              <w:rPr>
                <w:rFonts w:ascii="Meiryo UI" w:hAnsi="Meiryo UI"/>
                <w:sz w:val="18"/>
              </w:rPr>
              <w:t>経営陣の全体トーン</w:t>
            </w:r>
          </w:p>
        </w:tc>
        <w:tc>
          <w:tcPr>
            <w:tcW w:type="dxa" w:w="1881"/>
          </w:tcPr>
          <w:p>
            <w:r>
              <w:rPr>
                <w:rFonts w:ascii="Meiryo UI" w:hAnsi="Meiryo UI"/>
                <w:sz w:val="18"/>
              </w:rPr>
              <w:t>防衛的（新リース会計問題への言及中心）</w:t>
            </w:r>
          </w:p>
        </w:tc>
        <w:tc>
          <w:tcPr>
            <w:tcW w:type="dxa" w:w="1881"/>
          </w:tcPr>
          <w:p>
            <w:r>
              <w:rPr>
                <w:rFonts w:ascii="Meiryo UI" w:hAnsi="Meiryo UI"/>
                <w:sz w:val="18"/>
              </w:rPr>
              <w:t>攻撃的（ROE20%超・中計目標達成を強調）</w:t>
            </w:r>
          </w:p>
        </w:tc>
        <w:tc>
          <w:tcPr>
            <w:tcW w:type="dxa" w:w="1881"/>
          </w:tcPr>
          <w:p>
            <w:r>
              <w:rPr>
                <w:rFonts w:ascii="Meiryo UI" w:hAnsi="Meiryo UI"/>
                <w:sz w:val="18"/>
              </w:rPr>
              <w:t>↑ 上昇</w:t>
            </w:r>
          </w:p>
        </w:tc>
        <w:tc>
          <w:tcPr>
            <w:tcW w:type="dxa" w:w="1881"/>
          </w:tcPr>
          <w:p>
            <w:r>
              <w:rPr>
                <w:rFonts w:ascii="Meiryo UI" w:hAnsi="Meiryo UI"/>
                <w:sz w:val="18"/>
              </w:rPr>
              <w:t>🟢 強気化</w:t>
            </w:r>
          </w:p>
        </w:tc>
      </w:tr>
      <w:tr>
        <w:tc>
          <w:tcPr>
            <w:tcW w:type="dxa" w:w="1881"/>
            <w:shd w:val="clear" w:color="auto" w:fill="DDEBF7"/>
          </w:tcPr>
          <w:p>
            <w:r>
              <w:rPr>
                <w:rFonts w:ascii="Meiryo UI" w:hAnsi="Meiryo UI"/>
                <w:sz w:val="18"/>
              </w:rPr>
              <w:t>ガイダンス姿勢</w:t>
            </w:r>
          </w:p>
        </w:tc>
        <w:tc>
          <w:tcPr>
            <w:tcW w:type="dxa" w:w="1881"/>
            <w:shd w:val="clear" w:color="auto" w:fill="DDEBF7"/>
          </w:tcPr>
          <w:p>
            <w:r>
              <w:rPr>
                <w:rFonts w:ascii="Meiryo UI" w:hAnsi="Meiryo UI"/>
                <w:sz w:val="18"/>
              </w:rPr>
              <w:t>保守的（実質横ばいと説明しつつ受注減を認める）</w:t>
            </w:r>
          </w:p>
        </w:tc>
        <w:tc>
          <w:tcPr>
            <w:tcW w:type="dxa" w:w="1881"/>
            <w:shd w:val="clear" w:color="auto" w:fill="DDEBF7"/>
          </w:tcPr>
          <w:p>
            <w:r>
              <w:rPr>
                <w:rFonts w:ascii="Meiryo UI" w:hAnsi="Meiryo UI"/>
                <w:sz w:val="18"/>
              </w:rPr>
              <w:t>積極的（FY2026売上2兆円・ROE20.7%を自信を持って提示）</w:t>
            </w:r>
          </w:p>
        </w:tc>
        <w:tc>
          <w:tcPr>
            <w:tcW w:type="dxa" w:w="1881"/>
            <w:shd w:val="clear" w:color="auto" w:fill="DDEBF7"/>
          </w:tcPr>
          <w:p>
            <w:r>
              <w:rPr>
                <w:rFonts w:ascii="Meiryo UI" w:hAnsi="Meiryo UI"/>
                <w:sz w:val="18"/>
              </w:rPr>
              <w:t>↑ 上昇</w:t>
            </w:r>
          </w:p>
        </w:tc>
        <w:tc>
          <w:tcPr>
            <w:tcW w:type="dxa" w:w="1881"/>
            <w:shd w:val="clear" w:color="auto" w:fill="DDEBF7"/>
          </w:tcPr>
          <w:p>
            <w:r>
              <w:rPr>
                <w:rFonts w:ascii="Meiryo UI" w:hAnsi="Meiryo UI"/>
                <w:sz w:val="18"/>
              </w:rPr>
              <w:t>🟢 積極化</w:t>
            </w:r>
          </w:p>
        </w:tc>
      </w:tr>
      <w:tr>
        <w:tc>
          <w:tcPr>
            <w:tcW w:type="dxa" w:w="1881"/>
          </w:tcPr>
          <w:p>
            <w:r>
              <w:rPr>
                <w:rFonts w:ascii="Meiryo UI" w:hAnsi="Meiryo UI"/>
                <w:sz w:val="18"/>
              </w:rPr>
              <w:t>新リース会計への対応姿勢</w:t>
            </w:r>
          </w:p>
        </w:tc>
        <w:tc>
          <w:tcPr>
            <w:tcW w:type="dxa" w:w="1881"/>
          </w:tcPr>
          <w:p>
            <w:r>
              <w:rPr>
                <w:rFonts w:ascii="Meiryo UI" w:hAnsi="Meiryo UI"/>
                <w:sz w:val="18"/>
              </w:rPr>
              <w:t>受動的（問題提起された事実を受け止める段階）</w:t>
            </w:r>
          </w:p>
        </w:tc>
        <w:tc>
          <w:tcPr>
            <w:tcW w:type="dxa" w:w="1881"/>
          </w:tcPr>
          <w:p>
            <w:r>
              <w:rPr>
                <w:rFonts w:ascii="Meiryo UI" w:hAnsi="Meiryo UI"/>
                <w:sz w:val="18"/>
              </w:rPr>
              <w:t>能動的（両基準での開示を先手で予告・「実態に変化なし」を明言）</w:t>
            </w:r>
          </w:p>
        </w:tc>
        <w:tc>
          <w:tcPr>
            <w:tcW w:type="dxa" w:w="1881"/>
          </w:tcPr>
          <w:p>
            <w:r>
              <w:rPr>
                <w:rFonts w:ascii="Meiryo UI" w:hAnsi="Meiryo UI"/>
                <w:sz w:val="18"/>
              </w:rPr>
              <w:t>↑ 転換</w:t>
            </w:r>
          </w:p>
        </w:tc>
        <w:tc>
          <w:tcPr>
            <w:tcW w:type="dxa" w:w="1881"/>
          </w:tcPr>
          <w:p>
            <w:r>
              <w:rPr>
                <w:rFonts w:ascii="Meiryo UI" w:hAnsi="Meiryo UI"/>
                <w:sz w:val="18"/>
              </w:rPr>
              <w:t>🟢 先手開示へ移行</w:t>
            </w:r>
          </w:p>
        </w:tc>
      </w:tr>
      <w:tr>
        <w:tc>
          <w:tcPr>
            <w:tcW w:type="dxa" w:w="1881"/>
            <w:shd w:val="clear" w:color="auto" w:fill="DDEBF7"/>
          </w:tcPr>
          <w:p>
            <w:r>
              <w:rPr>
                <w:rFonts w:ascii="Meiryo UI" w:hAnsi="Meiryo UI"/>
                <w:sz w:val="18"/>
              </w:rPr>
              <w:t>受注減速への説明</w:t>
            </w:r>
          </w:p>
        </w:tc>
        <w:tc>
          <w:tcPr>
            <w:tcW w:type="dxa" w:w="1881"/>
            <w:shd w:val="clear" w:color="auto" w:fill="DDEBF7"/>
          </w:tcPr>
          <w:p>
            <w:r>
              <w:rPr>
                <w:rFonts w:ascii="Meiryo UI" w:hAnsi="Meiryo UI"/>
                <w:sz w:val="18"/>
              </w:rPr>
              <w:t>表面数値（▲5%）のみ言及</w:t>
            </w:r>
          </w:p>
        </w:tc>
        <w:tc>
          <w:tcPr>
            <w:tcW w:type="dxa" w:w="1881"/>
            <w:shd w:val="clear" w:color="auto" w:fill="DDEBF7"/>
          </w:tcPr>
          <w:p>
            <w:r>
              <w:rPr>
                <w:rFonts w:ascii="Meiryo UI" w:hAnsi="Meiryo UI"/>
                <w:sz w:val="18"/>
              </w:rPr>
              <w:t>Build Set（別途30億円）の説明で「実質横ばい」へ再解釈</w:t>
            </w:r>
          </w:p>
        </w:tc>
        <w:tc>
          <w:tcPr>
            <w:tcW w:type="dxa" w:w="1881"/>
            <w:shd w:val="clear" w:color="auto" w:fill="DDEBF7"/>
          </w:tcPr>
          <w:p>
            <w:r>
              <w:rPr>
                <w:rFonts w:ascii="Meiryo UI" w:hAnsi="Meiryo UI"/>
                <w:sz w:val="18"/>
              </w:rPr>
              <w:t>↑ 攻撃化</w:t>
            </w:r>
          </w:p>
        </w:tc>
        <w:tc>
          <w:tcPr>
            <w:tcW w:type="dxa" w:w="1881"/>
            <w:shd w:val="clear" w:color="auto" w:fill="DDEBF7"/>
          </w:tcPr>
          <w:p>
            <w:r>
              <w:rPr>
                <w:rFonts w:ascii="Meiryo UI" w:hAnsi="Meiryo UI"/>
                <w:sz w:val="18"/>
              </w:rPr>
              <w:t>🟡 額面通り受け取れない点に注意</w:t>
            </w:r>
          </w:p>
        </w:tc>
      </w:tr>
      <w:tr>
        <w:tc>
          <w:tcPr>
            <w:tcW w:type="dxa" w:w="1881"/>
          </w:tcPr>
          <w:p>
            <w:r>
              <w:rPr>
                <w:rFonts w:ascii="Meiryo UI" w:hAnsi="Meiryo UI"/>
                <w:sz w:val="18"/>
              </w:rPr>
              <w:t>IR活動強度</w:t>
            </w:r>
          </w:p>
        </w:tc>
        <w:tc>
          <w:tcPr>
            <w:tcW w:type="dxa" w:w="1881"/>
          </w:tcPr>
          <w:p>
            <w:r>
              <w:rPr>
                <w:rFonts w:ascii="Meiryo UI" w:hAnsi="Meiryo UI"/>
                <w:sz w:val="18"/>
              </w:rPr>
              <w:t>通常レベル</w:t>
            </w:r>
          </w:p>
        </w:tc>
        <w:tc>
          <w:tcPr>
            <w:tcW w:type="dxa" w:w="1881"/>
          </w:tcPr>
          <w:p>
            <w:r>
              <w:rPr>
                <w:rFonts w:ascii="Meiryo UI" w:hAnsi="Meiryo UI"/>
                <w:sz w:val="18"/>
              </w:rPr>
              <w:t>5月22日の社長スモールミーティング（ZOOM）を設定</w:t>
            </w:r>
          </w:p>
        </w:tc>
        <w:tc>
          <w:tcPr>
            <w:tcW w:type="dxa" w:w="1881"/>
          </w:tcPr>
          <w:p>
            <w:r>
              <w:rPr>
                <w:rFonts w:ascii="Meiryo UI" w:hAnsi="Meiryo UI"/>
                <w:sz w:val="18"/>
              </w:rPr>
              <w:t>↑ 強化</w:t>
            </w:r>
          </w:p>
        </w:tc>
        <w:tc>
          <w:tcPr>
            <w:tcW w:type="dxa" w:w="1881"/>
          </w:tcPr>
          <w:p>
            <w:r>
              <w:rPr>
                <w:rFonts w:ascii="Meiryo UI" w:hAnsi="Meiryo UI"/>
                <w:sz w:val="18"/>
              </w:rPr>
              <w:t>🟢 機関投資家向け説明責任の強化</w:t>
            </w:r>
          </w:p>
        </w:tc>
      </w:tr>
    </w:tbl>
    <w:p/>
    <w:p>
      <w:r>
        <w:t>──────────────────────────────────────────────────</w:t>
      </w:r>
    </w:p>
    <w:p/>
    <w:p>
      <w:pPr>
        <w:pStyle w:val="Heading3"/>
      </w:pPr>
      <w:r>
        <w:rPr>
          <w:rFonts w:ascii="Meiryo UI" w:hAnsi="Meiryo UI"/>
          <w:color w:val="2E74B5"/>
        </w:rPr>
        <w:t>キーワード変化マップ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変化カテゴリ</w:t>
            </w:r>
          </w:p>
        </w:tc>
        <w:tc>
          <w:tcPr>
            <w:tcW w:type="dxa" w:w="3135"/>
            <w:shd w:val="clear" w:color="auto" w:fill="2E74B5"/>
          </w:tcPr>
          <w:p>
            <w:r>
              <w:rPr>
                <w:rFonts w:ascii="Meiryo UI" w:hAnsi="Meiryo UI"/>
                <w:b/>
                <w:color w:val="FFFFFF"/>
                <w:sz w:val="18"/>
              </w:rPr>
              <w:t>キーワード</w:t>
            </w:r>
          </w:p>
        </w:tc>
        <w:tc>
          <w:tcPr>
            <w:tcW w:type="dxa" w:w="3135"/>
            <w:shd w:val="clear" w:color="auto" w:fill="2E74B5"/>
          </w:tcPr>
          <w:p>
            <w:r>
              <w:rPr>
                <w:rFonts w:ascii="Meiryo UI" w:hAnsi="Meiryo UI"/>
                <w:b/>
                <w:color w:val="FFFFFF"/>
                <w:sz w:val="18"/>
              </w:rPr>
              <w:t>解釈</w:t>
            </w:r>
          </w:p>
        </w:tc>
      </w:tr>
      <w:tr>
        <w:tc>
          <w:tcPr>
            <w:tcW w:type="dxa" w:w="3135"/>
          </w:tcPr>
          <w:p>
            <w:r>
              <w:rPr>
                <w:rFonts w:ascii="Meiryo UI" w:hAnsi="Meiryo UI"/>
                <w:sz w:val="18"/>
              </w:rPr>
              <w:t>🆕 新規登場</w:t>
            </w:r>
          </w:p>
        </w:tc>
        <w:tc>
          <w:tcPr>
            <w:tcW w:type="dxa" w:w="3135"/>
          </w:tcPr>
          <w:p>
            <w:r>
              <w:rPr>
                <w:rFonts w:ascii="Meiryo UI" w:hAnsi="Meiryo UI"/>
                <w:sz w:val="18"/>
              </w:rPr>
              <w:t>Build Set（ビルドセット）</w:t>
            </w:r>
          </w:p>
        </w:tc>
        <w:tc>
          <w:tcPr>
            <w:tcW w:type="dxa" w:w="3135"/>
          </w:tcPr>
          <w:p>
            <w:r>
              <w:rPr>
                <w:rFonts w:ascii="Meiryo UI" w:hAnsi="Meiryo UI"/>
                <w:sz w:val="18"/>
              </w:rPr>
              <w:t>大東建託が土地を取得し賃貸住宅を建設・売却する新スキーム。受注の実質的な追加分として位置づけ、受注減の印象を緩和する新しい説明軸として登場。</w:t>
            </w:r>
          </w:p>
        </w:tc>
      </w:tr>
      <w:tr>
        <w:tc>
          <w:tcPr>
            <w:tcW w:type="dxa" w:w="3135"/>
            <w:shd w:val="clear" w:color="auto" w:fill="DDEBF7"/>
          </w:tcPr>
          <w:p>
            <w:r>
              <w:rPr>
                <w:rFonts w:ascii="Meiryo UI" w:hAnsi="Meiryo UI"/>
                <w:sz w:val="18"/>
              </w:rPr>
              <w:t>🆕 新規登場</w:t>
            </w:r>
          </w:p>
        </w:tc>
        <w:tc>
          <w:tcPr>
            <w:tcW w:type="dxa" w:w="3135"/>
            <w:shd w:val="clear" w:color="auto" w:fill="DDEBF7"/>
          </w:tcPr>
          <w:p>
            <w:r>
              <w:rPr>
                <w:rFonts w:ascii="Meiryo UI" w:hAnsi="Meiryo UI"/>
                <w:sz w:val="18"/>
              </w:rPr>
              <w:t>ソラスト株式売却（特別利益約100億円）</w:t>
            </w:r>
          </w:p>
        </w:tc>
        <w:tc>
          <w:tcPr>
            <w:tcW w:type="dxa" w:w="3135"/>
            <w:shd w:val="clear" w:color="auto" w:fill="DDEBF7"/>
          </w:tcPr>
          <w:p>
            <w:r>
              <w:rPr>
                <w:rFonts w:ascii="Meiryo UI" w:hAnsi="Meiryo UI"/>
                <w:sz w:val="18"/>
              </w:rPr>
              <w:t>3月24日発表。一時的な利益押し上げ要因として浮上。2026年8月計上見込みで、FY2027期末の純利益に寄与。</w:t>
            </w:r>
          </w:p>
        </w:tc>
      </w:tr>
      <w:tr>
        <w:tc>
          <w:tcPr>
            <w:tcW w:type="dxa" w:w="3135"/>
          </w:tcPr>
          <w:p>
            <w:r>
              <w:rPr>
                <w:rFonts w:ascii="Meiryo UI" w:hAnsi="Meiryo UI"/>
                <w:sz w:val="18"/>
              </w:rPr>
              <w:t>🆕 新規登場</w:t>
            </w:r>
          </w:p>
        </w:tc>
        <w:tc>
          <w:tcPr>
            <w:tcW w:type="dxa" w:w="3135"/>
          </w:tcPr>
          <w:p>
            <w:r>
              <w:rPr>
                <w:rFonts w:ascii="Meiryo UI" w:hAnsi="Meiryo UI"/>
                <w:sz w:val="18"/>
              </w:rPr>
              <w:t>スモールミーティング（社長）</w:t>
            </w:r>
          </w:p>
        </w:tc>
        <w:tc>
          <w:tcPr>
            <w:tcW w:type="dxa" w:w="3135"/>
          </w:tcPr>
          <w:p>
            <w:r>
              <w:rPr>
                <w:rFonts w:ascii="Meiryo UI" w:hAnsi="Meiryo UI"/>
                <w:sz w:val="18"/>
              </w:rPr>
              <w:t>5月22日のZOOM形式IR設定。機関投資家への直接説明強化を示す。決算後の懸念払拭を意図した動きと解釈可能。</w:t>
            </w:r>
          </w:p>
        </w:tc>
      </w:tr>
      <w:tr>
        <w:tc>
          <w:tcPr>
            <w:tcW w:type="dxa" w:w="3135"/>
            <w:shd w:val="clear" w:color="auto" w:fill="DDEBF7"/>
          </w:tcPr>
          <w:p>
            <w:r>
              <w:rPr>
                <w:rFonts w:ascii="Meiryo UI" w:hAnsi="Meiryo UI"/>
                <w:sz w:val="18"/>
              </w:rPr>
              <w:t>📈 頻度増加</w:t>
            </w:r>
          </w:p>
        </w:tc>
        <w:tc>
          <w:tcPr>
            <w:tcW w:type="dxa" w:w="3135"/>
            <w:shd w:val="clear" w:color="auto" w:fill="DDEBF7"/>
          </w:tcPr>
          <w:p>
            <w:r>
              <w:rPr>
                <w:rFonts w:ascii="Meiryo UI" w:hAnsi="Meiryo UI"/>
                <w:sz w:val="18"/>
              </w:rPr>
              <w:t>入居率 / 97.98%</w:t>
            </w:r>
          </w:p>
        </w:tc>
        <w:tc>
          <w:tcPr>
            <w:tcW w:type="dxa" w:w="3135"/>
            <w:shd w:val="clear" w:color="auto" w:fill="DDEBF7"/>
          </w:tcPr>
          <w:p>
            <w:r>
              <w:rPr>
                <w:rFonts w:ascii="Meiryo UI" w:hAnsi="Meiryo UI"/>
                <w:sz w:val="18"/>
              </w:rPr>
              <w:t>旧資料では数値として触れるのみ → 新資料では「入居率の高水準がFY2027業績へのプラス要因」として積極的に前面化。</w:t>
            </w:r>
          </w:p>
        </w:tc>
      </w:tr>
      <w:tr>
        <w:tc>
          <w:tcPr>
            <w:tcW w:type="dxa" w:w="3135"/>
          </w:tcPr>
          <w:p>
            <w:r>
              <w:rPr>
                <w:rFonts w:ascii="Meiryo UI" w:hAnsi="Meiryo UI"/>
                <w:sz w:val="18"/>
              </w:rPr>
              <w:t>📈 頻度増加</w:t>
            </w:r>
          </w:p>
        </w:tc>
        <w:tc>
          <w:tcPr>
            <w:tcW w:type="dxa" w:w="3135"/>
          </w:tcPr>
          <w:p>
            <w:r>
              <w:rPr>
                <w:rFonts w:ascii="Meiryo UI" w:hAnsi="Meiryo UI"/>
                <w:sz w:val="18"/>
              </w:rPr>
              <w:t>ROE 20%超 / 中計目標達成</w:t>
            </w:r>
          </w:p>
        </w:tc>
        <w:tc>
          <w:tcPr>
            <w:tcW w:type="dxa" w:w="3135"/>
          </w:tcPr>
          <w:p>
            <w:r>
              <w:rPr>
                <w:rFonts w:ascii="Meiryo UI" w:hAnsi="Meiryo UI"/>
                <w:sz w:val="18"/>
              </w:rPr>
              <w:t>旧資料では20.7%予想として記述 → 新資料・みずほレポートでは「ROE 20%超達成という中計KPI達成」として繰り返し強調。</w:t>
            </w:r>
          </w:p>
        </w:tc>
      </w:tr>
      <w:tr>
        <w:tc>
          <w:tcPr>
            <w:tcW w:type="dxa" w:w="3135"/>
            <w:shd w:val="clear" w:color="auto" w:fill="DDEBF7"/>
          </w:tcPr>
          <w:p>
            <w:r>
              <w:rPr>
                <w:rFonts w:ascii="Meiryo UI" w:hAnsi="Meiryo UI"/>
                <w:sz w:val="18"/>
              </w:rPr>
              <w:t>📈 頻度増加</w:t>
            </w:r>
          </w:p>
        </w:tc>
        <w:tc>
          <w:tcPr>
            <w:tcW w:type="dxa" w:w="3135"/>
            <w:shd w:val="clear" w:color="auto" w:fill="DDEBF7"/>
          </w:tcPr>
          <w:p>
            <w:r>
              <w:rPr>
                <w:rFonts w:ascii="Meiryo UI" w:hAnsi="Meiryo UI"/>
                <w:sz w:val="18"/>
              </w:rPr>
              <w:t>自己資本比率の新旧比較</w:t>
            </w:r>
          </w:p>
        </w:tc>
        <w:tc>
          <w:tcPr>
            <w:tcW w:type="dxa" w:w="3135"/>
            <w:shd w:val="clear" w:color="auto" w:fill="DDEBF7"/>
          </w:tcPr>
          <w:p>
            <w:r>
              <w:rPr>
                <w:rFonts w:ascii="Meiryo UI" w:hAnsi="Meiryo UI"/>
                <w:sz w:val="18"/>
              </w:rPr>
              <w:t>44.4%（現行）→ 15.5%（新リース会計後）という衝撃的な数値が具体的に登場。会社の事前説明で数値が公式化されつつある。</w:t>
            </w:r>
          </w:p>
        </w:tc>
      </w:tr>
      <w:tr>
        <w:tc>
          <w:tcPr>
            <w:tcW w:type="dxa" w:w="3135"/>
          </w:tcPr>
          <w:p>
            <w:r>
              <w:rPr>
                <w:rFonts w:ascii="Meiryo UI" w:hAnsi="Meiryo UI"/>
                <w:sz w:val="18"/>
              </w:rPr>
              <w:t>📉 頻度減少</w:t>
            </w:r>
          </w:p>
        </w:tc>
        <w:tc>
          <w:tcPr>
            <w:tcW w:type="dxa" w:w="3135"/>
          </w:tcPr>
          <w:p>
            <w:r>
              <w:rPr>
                <w:rFonts w:ascii="Meiryo UI" w:hAnsi="Meiryo UI"/>
                <w:sz w:val="18"/>
              </w:rPr>
              <w:t>受注減速・▲5%への言及</w:t>
            </w:r>
          </w:p>
        </w:tc>
        <w:tc>
          <w:tcPr>
            <w:tcW w:type="dxa" w:w="3135"/>
          </w:tcPr>
          <w:p>
            <w:r>
              <w:rPr>
                <w:rFonts w:ascii="Meiryo UI" w:hAnsi="Meiryo UI"/>
                <w:sz w:val="18"/>
              </w:rPr>
              <w:t>旧資料では単独の懸念事項 → 新資料ではBuild Set説明で「実質横ばい」と相対化されており、受注不安の強調度が低下。</w:t>
            </w:r>
          </w:p>
        </w:tc>
      </w:tr>
      <w:tr>
        <w:tc>
          <w:tcPr>
            <w:tcW w:type="dxa" w:w="3135"/>
            <w:shd w:val="clear" w:color="auto" w:fill="DDEBF7"/>
          </w:tcPr>
          <w:p>
            <w:r>
              <w:rPr>
                <w:rFonts w:ascii="Meiryo UI" w:hAnsi="Meiryo UI"/>
                <w:sz w:val="18"/>
              </w:rPr>
              <w:t>❌ 消失傾向</w:t>
            </w:r>
          </w:p>
        </w:tc>
        <w:tc>
          <w:tcPr>
            <w:tcW w:type="dxa" w:w="3135"/>
            <w:shd w:val="clear" w:color="auto" w:fill="DDEBF7"/>
          </w:tcPr>
          <w:p>
            <w:r>
              <w:rPr>
                <w:rFonts w:ascii="Meiryo UI" w:hAnsi="Meiryo UI"/>
                <w:sz w:val="18"/>
              </w:rPr>
              <w:t>地方撤退・拠点3割削減</w:t>
            </w:r>
          </w:p>
        </w:tc>
        <w:tc>
          <w:tcPr>
            <w:tcW w:type="dxa" w:w="3135"/>
            <w:shd w:val="clear" w:color="auto" w:fill="DDEBF7"/>
          </w:tcPr>
          <w:p>
            <w:r>
              <w:rPr>
                <w:rFonts w:ascii="Meiryo UI" w:hAnsi="Meiryo UI"/>
                <w:sz w:val="18"/>
              </w:rPr>
              <w:t>旧資料では構造的転換点として注目 → 新資料では「都市部集中戦略の一環」として中性的な表現に変化。ネガティブフレームを回避している。</w:t>
            </w:r>
          </w:p>
        </w:tc>
      </w:tr>
    </w:tbl>
    <w:p/>
    <w:p>
      <w:r>
        <w:t>──────────────────────────────────────────────────</w:t>
      </w:r>
    </w:p>
    <w:p/>
    <w:p>
      <w:pPr>
        <w:pStyle w:val="Heading3"/>
      </w:pPr>
      <w:r>
        <w:rPr>
          <w:rFonts w:ascii="Meiryo UI" w:hAnsi="Meiryo UI"/>
          <w:color w:val="2E74B5"/>
        </w:rPr>
        <w:t>リスク認識デルタ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リスク項目</w:t>
            </w:r>
          </w:p>
        </w:tc>
        <w:tc>
          <w:tcPr>
            <w:tcW w:type="dxa" w:w="2351"/>
            <w:shd w:val="clear" w:color="auto" w:fill="2E74B5"/>
          </w:tcPr>
          <w:p>
            <w:r>
              <w:rPr>
                <w:rFonts w:ascii="Meiryo UI" w:hAnsi="Meiryo UI"/>
                <w:b/>
                <w:color w:val="FFFFFF"/>
                <w:sz w:val="18"/>
              </w:rPr>
              <w:t>旧資料の記述</w:t>
            </w:r>
          </w:p>
        </w:tc>
        <w:tc>
          <w:tcPr>
            <w:tcW w:type="dxa" w:w="2351"/>
            <w:shd w:val="clear" w:color="auto" w:fill="2E74B5"/>
          </w:tcPr>
          <w:p>
            <w:r>
              <w:rPr>
                <w:rFonts w:ascii="Meiryo UI" w:hAnsi="Meiryo UI"/>
                <w:b/>
                <w:color w:val="FFFFFF"/>
                <w:sz w:val="18"/>
              </w:rPr>
              <w:t>新資料の記述</w:t>
            </w:r>
          </w:p>
        </w:tc>
        <w:tc>
          <w:tcPr>
            <w:tcW w:type="dxa" w:w="2351"/>
            <w:shd w:val="clear" w:color="auto" w:fill="2E74B5"/>
          </w:tcPr>
          <w:p>
            <w:r>
              <w:rPr>
                <w:rFonts w:ascii="Meiryo UI" w:hAnsi="Meiryo UI"/>
                <w:b/>
                <w:color w:val="FFFFFF"/>
                <w:sz w:val="18"/>
              </w:rPr>
              <w:t>変化評価</w:t>
            </w:r>
          </w:p>
        </w:tc>
      </w:tr>
      <w:tr>
        <w:tc>
          <w:tcPr>
            <w:tcW w:type="dxa" w:w="2351"/>
          </w:tcPr>
          <w:p>
            <w:r>
              <w:rPr>
                <w:rFonts w:ascii="Meiryo UI" w:hAnsi="Meiryo UI"/>
                <w:sz w:val="18"/>
              </w:rPr>
              <w:t>新リース会計</w:t>
            </w:r>
          </w:p>
        </w:tc>
        <w:tc>
          <w:tcPr>
            <w:tcW w:type="dxa" w:w="2351"/>
          </w:tcPr>
          <w:p>
            <w:r>
              <w:rPr>
                <w:rFonts w:ascii="Meiryo UI" w:hAnsi="Meiryo UI"/>
                <w:sz w:val="18"/>
              </w:rPr>
              <w:t>「27/3期中に会社より影響説明があると想定」（受動的予測）</w:t>
            </w:r>
          </w:p>
        </w:tc>
        <w:tc>
          <w:tcPr>
            <w:tcW w:type="dxa" w:w="2351"/>
          </w:tcPr>
          <w:p>
            <w:r>
              <w:rPr>
                <w:rFonts w:ascii="Meiryo UI" w:hAnsi="Meiryo UI"/>
                <w:sz w:val="18"/>
              </w:rPr>
              <w:t>「現基準・新基準両方を開示し、株主還元方針を含めて実態に変化はないと対外公表すると考えられる」（先手開示の予告）</w:t>
            </w:r>
          </w:p>
        </w:tc>
        <w:tc>
          <w:tcPr>
            <w:tcW w:type="dxa" w:w="2351"/>
          </w:tcPr>
          <w:p>
            <w:r>
              <w:rPr>
                <w:rFonts w:ascii="Meiryo UI" w:hAnsi="Meiryo UI"/>
                <w:sz w:val="18"/>
              </w:rPr>
              <w:t>✅ 緩和（先手対応モードへ）</w:t>
            </w:r>
          </w:p>
        </w:tc>
      </w:tr>
      <w:tr>
        <w:tc>
          <w:tcPr>
            <w:tcW w:type="dxa" w:w="2351"/>
            <w:shd w:val="clear" w:color="auto" w:fill="DDEBF7"/>
          </w:tcPr>
          <w:p>
            <w:r>
              <w:rPr>
                <w:rFonts w:ascii="Meiryo UI" w:hAnsi="Meiryo UI"/>
                <w:sz w:val="18"/>
              </w:rPr>
              <w:t>受注高前年比</w:t>
            </w:r>
          </w:p>
        </w:tc>
        <w:tc>
          <w:tcPr>
            <w:tcW w:type="dxa" w:w="2351"/>
            <w:shd w:val="clear" w:color="auto" w:fill="DDEBF7"/>
          </w:tcPr>
          <w:p>
            <w:r>
              <w:rPr>
                <w:rFonts w:ascii="Meiryo UI" w:hAnsi="Meiryo UI"/>
                <w:sz w:val="18"/>
              </w:rPr>
              <w:t>▲5%を単純な減少として記録</w:t>
            </w:r>
          </w:p>
        </w:tc>
        <w:tc>
          <w:tcPr>
            <w:tcW w:type="dxa" w:w="2351"/>
            <w:shd w:val="clear" w:color="auto" w:fill="DDEBF7"/>
          </w:tcPr>
          <w:p>
            <w:r>
              <w:rPr>
                <w:rFonts w:ascii="Meiryo UI" w:hAnsi="Meiryo UI"/>
                <w:sz w:val="18"/>
              </w:rPr>
              <w:t>Build Set案件（別途30億円）を差し引くと「実質横ばい」との会社説明を受容</w:t>
            </w:r>
          </w:p>
        </w:tc>
        <w:tc>
          <w:tcPr>
            <w:tcW w:type="dxa" w:w="2351"/>
            <w:shd w:val="clear" w:color="auto" w:fill="DDEBF7"/>
          </w:tcPr>
          <w:p>
            <w:r>
              <w:rPr>
                <w:rFonts w:ascii="Meiryo UI" w:hAnsi="Meiryo UI"/>
                <w:sz w:val="18"/>
              </w:rPr>
              <w:t>🟡 部分的緩和（慎重判断が必要）</w:t>
            </w:r>
          </w:p>
        </w:tc>
      </w:tr>
      <w:tr>
        <w:tc>
          <w:tcPr>
            <w:tcW w:type="dxa" w:w="2351"/>
          </w:tcPr>
          <w:p>
            <w:r>
              <w:rPr>
                <w:rFonts w:ascii="Meiryo UI" w:hAnsi="Meiryo UI"/>
                <w:sz w:val="18"/>
              </w:rPr>
              <w:t>自己資本比率急落</w:t>
            </w:r>
          </w:p>
        </w:tc>
        <w:tc>
          <w:tcPr>
            <w:tcW w:type="dxa" w:w="2351"/>
          </w:tcPr>
          <w:p>
            <w:r>
              <w:rPr>
                <w:rFonts w:ascii="Meiryo UI" w:hAnsi="Meiryo UI"/>
                <w:sz w:val="18"/>
              </w:rPr>
              <w:t>44.4%→15.5%への言及なし（認識不足）</w:t>
            </w:r>
          </w:p>
        </w:tc>
        <w:tc>
          <w:tcPr>
            <w:tcW w:type="dxa" w:w="2351"/>
          </w:tcPr>
          <w:p>
            <w:r>
              <w:rPr>
                <w:rFonts w:ascii="Meiryo UI" w:hAnsi="Meiryo UI"/>
                <w:sz w:val="18"/>
              </w:rPr>
              <w:t>44.4%→15.5%という具体的な数値が初めて登場・コベナンツリスクとして明示</w:t>
            </w:r>
          </w:p>
        </w:tc>
        <w:tc>
          <w:tcPr>
            <w:tcW w:type="dxa" w:w="2351"/>
          </w:tcPr>
          <w:p>
            <w:r>
              <w:rPr>
                <w:rFonts w:ascii="Meiryo UI" w:hAnsi="Meiryo UI"/>
                <w:sz w:val="18"/>
              </w:rPr>
              <w:t>⚠️ 新出（深刻化懸念を把握）</w:t>
            </w:r>
          </w:p>
        </w:tc>
      </w:tr>
      <w:tr>
        <w:tc>
          <w:tcPr>
            <w:tcW w:type="dxa" w:w="2351"/>
            <w:shd w:val="clear" w:color="auto" w:fill="DDEBF7"/>
          </w:tcPr>
          <w:p>
            <w:r>
              <w:rPr>
                <w:rFonts w:ascii="Meiryo UI" w:hAnsi="Meiryo UI"/>
                <w:sz w:val="18"/>
              </w:rPr>
              <w:t>ROE目標</w:t>
            </w:r>
          </w:p>
        </w:tc>
        <w:tc>
          <w:tcPr>
            <w:tcW w:type="dxa" w:w="2351"/>
            <w:shd w:val="clear" w:color="auto" w:fill="DDEBF7"/>
          </w:tcPr>
          <w:p>
            <w:r>
              <w:rPr>
                <w:rFonts w:ascii="Meiryo UI" w:hAnsi="Meiryo UI"/>
                <w:sz w:val="18"/>
              </w:rPr>
              <w:t>20.7%（FY2027予想）として記述</w:t>
            </w:r>
          </w:p>
        </w:tc>
        <w:tc>
          <w:tcPr>
            <w:tcW w:type="dxa" w:w="2351"/>
            <w:shd w:val="clear" w:color="auto" w:fill="DDEBF7"/>
          </w:tcPr>
          <w:p>
            <w:r>
              <w:rPr>
                <w:rFonts w:ascii="Meiryo UI" w:hAnsi="Meiryo UI"/>
                <w:sz w:val="18"/>
              </w:rPr>
              <w:t>26/3期20.0%、27/3期20.7%と中計目標（20%）の「達成」として記述 → トーンが強化</w:t>
            </w:r>
          </w:p>
        </w:tc>
        <w:tc>
          <w:tcPr>
            <w:tcW w:type="dxa" w:w="2351"/>
            <w:shd w:val="clear" w:color="auto" w:fill="DDEBF7"/>
          </w:tcPr>
          <w:p>
            <w:r>
              <w:rPr>
                <w:rFonts w:ascii="Meiryo UI" w:hAnsi="Meiryo UI"/>
                <w:sz w:val="18"/>
              </w:rPr>
              <w:t>✅ ポジティブ変化</w:t>
            </w:r>
          </w:p>
        </w:tc>
      </w:tr>
      <w:tr>
        <w:tc>
          <w:tcPr>
            <w:tcW w:type="dxa" w:w="2351"/>
          </w:tcPr>
          <w:p>
            <w:r>
              <w:rPr>
                <w:rFonts w:ascii="Meiryo UI" w:hAnsi="Meiryo UI"/>
                <w:sz w:val="18"/>
              </w:rPr>
              <w:t>IR・開示リスク</w:t>
            </w:r>
          </w:p>
        </w:tc>
        <w:tc>
          <w:tcPr>
            <w:tcW w:type="dxa" w:w="2351"/>
          </w:tcPr>
          <w:p>
            <w:r>
              <w:rPr>
                <w:rFonts w:ascii="Meiryo UI" w:hAnsi="Meiryo UI"/>
                <w:sz w:val="18"/>
              </w:rPr>
              <w:t>言及なし</w:t>
            </w:r>
          </w:p>
        </w:tc>
        <w:tc>
          <w:tcPr>
            <w:tcW w:type="dxa" w:w="2351"/>
          </w:tcPr>
          <w:p>
            <w:r>
              <w:rPr>
                <w:rFonts w:ascii="Meiryo UI" w:hAnsi="Meiryo UI"/>
                <w:sz w:val="18"/>
              </w:rPr>
              <w:t>社長スモールミーティング設定により軽減方向</w:t>
            </w:r>
          </w:p>
        </w:tc>
        <w:tc>
          <w:tcPr>
            <w:tcW w:type="dxa" w:w="2351"/>
          </w:tcPr>
          <w:p>
            <w:r>
              <w:rPr>
                <w:rFonts w:ascii="Meiryo UI" w:hAnsi="Meiryo UI"/>
                <w:sz w:val="18"/>
              </w:rPr>
              <w:t>✅ 新出かつ軽減方向</w:t>
            </w:r>
          </w:p>
        </w:tc>
      </w:tr>
    </w:tbl>
    <w:p/>
    <w:p>
      <w:r>
        <w:t>──────────────────────────────────────────────────</w:t>
      </w:r>
    </w:p>
    <w:p/>
    <w:p>
      <w:pPr>
        <w:pStyle w:val="Heading3"/>
      </w:pPr>
      <w:r>
        <w:rPr>
          <w:rFonts w:ascii="Meiryo UI" w:hAnsi="Meiryo UI"/>
          <w:color w:val="2E74B5"/>
        </w:rPr>
        <w:t>デルタ総評</w:t>
      </w:r>
    </w:p>
    <w:p/>
    <w:p>
      <w:r>
        <w:rPr>
          <w:rFonts w:ascii="Meiryo UI" w:hAnsi="Meiryo UI"/>
          <w:sz w:val="20"/>
        </w:rPr>
        <w:t>定性的シグナル強度: 🟠 中〜強シグナル</w:t>
      </w:r>
    </w:p>
    <w:p/>
    <w:p>
      <w:r>
        <w:rPr>
          <w:rFonts w:ascii="Meiryo UI" w:hAnsi="Meiryo UI"/>
          <w:sz w:val="20"/>
        </w:rPr>
        <w:t>投資判断への影響:</w:t>
      </w:r>
    </w:p>
    <w:p>
      <w:r>
        <w:rPr>
          <w:rFonts w:ascii="Meiryo UI" w:hAnsi="Meiryo UI"/>
          <w:sz w:val="20"/>
        </w:rPr>
        <w:t>経営陣の発信トーンが「問題への対応」から「強みの訴求」へと明確にシフトしており、これは通常、業績に対する経営陣の内部自信度が上昇している際に見られるパターンである。特に、新リース会計問題について先手で両基準開示を予告する姿勢は、投資家の想定外ネガティブサプライズを抑制する効果があり、株価の下値リスクを低減するポジティブシグナルとして評価できる。ただし、Build Set概念による受注▲5%の「実質横ばい」説明については、数値の再解釈による印象管理の可能性を排除できず、4月30日の4Q決算で実数確認が必須である。</w:t>
      </w:r>
    </w:p>
    <w:p/>
    <w:p>
      <w:r>
        <w:t>──────────────────────────────────────────────────</w:t>
      </w:r>
    </w:p>
    <w:p/>
    <w:p>
      <w:pPr>
        <w:pStyle w:val="Heading2"/>
      </w:pPr>
      <w:r>
        <w:rPr>
          <w:rFonts w:ascii="Meiryo UI" w:hAnsi="Meiryo UI"/>
          <w:color w:val="2E74B5"/>
        </w:rPr>
        <w:t>Section A: ビジネスモデル詳細</w:t>
      </w:r>
    </w:p>
    <w:p/>
    <w:p>
      <w:pPr>
        <w:pStyle w:val="Heading3"/>
      </w:pPr>
      <w:r>
        <w:rPr>
          <w:rFonts w:ascii="Meiryo UI" w:hAnsi="Meiryo UI"/>
          <w:color w:val="2E74B5"/>
        </w:rPr>
        <w:t>収益セグメント構成（FY2025：2025年3月期）</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収益セグメント</w:t>
            </w:r>
          </w:p>
        </w:tc>
        <w:tc>
          <w:tcPr>
            <w:tcW w:type="dxa" w:w="1344"/>
            <w:shd w:val="clear" w:color="auto" w:fill="2E74B5"/>
          </w:tcPr>
          <w:p>
            <w:r>
              <w:rPr>
                <w:rFonts w:ascii="Meiryo UI" w:hAnsi="Meiryo UI"/>
                <w:b/>
                <w:color w:val="FFFFFF"/>
                <w:sz w:val="18"/>
              </w:rPr>
              <w:t>売上高</w:t>
            </w:r>
          </w:p>
        </w:tc>
        <w:tc>
          <w:tcPr>
            <w:tcW w:type="dxa" w:w="1344"/>
            <w:shd w:val="clear" w:color="auto" w:fill="2E74B5"/>
          </w:tcPr>
          <w:p>
            <w:r>
              <w:rPr>
                <w:rFonts w:ascii="Meiryo UI" w:hAnsi="Meiryo UI"/>
                <w:b/>
                <w:color w:val="FFFFFF"/>
                <w:sz w:val="18"/>
              </w:rPr>
              <w:t>構成比</w:t>
            </w:r>
          </w:p>
        </w:tc>
        <w:tc>
          <w:tcPr>
            <w:tcW w:type="dxa" w:w="1344"/>
            <w:shd w:val="clear" w:color="auto" w:fill="2E74B5"/>
          </w:tcPr>
          <w:p>
            <w:r>
              <w:rPr>
                <w:rFonts w:ascii="Meiryo UI" w:hAnsi="Meiryo UI"/>
                <w:b/>
                <w:color w:val="FFFFFF"/>
                <w:sz w:val="18"/>
              </w:rPr>
              <w:t>営業利益</w:t>
            </w:r>
          </w:p>
        </w:tc>
        <w:tc>
          <w:tcPr>
            <w:tcW w:type="dxa" w:w="1344"/>
            <w:shd w:val="clear" w:color="auto" w:fill="2E74B5"/>
          </w:tcPr>
          <w:p>
            <w:r>
              <w:rPr>
                <w:rFonts w:ascii="Meiryo UI" w:hAnsi="Meiryo UI"/>
                <w:b/>
                <w:color w:val="FFFFFF"/>
                <w:sz w:val="18"/>
              </w:rPr>
              <w:t>利益率</w:t>
            </w:r>
          </w:p>
        </w:tc>
        <w:tc>
          <w:tcPr>
            <w:tcW w:type="dxa" w:w="1344"/>
            <w:shd w:val="clear" w:color="auto" w:fill="2E74B5"/>
          </w:tcPr>
          <w:p>
            <w:r>
              <w:rPr>
                <w:rFonts w:ascii="Meiryo UI" w:hAnsi="Meiryo UI"/>
                <w:b/>
                <w:color w:val="FFFFFF"/>
                <w:sz w:val="18"/>
              </w:rPr>
              <w:t>成長性</w:t>
            </w:r>
          </w:p>
        </w:tc>
        <w:tc>
          <w:tcPr>
            <w:tcW w:type="dxa" w:w="1344"/>
            <w:shd w:val="clear" w:color="auto" w:fill="2E74B5"/>
          </w:tcPr>
          <w:p>
            <w:r>
              <w:rPr>
                <w:rFonts w:ascii="Meiryo UI" w:hAnsi="Meiryo UI"/>
                <w:b/>
                <w:color w:val="FFFFFF"/>
                <w:sz w:val="18"/>
              </w:rPr>
              <w:t>持続可能性</w:t>
            </w:r>
          </w:p>
        </w:tc>
      </w:tr>
      <w:tr>
        <w:tc>
          <w:tcPr>
            <w:tcW w:type="dxa" w:w="1344"/>
          </w:tcPr>
          <w:p>
            <w:r>
              <w:rPr>
                <w:rFonts w:ascii="Meiryo UI" w:hAnsi="Meiryo UI"/>
                <w:sz w:val="18"/>
              </w:rPr>
              <w:t>不動産賃貸事業</w:t>
            </w:r>
          </w:p>
        </w:tc>
        <w:tc>
          <w:tcPr>
            <w:tcW w:type="dxa" w:w="1344"/>
          </w:tcPr>
          <w:p>
            <w:r>
              <w:rPr>
                <w:rFonts w:ascii="Meiryo UI" w:hAnsi="Meiryo UI"/>
                <w:sz w:val="18"/>
              </w:rPr>
              <w:t>1兆1,646億円</w:t>
            </w:r>
          </w:p>
        </w:tc>
        <w:tc>
          <w:tcPr>
            <w:tcW w:type="dxa" w:w="1344"/>
          </w:tcPr>
          <w:p>
            <w:r>
              <w:rPr>
                <w:rFonts w:ascii="Meiryo UI" w:hAnsi="Meiryo UI"/>
                <w:sz w:val="18"/>
              </w:rPr>
              <w:t>63.2%</w:t>
            </w:r>
          </w:p>
        </w:tc>
        <w:tc>
          <w:tcPr>
            <w:tcW w:type="dxa" w:w="1344"/>
          </w:tcPr>
          <w:p>
            <w:r>
              <w:rPr>
                <w:rFonts w:ascii="Meiryo UI" w:hAnsi="Meiryo UI"/>
                <w:sz w:val="18"/>
              </w:rPr>
              <w:t>803億円</w:t>
            </w:r>
          </w:p>
        </w:tc>
        <w:tc>
          <w:tcPr>
            <w:tcW w:type="dxa" w:w="1344"/>
          </w:tcPr>
          <w:p>
            <w:r>
              <w:rPr>
                <w:rFonts w:ascii="Meiryo UI" w:hAnsi="Meiryo UI"/>
                <w:sz w:val="18"/>
              </w:rPr>
              <w:t>6.9%</w:t>
            </w:r>
          </w:p>
        </w:tc>
        <w:tc>
          <w:tcPr>
            <w:tcW w:type="dxa" w:w="1344"/>
          </w:tcPr>
          <w:p>
            <w:r>
              <w:rPr>
                <w:rFonts w:ascii="Meiryo UI" w:hAnsi="Meiryo UI"/>
                <w:sz w:val="18"/>
              </w:rPr>
              <w:t>中（+3.1%）</w:t>
            </w:r>
          </w:p>
        </w:tc>
        <w:tc>
          <w:tcPr>
            <w:tcW w:type="dxa" w:w="1344"/>
          </w:tcPr>
          <w:p>
            <w:r>
              <w:rPr>
                <w:rFonts w:ascii="Meiryo UI" w:hAnsi="Meiryo UI"/>
                <w:sz w:val="18"/>
              </w:rPr>
              <w:t>高</w:t>
            </w:r>
          </w:p>
        </w:tc>
      </w:tr>
      <w:tr>
        <w:tc>
          <w:tcPr>
            <w:tcW w:type="dxa" w:w="1344"/>
            <w:shd w:val="clear" w:color="auto" w:fill="DDEBF7"/>
          </w:tcPr>
          <w:p>
            <w:r>
              <w:rPr>
                <w:rFonts w:ascii="Meiryo UI" w:hAnsi="Meiryo UI"/>
                <w:sz w:val="18"/>
              </w:rPr>
              <w:t>建設事業</w:t>
            </w:r>
          </w:p>
        </w:tc>
        <w:tc>
          <w:tcPr>
            <w:tcW w:type="dxa" w:w="1344"/>
            <w:shd w:val="clear" w:color="auto" w:fill="DDEBF7"/>
          </w:tcPr>
          <w:p>
            <w:r>
              <w:rPr>
                <w:rFonts w:ascii="Meiryo UI" w:hAnsi="Meiryo UI"/>
                <w:sz w:val="18"/>
              </w:rPr>
              <w:t>5,409億円</w:t>
            </w:r>
          </w:p>
        </w:tc>
        <w:tc>
          <w:tcPr>
            <w:tcW w:type="dxa" w:w="1344"/>
            <w:shd w:val="clear" w:color="auto" w:fill="DDEBF7"/>
          </w:tcPr>
          <w:p>
            <w:r>
              <w:rPr>
                <w:rFonts w:ascii="Meiryo UI" w:hAnsi="Meiryo UI"/>
                <w:sz w:val="18"/>
              </w:rPr>
              <w:t>29.4%</w:t>
            </w:r>
          </w:p>
        </w:tc>
        <w:tc>
          <w:tcPr>
            <w:tcW w:type="dxa" w:w="1344"/>
            <w:shd w:val="clear" w:color="auto" w:fill="DDEBF7"/>
          </w:tcPr>
          <w:p>
            <w:r>
              <w:rPr>
                <w:rFonts w:ascii="Meiryo UI" w:hAnsi="Meiryo UI"/>
                <w:sz w:val="18"/>
              </w:rPr>
              <w:t>471億円</w:t>
            </w:r>
          </w:p>
        </w:tc>
        <w:tc>
          <w:tcPr>
            <w:tcW w:type="dxa" w:w="1344"/>
            <w:shd w:val="clear" w:color="auto" w:fill="DDEBF7"/>
          </w:tcPr>
          <w:p>
            <w:r>
              <w:rPr>
                <w:rFonts w:ascii="Meiryo UI" w:hAnsi="Meiryo UI"/>
                <w:sz w:val="18"/>
              </w:rPr>
              <w:t>8.7%</w:t>
            </w:r>
          </w:p>
        </w:tc>
        <w:tc>
          <w:tcPr>
            <w:tcW w:type="dxa" w:w="1344"/>
            <w:shd w:val="clear" w:color="auto" w:fill="DDEBF7"/>
          </w:tcPr>
          <w:p>
            <w:r>
              <w:rPr>
                <w:rFonts w:ascii="Meiryo UI" w:hAnsi="Meiryo UI"/>
                <w:sz w:val="18"/>
              </w:rPr>
              <w:t>高（+9.9%）</w:t>
            </w:r>
          </w:p>
        </w:tc>
        <w:tc>
          <w:tcPr>
            <w:tcW w:type="dxa" w:w="1344"/>
            <w:shd w:val="clear" w:color="auto" w:fill="DDEBF7"/>
          </w:tcPr>
          <w:p>
            <w:r>
              <w:rPr>
                <w:rFonts w:ascii="Meiryo UI" w:hAnsi="Meiryo UI"/>
                <w:sz w:val="18"/>
              </w:rPr>
              <w:t>中</w:t>
            </w:r>
          </w:p>
        </w:tc>
      </w:tr>
      <w:tr>
        <w:tc>
          <w:tcPr>
            <w:tcW w:type="dxa" w:w="1344"/>
          </w:tcPr>
          <w:p>
            <w:r>
              <w:rPr>
                <w:rFonts w:ascii="Meiryo UI" w:hAnsi="Meiryo UI"/>
                <w:sz w:val="18"/>
              </w:rPr>
              <w:t>不動産開発事業</w:t>
            </w:r>
          </w:p>
        </w:tc>
        <w:tc>
          <w:tcPr>
            <w:tcW w:type="dxa" w:w="1344"/>
          </w:tcPr>
          <w:p>
            <w:r>
              <w:rPr>
                <w:rFonts w:ascii="Meiryo UI" w:hAnsi="Meiryo UI"/>
                <w:sz w:val="18"/>
              </w:rPr>
              <w:t>513億円</w:t>
            </w:r>
          </w:p>
        </w:tc>
        <w:tc>
          <w:tcPr>
            <w:tcW w:type="dxa" w:w="1344"/>
          </w:tcPr>
          <w:p>
            <w:r>
              <w:rPr>
                <w:rFonts w:ascii="Meiryo UI" w:hAnsi="Meiryo UI"/>
                <w:sz w:val="18"/>
              </w:rPr>
              <w:t>2.8%</w:t>
            </w:r>
          </w:p>
        </w:tc>
        <w:tc>
          <w:tcPr>
            <w:tcW w:type="dxa" w:w="1344"/>
          </w:tcPr>
          <w:p>
            <w:r>
              <w:rPr>
                <w:rFonts w:ascii="Meiryo UI" w:hAnsi="Meiryo UI"/>
                <w:sz w:val="18"/>
              </w:rPr>
              <w:t>51億円</w:t>
            </w:r>
          </w:p>
        </w:tc>
        <w:tc>
          <w:tcPr>
            <w:tcW w:type="dxa" w:w="1344"/>
          </w:tcPr>
          <w:p>
            <w:r>
              <w:rPr>
                <w:rFonts w:ascii="Meiryo UI" w:hAnsi="Meiryo UI"/>
                <w:sz w:val="18"/>
              </w:rPr>
              <w:t>9.9%</w:t>
            </w:r>
          </w:p>
        </w:tc>
        <w:tc>
          <w:tcPr>
            <w:tcW w:type="dxa" w:w="1344"/>
          </w:tcPr>
          <w:p>
            <w:r>
              <w:rPr>
                <w:rFonts w:ascii="Meiryo UI" w:hAnsi="Meiryo UI"/>
                <w:sz w:val="18"/>
              </w:rPr>
              <w:t>高（+64.8%）</w:t>
            </w:r>
          </w:p>
        </w:tc>
        <w:tc>
          <w:tcPr>
            <w:tcW w:type="dxa" w:w="1344"/>
          </w:tcPr>
          <w:p>
            <w:r>
              <w:rPr>
                <w:rFonts w:ascii="Meiryo UI" w:hAnsi="Meiryo UI"/>
                <w:sz w:val="18"/>
              </w:rPr>
              <w:t>中（育成中）</w:t>
            </w:r>
          </w:p>
        </w:tc>
      </w:tr>
      <w:tr>
        <w:tc>
          <w:tcPr>
            <w:tcW w:type="dxa" w:w="1344"/>
            <w:shd w:val="clear" w:color="auto" w:fill="DDEBF7"/>
          </w:tcPr>
          <w:p>
            <w:r>
              <w:rPr>
                <w:rFonts w:ascii="Meiryo UI" w:hAnsi="Meiryo UI"/>
                <w:sz w:val="18"/>
              </w:rPr>
              <w:t>その他（金融等）</w:t>
            </w:r>
          </w:p>
        </w:tc>
        <w:tc>
          <w:tcPr>
            <w:tcW w:type="dxa" w:w="1344"/>
            <w:shd w:val="clear" w:color="auto" w:fill="DDEBF7"/>
          </w:tcPr>
          <w:p>
            <w:r>
              <w:rPr>
                <w:rFonts w:ascii="Meiryo UI" w:hAnsi="Meiryo UI"/>
                <w:sz w:val="18"/>
              </w:rPr>
              <w:t>855億円</w:t>
            </w:r>
          </w:p>
        </w:tc>
        <w:tc>
          <w:tcPr>
            <w:tcW w:type="dxa" w:w="1344"/>
            <w:shd w:val="clear" w:color="auto" w:fill="DDEBF7"/>
          </w:tcPr>
          <w:p>
            <w:r>
              <w:rPr>
                <w:rFonts w:ascii="Meiryo UI" w:hAnsi="Meiryo UI"/>
                <w:sz w:val="18"/>
              </w:rPr>
              <w:t>4.6%</w:t>
            </w:r>
          </w:p>
        </w:tc>
        <w:tc>
          <w:tcPr>
            <w:tcW w:type="dxa" w:w="1344"/>
            <w:shd w:val="clear" w:color="auto" w:fill="DDEBF7"/>
          </w:tcPr>
          <w:p>
            <w:r>
              <w:rPr>
                <w:rFonts w:ascii="Meiryo UI" w:hAnsi="Meiryo UI"/>
                <w:sz w:val="18"/>
              </w:rPr>
              <w:t>△137億円</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c>
          <w:tcPr>
            <w:tcW w:type="dxa" w:w="1344"/>
            <w:shd w:val="clear" w:color="auto" w:fill="DDEBF7"/>
          </w:tcPr>
          <w:p>
            <w:r>
              <w:rPr>
                <w:rFonts w:ascii="Meiryo UI" w:hAnsi="Meiryo UI"/>
                <w:sz w:val="18"/>
              </w:rPr>
              <w:t>—</w:t>
            </w:r>
          </w:p>
        </w:tc>
      </w:tr>
      <w:tr>
        <w:tc>
          <w:tcPr>
            <w:tcW w:type="dxa" w:w="1344"/>
          </w:tcPr>
          <w:p>
            <w:r>
              <w:rPr>
                <w:rFonts w:ascii="Meiryo UI" w:hAnsi="Meiryo UI"/>
                <w:sz w:val="18"/>
              </w:rPr>
              <w:t>連結合計</w:t>
            </w:r>
          </w:p>
        </w:tc>
        <w:tc>
          <w:tcPr>
            <w:tcW w:type="dxa" w:w="1344"/>
          </w:tcPr>
          <w:p>
            <w:r>
              <w:rPr>
                <w:rFonts w:ascii="Meiryo UI" w:hAnsi="Meiryo UI"/>
                <w:sz w:val="18"/>
              </w:rPr>
              <w:t>1兆8,423億円</w:t>
            </w:r>
          </w:p>
        </w:tc>
        <w:tc>
          <w:tcPr>
            <w:tcW w:type="dxa" w:w="1344"/>
          </w:tcPr>
          <w:p>
            <w:r>
              <w:rPr>
                <w:rFonts w:ascii="Meiryo UI" w:hAnsi="Meiryo UI"/>
                <w:sz w:val="18"/>
              </w:rPr>
              <w:t>100%</w:t>
            </w:r>
          </w:p>
        </w:tc>
        <w:tc>
          <w:tcPr>
            <w:tcW w:type="dxa" w:w="1344"/>
          </w:tcPr>
          <w:p>
            <w:r>
              <w:rPr>
                <w:rFonts w:ascii="Meiryo UI" w:hAnsi="Meiryo UI"/>
                <w:sz w:val="18"/>
              </w:rPr>
              <w:t>1,188億円</w:t>
            </w:r>
          </w:p>
        </w:tc>
        <w:tc>
          <w:tcPr>
            <w:tcW w:type="dxa" w:w="1344"/>
          </w:tcPr>
          <w:p>
            <w:r>
              <w:rPr>
                <w:rFonts w:ascii="Meiryo UI" w:hAnsi="Meiryo UI"/>
                <w:sz w:val="18"/>
              </w:rPr>
              <w:t>6.5%</w:t>
            </w:r>
          </w:p>
        </w:tc>
        <w:tc>
          <w:tcPr>
            <w:tcW w:type="dxa" w:w="1344"/>
          </w:tcPr>
          <w:p>
            <w:r>
              <w:rPr>
                <w:rFonts w:ascii="Meiryo UI" w:hAnsi="Meiryo UI"/>
                <w:sz w:val="18"/>
              </w:rPr>
              <w:t>高（+6.4%）</w:t>
            </w:r>
          </w:p>
        </w:tc>
        <w:tc>
          <w:tcPr>
            <w:tcW w:type="dxa" w:w="1344"/>
          </w:tcPr>
          <w:p>
            <w:r>
              <w:rPr>
                <w:rFonts w:ascii="Meiryo UI" w:hAnsi="Meiryo UI"/>
                <w:sz w:val="18"/>
              </w:rPr>
              <w:t>高</w:t>
            </w:r>
          </w:p>
        </w:tc>
      </w:tr>
    </w:tbl>
    <w:p/>
    <w:p>
      <w:pPr>
        <w:pStyle w:val="Heading3"/>
      </w:pPr>
      <w:r>
        <w:rPr>
          <w:rFonts w:ascii="Meiryo UI" w:hAnsi="Meiryo UI"/>
          <w:color w:val="2E74B5"/>
        </w:rPr>
        <w:t>フロービジネス vs ストックビジネス</w:t>
      </w:r>
    </w:p>
    <w:p/>
    <w:p>
      <w:pPr>
        <w:shd w:val="clear" w:color="auto" w:fill="F2F2F2"/>
      </w:pPr>
      <w:r>
        <w:rPr>
          <w:rFonts w:ascii="Courier New" w:hAnsi="Courier New"/>
          <w:sz w:val="16"/>
        </w:rPr>
        <w:t>┌─────────────────────────────────────────────────────────┐</w:t>
        <w:br/>
        <w:t>│  ストックビジネス（賃貸管理）— 63%                        │</w:t>
        <w:br/>
        <w:t>│  管理戸数: 129万4,332戸（29年連続全国1位）               │</w:t>
        <w:br/>
        <w:t>│  入居率: 97.98%（2026年3月末、前月比+28bp、前年比+18bp） │</w:t>
        <w:br/>
        <w:t>│  月次管理家賃収入: 約809億円                             │</w:t>
        <w:br/>
        <w:t>├─────────────────────────────────────────────────────────┤</w:t>
        <w:br/>
        <w:t>│  フロービジネス（建設請負）— 29%                         │</w:t>
        <w:br/>
        <w:t>│  受注高: 630億円（2026年3月単月、前年同月比▲5%）         │</w:t>
        <w:br/>
        <w:t>│  ※Build Set案件（工事関連）別途30億円で実質横ばい        │</w:t>
        <w:br/>
        <w:t>│  完成工事総利益率: 25.3%（前期比+1.9pt）                 │</w:t>
        <w:br/>
        <w:t>└─────────────────────────────────────────────────────────┘</w:t>
        <w:br/>
        <w:t>│  新事業（不動産開発 = Build Set等）— 2.8%（急拡大中）    │</w:t>
        <w:br/>
        <w:t>│  売上: 513億円（前期比+64.8%）                           │</w:t>
        <w:br/>
        <w:t>└─────────────────────────────────────────────────────────┘</w:t>
      </w:r>
    </w:p>
    <w:p/>
    <w:p>
      <w:pPr>
        <w:pStyle w:val="Heading3"/>
      </w:pPr>
      <w:r>
        <w:rPr>
          <w:rFonts w:ascii="Meiryo UI" w:hAnsi="Meiryo UI"/>
          <w:color w:val="2E74B5"/>
        </w:rPr>
        <w:t>サブリースモデルの構造と持続可能性</w:t>
      </w:r>
    </w:p>
    <w:p/>
    <w:p>
      <w:r>
        <w:rPr>
          <w:rFonts w:ascii="Meiryo UI" w:hAnsi="Meiryo UI"/>
          <w:sz w:val="20"/>
        </w:rPr>
        <w:t>大東建託の収益モデルは「土地オーナーへのアパート建設請負 → 一括借上（サブリース）→ 賃貸管理」という垂直統合型の3フェーズ構造に加え、近年は Build Set（自社土地取得・建設・売却） という第4フェーズが加わりつつある。</w:t>
      </w:r>
    </w:p>
    <w:p/>
    <w:p>
      <w:r>
        <w:rPr>
          <w:rFonts w:ascii="Meiryo UI" w:hAnsi="Meiryo UI"/>
          <w:sz w:val="20"/>
        </w:rPr>
        <w:t>新フェーズ — Build Set: 大東建託が土地を自ら購入し、賃貸住宅を建設した後に既存アパートオーナーへ売却するスキーム。通常の建設請負（土地オーナー起点）とは異なり、同社が起点となることで受注の安定性を高める効果がある。2026年3月単月で「工事関連別途30億円」として計上されており、フロー受注の実態把握にこの概念の適用が必要。</w:t>
      </w:r>
    </w:p>
    <w:p/>
    <w:p>
      <w:r>
        <w:rPr>
          <w:rFonts w:ascii="Meiryo UI" w:hAnsi="Meiryo UI"/>
          <w:sz w:val="20"/>
        </w:rPr>
        <w:t>持続可能性の総評:</w:t>
      </w:r>
    </w:p>
    <w:p>
      <w:pPr>
        <w:pStyle w:val="ListBullet"/>
      </w:pPr>
      <w:r>
        <w:rPr>
          <w:rFonts w:ascii="Meiryo UI" w:hAnsi="Meiryo UI"/>
          <w:sz w:val="20"/>
        </w:rPr>
        <w:t>管理戸数129万戸のプール効果で入居率97.98%を維持する構造的優位性は依然として強固。</w:t>
      </w:r>
    </w:p>
    <w:p>
      <w:pPr>
        <w:pStyle w:val="ListBullet"/>
      </w:pPr>
      <w:r>
        <w:rPr>
          <w:rFonts w:ascii="Meiryo UI" w:hAnsi="Meiryo UI"/>
          <w:sz w:val="20"/>
        </w:rPr>
        <w:t>Build Set事業の伸長は、地主依存型の従来モデルを補完するものとして評価できる。</w:t>
      </w:r>
    </w:p>
    <w:p>
      <w:pPr>
        <w:pStyle w:val="ListBullet"/>
      </w:pPr>
      <w:r>
        <w:rPr>
          <w:rFonts w:ascii="Meiryo UI" w:hAnsi="Meiryo UI"/>
          <w:sz w:val="20"/>
        </w:rPr>
        <w:t>2026年3月末入居率が前月比+28bp上昇したことは、新規供給減・退去減という外部環境の追い風も含む。次期（4月以降）の季節調整後の動向確認が必要。</w:t>
      </w:r>
    </w:p>
    <w:p/>
    <w:p>
      <w:r>
        <w:t>──────────────────────────────────────────────────</w:t>
      </w:r>
    </w:p>
    <w:p/>
    <w:p>
      <w:pPr>
        <w:pStyle w:val="Heading2"/>
      </w:pPr>
      <w:r>
        <w:rPr>
          <w:rFonts w:ascii="Meiryo UI" w:hAnsi="Meiryo UI"/>
          <w:color w:val="2E74B5"/>
        </w:rPr>
        <w:t>Section B: 人的資本分析</w:t>
      </w:r>
    </w:p>
    <w:p/>
    <w:p>
      <w:pPr>
        <w:pStyle w:val="Heading3"/>
      </w:pPr>
      <w:r>
        <w:rPr>
          <w:rFonts w:ascii="Meiryo UI" w:hAnsi="Meiryo UI"/>
          <w:color w:val="2E74B5"/>
        </w:rPr>
        <w:t>職場評価スコア</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評価項目</w:t>
            </w:r>
          </w:p>
        </w:tc>
        <w:tc>
          <w:tcPr>
            <w:tcW w:type="dxa" w:w="2351"/>
            <w:shd w:val="clear" w:color="auto" w:fill="2E74B5"/>
          </w:tcPr>
          <w:p>
            <w:r>
              <w:rPr>
                <w:rFonts w:ascii="Meiryo UI" w:hAnsi="Meiryo UI"/>
                <w:b/>
                <w:color w:val="FFFFFF"/>
                <w:sz w:val="18"/>
              </w:rPr>
              <w:t>スコア/状況</w:t>
            </w:r>
          </w:p>
        </w:tc>
        <w:tc>
          <w:tcPr>
            <w:tcW w:type="dxa" w:w="2351"/>
            <w:shd w:val="clear" w:color="auto" w:fill="2E74B5"/>
          </w:tcPr>
          <w:p>
            <w:r>
              <w:rPr>
                <w:rFonts w:ascii="Meiryo UI" w:hAnsi="Meiryo UI"/>
                <w:b/>
                <w:color w:val="FFFFFF"/>
                <w:sz w:val="18"/>
              </w:rPr>
              <w:t>業界比較</w:t>
            </w:r>
          </w:p>
        </w:tc>
        <w:tc>
          <w:tcPr>
            <w:tcW w:type="dxa" w:w="2351"/>
            <w:shd w:val="clear" w:color="auto" w:fill="2E74B5"/>
          </w:tcPr>
          <w:p>
            <w:r>
              <w:rPr>
                <w:rFonts w:ascii="Meiryo UI" w:hAnsi="Meiryo UI"/>
                <w:b/>
                <w:color w:val="FFFFFF"/>
                <w:sz w:val="18"/>
              </w:rPr>
              <w:t>リスク評価</w:t>
            </w:r>
          </w:p>
        </w:tc>
      </w:tr>
      <w:tr>
        <w:tc>
          <w:tcPr>
            <w:tcW w:type="dxa" w:w="2351"/>
          </w:tcPr>
          <w:p>
            <w:r>
              <w:rPr>
                <w:rFonts w:ascii="Meiryo UI" w:hAnsi="Meiryo UI"/>
                <w:sz w:val="18"/>
              </w:rPr>
              <w:t>OpenWork総合評点</w:t>
            </w:r>
          </w:p>
        </w:tc>
        <w:tc>
          <w:tcPr>
            <w:tcW w:type="dxa" w:w="2351"/>
          </w:tcPr>
          <w:p>
            <w:r>
              <w:rPr>
                <w:rFonts w:ascii="Meiryo UI" w:hAnsi="Meiryo UI"/>
                <w:sz w:val="18"/>
              </w:rPr>
              <w:t>2.5〜3.0 / 5.0</w:t>
            </w:r>
          </w:p>
        </w:tc>
        <w:tc>
          <w:tcPr>
            <w:tcW w:type="dxa" w:w="2351"/>
          </w:tcPr>
          <w:p>
            <w:r>
              <w:rPr>
                <w:rFonts w:ascii="Meiryo UI" w:hAnsi="Meiryo UI"/>
                <w:sz w:val="18"/>
              </w:rPr>
              <w:t>業界平均3.0程度</w:t>
            </w:r>
          </w:p>
        </w:tc>
        <w:tc>
          <w:tcPr>
            <w:tcW w:type="dxa" w:w="2351"/>
          </w:tcPr>
          <w:p>
            <w:r>
              <w:rPr>
                <w:rFonts w:ascii="Meiryo UI" w:hAnsi="Meiryo UI"/>
                <w:sz w:val="18"/>
              </w:rPr>
              <w:t>🟠 High</w:t>
            </w:r>
          </w:p>
        </w:tc>
      </w:tr>
      <w:tr>
        <w:tc>
          <w:tcPr>
            <w:tcW w:type="dxa" w:w="2351"/>
            <w:shd w:val="clear" w:color="auto" w:fill="DDEBF7"/>
          </w:tcPr>
          <w:p>
            <w:r>
              <w:rPr>
                <w:rFonts w:ascii="Meiryo UI" w:hAnsi="Meiryo UI"/>
                <w:sz w:val="18"/>
              </w:rPr>
              <w:t>エン カイシャの評判</w:t>
            </w:r>
          </w:p>
        </w:tc>
        <w:tc>
          <w:tcPr>
            <w:tcW w:type="dxa" w:w="2351"/>
            <w:shd w:val="clear" w:color="auto" w:fill="DDEBF7"/>
          </w:tcPr>
          <w:p>
            <w:r>
              <w:rPr>
                <w:rFonts w:ascii="Meiryo UI" w:hAnsi="Meiryo UI"/>
                <w:sz w:val="18"/>
              </w:rPr>
              <w:t>3.4 / 5.0（1,044名）</w:t>
            </w:r>
          </w:p>
        </w:tc>
        <w:tc>
          <w:tcPr>
            <w:tcW w:type="dxa" w:w="2351"/>
            <w:shd w:val="clear" w:color="auto" w:fill="DDEBF7"/>
          </w:tcPr>
          <w:p>
            <w:r>
              <w:rPr>
                <w:rFonts w:ascii="Meiryo UI" w:hAnsi="Meiryo UI"/>
                <w:sz w:val="18"/>
              </w:rPr>
              <w:t>平均的</w:t>
            </w:r>
          </w:p>
        </w:tc>
        <w:tc>
          <w:tcPr>
            <w:tcW w:type="dxa" w:w="2351"/>
            <w:shd w:val="clear" w:color="auto" w:fill="DDEBF7"/>
          </w:tcPr>
          <w:p>
            <w:r>
              <w:rPr>
                <w:rFonts w:ascii="Meiryo UI" w:hAnsi="Meiryo UI"/>
                <w:sz w:val="18"/>
              </w:rPr>
              <w:t>🟡 Medium</w:t>
            </w:r>
          </w:p>
        </w:tc>
      </w:tr>
      <w:tr>
        <w:tc>
          <w:tcPr>
            <w:tcW w:type="dxa" w:w="2351"/>
          </w:tcPr>
          <w:p>
            <w:r>
              <w:rPr>
                <w:rFonts w:ascii="Meiryo UI" w:hAnsi="Meiryo UI"/>
                <w:sz w:val="18"/>
              </w:rPr>
              <w:t>経営陣への信頼</w:t>
            </w:r>
          </w:p>
        </w:tc>
        <w:tc>
          <w:tcPr>
            <w:tcW w:type="dxa" w:w="2351"/>
          </w:tcPr>
          <w:p>
            <w:r>
              <w:rPr>
                <w:rFonts w:ascii="Meiryo UI" w:hAnsi="Meiryo UI"/>
                <w:sz w:val="18"/>
              </w:rPr>
              <w:t>中程度</w:t>
            </w:r>
          </w:p>
        </w:tc>
        <w:tc>
          <w:tcPr>
            <w:tcW w:type="dxa" w:w="2351"/>
          </w:tcPr>
          <w:p>
            <w:r>
              <w:rPr>
                <w:rFonts w:ascii="Meiryo UI" w:hAnsi="Meiryo UI"/>
                <w:sz w:val="18"/>
              </w:rPr>
              <w:t>若干低め</w:t>
            </w:r>
          </w:p>
        </w:tc>
        <w:tc>
          <w:tcPr>
            <w:tcW w:type="dxa" w:w="2351"/>
          </w:tcPr>
          <w:p>
            <w:r>
              <w:rPr>
                <w:rFonts w:ascii="Meiryo UI" w:hAnsi="Meiryo UI"/>
                <w:sz w:val="18"/>
              </w:rPr>
              <w:t>🟡 Medium</w:t>
            </w:r>
          </w:p>
        </w:tc>
      </w:tr>
      <w:tr>
        <w:tc>
          <w:tcPr>
            <w:tcW w:type="dxa" w:w="2351"/>
            <w:shd w:val="clear" w:color="auto" w:fill="DDEBF7"/>
          </w:tcPr>
          <w:p>
            <w:r>
              <w:rPr>
                <w:rFonts w:ascii="Meiryo UI" w:hAnsi="Meiryo UI"/>
                <w:sz w:val="18"/>
              </w:rPr>
              <w:t>働き方の満足度</w:t>
            </w:r>
          </w:p>
        </w:tc>
        <w:tc>
          <w:tcPr>
            <w:tcW w:type="dxa" w:w="2351"/>
            <w:shd w:val="clear" w:color="auto" w:fill="DDEBF7"/>
          </w:tcPr>
          <w:p>
            <w:r>
              <w:rPr>
                <w:rFonts w:ascii="Meiryo UI" w:hAnsi="Meiryo UI"/>
                <w:sz w:val="18"/>
              </w:rPr>
              <w:t>低〜中</w:t>
            </w:r>
          </w:p>
        </w:tc>
        <w:tc>
          <w:tcPr>
            <w:tcW w:type="dxa" w:w="2351"/>
            <w:shd w:val="clear" w:color="auto" w:fill="DDEBF7"/>
          </w:tcPr>
          <w:p>
            <w:r>
              <w:rPr>
                <w:rFonts w:ascii="Meiryo UI" w:hAnsi="Meiryo UI"/>
                <w:sz w:val="18"/>
              </w:rPr>
              <w:t>業界下位</w:t>
            </w:r>
          </w:p>
        </w:tc>
        <w:tc>
          <w:tcPr>
            <w:tcW w:type="dxa" w:w="2351"/>
            <w:shd w:val="clear" w:color="auto" w:fill="DDEBF7"/>
          </w:tcPr>
          <w:p>
            <w:r>
              <w:rPr>
                <w:rFonts w:ascii="Meiryo UI" w:hAnsi="Meiryo UI"/>
                <w:sz w:val="18"/>
              </w:rPr>
              <w:t>🟠 High</w:t>
            </w:r>
          </w:p>
        </w:tc>
      </w:tr>
      <w:tr>
        <w:tc>
          <w:tcPr>
            <w:tcW w:type="dxa" w:w="2351"/>
          </w:tcPr>
          <w:p>
            <w:r>
              <w:rPr>
                <w:rFonts w:ascii="Meiryo UI" w:hAnsi="Meiryo UI"/>
                <w:sz w:val="18"/>
              </w:rPr>
              <w:t>給与・福利厚生</w:t>
            </w:r>
          </w:p>
        </w:tc>
        <w:tc>
          <w:tcPr>
            <w:tcW w:type="dxa" w:w="2351"/>
          </w:tcPr>
          <w:p>
            <w:r>
              <w:rPr>
                <w:rFonts w:ascii="Meiryo UI" w:hAnsi="Meiryo UI"/>
                <w:sz w:val="18"/>
              </w:rPr>
              <w:t>高め（歩合給）</w:t>
            </w:r>
          </w:p>
        </w:tc>
        <w:tc>
          <w:tcPr>
            <w:tcW w:type="dxa" w:w="2351"/>
          </w:tcPr>
          <w:p>
            <w:r>
              <w:rPr>
                <w:rFonts w:ascii="Meiryo UI" w:hAnsi="Meiryo UI"/>
                <w:sz w:val="18"/>
              </w:rPr>
              <w:t>業界上位</w:t>
            </w:r>
          </w:p>
        </w:tc>
        <w:tc>
          <w:tcPr>
            <w:tcW w:type="dxa" w:w="2351"/>
          </w:tcPr>
          <w:p>
            <w:r>
              <w:rPr>
                <w:rFonts w:ascii="Meiryo UI" w:hAnsi="Meiryo UI"/>
                <w:sz w:val="18"/>
              </w:rPr>
              <w:t>🟢 Low</w:t>
            </w:r>
          </w:p>
        </w:tc>
      </w:tr>
      <w:tr>
        <w:tc>
          <w:tcPr>
            <w:tcW w:type="dxa" w:w="2351"/>
            <w:shd w:val="clear" w:color="auto" w:fill="DDEBF7"/>
          </w:tcPr>
          <w:p>
            <w:r>
              <w:rPr>
                <w:rFonts w:ascii="Meiryo UI" w:hAnsi="Meiryo UI"/>
                <w:sz w:val="18"/>
              </w:rPr>
              <w:t>労働問題・訴訟</w:t>
            </w:r>
          </w:p>
        </w:tc>
        <w:tc>
          <w:tcPr>
            <w:tcW w:type="dxa" w:w="2351"/>
            <w:shd w:val="clear" w:color="auto" w:fill="DDEBF7"/>
          </w:tcPr>
          <w:p>
            <w:r>
              <w:rPr>
                <w:rFonts w:ascii="Meiryo UI" w:hAnsi="Meiryo UI"/>
                <w:sz w:val="18"/>
              </w:rPr>
              <w:t>要継続確認</w:t>
            </w:r>
          </w:p>
        </w:tc>
        <w:tc>
          <w:tcPr>
            <w:tcW w:type="dxa" w:w="2351"/>
            <w:shd w:val="clear" w:color="auto" w:fill="DDEBF7"/>
          </w:tcPr>
          <w:p>
            <w:r>
              <w:rPr>
                <w:rFonts w:ascii="Meiryo UI" w:hAnsi="Meiryo UI"/>
                <w:sz w:val="18"/>
              </w:rPr>
              <w:t>サブリース問題は業界固有リスク</w:t>
            </w:r>
          </w:p>
        </w:tc>
        <w:tc>
          <w:tcPr>
            <w:tcW w:type="dxa" w:w="2351"/>
            <w:shd w:val="clear" w:color="auto" w:fill="DDEBF7"/>
          </w:tcPr>
          <w:p>
            <w:r>
              <w:rPr>
                <w:rFonts w:ascii="Meiryo UI" w:hAnsi="Meiryo UI"/>
                <w:sz w:val="18"/>
              </w:rPr>
              <w:t>🟠 High</w:t>
            </w:r>
          </w:p>
        </w:tc>
      </w:tr>
    </w:tbl>
    <w:p/>
    <w:p>
      <w:r>
        <w:rPr>
          <w:rFonts w:ascii="Meiryo UI" w:hAnsi="Meiryo UI"/>
          <w:sz w:val="20"/>
        </w:rPr>
        <w:t>DE&amp;I進捗（FY2025新情報）:</w:t>
      </w:r>
    </w:p>
    <w:p>
      <w:pPr>
        <w:pStyle w:val="ListBullet"/>
      </w:pPr>
      <w:r>
        <w:rPr>
          <w:rFonts w:ascii="Meiryo UI" w:hAnsi="Meiryo UI"/>
          <w:sz w:val="20"/>
        </w:rPr>
        <w:t>女性取締役比率15.3%へ向上（前年8.3% → 女性社外取締役2名新選任）</w:t>
      </w:r>
    </w:p>
    <w:p>
      <w:pPr>
        <w:pStyle w:val="ListBullet"/>
      </w:pPr>
      <w:r>
        <w:rPr>
          <w:rFonts w:ascii="Meiryo UI" w:hAnsi="Meiryo UI"/>
          <w:sz w:val="20"/>
        </w:rPr>
        <w:t>女性管理職比率が過去最高水準を更新中</w:t>
      </w:r>
    </w:p>
    <w:p>
      <w:pPr>
        <w:pStyle w:val="ListBullet"/>
      </w:pPr>
      <w:r>
        <w:rPr>
          <w:rFonts w:ascii="Meiryo UI" w:hAnsi="Meiryo UI"/>
          <w:sz w:val="20"/>
        </w:rPr>
        <w:t>外国人技能実習生 5年計画で約560名育成（建設業の人手不足対応）</w:t>
      </w:r>
    </w:p>
    <w:p/>
    <w:p>
      <w:r>
        <w:rPr>
          <w:rFonts w:ascii="Meiryo UI" w:hAnsi="Meiryo UI"/>
          <w:sz w:val="20"/>
        </w:rPr>
        <w:t>組織健全性の総評:</w:t>
      </w:r>
    </w:p>
    <w:p>
      <w:r>
        <w:rPr>
          <w:rFonts w:ascii="Meiryo UI" w:hAnsi="Meiryo UI"/>
          <w:sz w:val="20"/>
        </w:rPr>
        <w:t>「課題先進企業」の側面は引き続き存在するが、DE&amp;I指標の改善・女性役員比率の急上昇は経営の変化意欲を示している。ただし飛び込み営業主体モデルの構造は変わっておらず、現場の離職率高止まりリスクは継続。サブリース新法（2021年施行）後は制度整備が進んだが、スモールミーティングでの社長直接説明が「信頼回復の進行中」を示すシグナルとも読める。</w:t>
      </w:r>
    </w:p>
    <w:p/>
    <w:p>
      <w:r>
        <w:t>──────────────────────────────────────────────────</w:t>
      </w:r>
    </w:p>
    <w:p/>
    <w:p>
      <w:pPr>
        <w:pStyle w:val="Heading2"/>
      </w:pPr>
      <w:r>
        <w:rPr>
          <w:rFonts w:ascii="Meiryo UI" w:hAnsi="Meiryo UI"/>
          <w:color w:val="2E74B5"/>
        </w:rPr>
        <w:t>Section C: 直近決算モメンタム</w:t>
      </w:r>
    </w:p>
    <w:p/>
    <w:p>
      <w:pPr>
        <w:pStyle w:val="Heading3"/>
      </w:pPr>
      <w:r>
        <w:rPr>
          <w:rFonts w:ascii="Meiryo UI" w:hAnsi="Meiryo UI"/>
          <w:color w:val="2E74B5"/>
        </w:rPr>
        <w:t>年次業績推移（連結、百万円）</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決算期</w:t>
            </w:r>
          </w:p>
        </w:tc>
        <w:tc>
          <w:tcPr>
            <w:tcW w:type="dxa" w:w="1176"/>
            <w:shd w:val="clear" w:color="auto" w:fill="2E74B5"/>
          </w:tcPr>
          <w:p>
            <w:r>
              <w:rPr>
                <w:rFonts w:ascii="Meiryo UI" w:hAnsi="Meiryo UI"/>
                <w:b/>
                <w:color w:val="FFFFFF"/>
                <w:sz w:val="18"/>
              </w:rPr>
              <w:t>売上高</w:t>
            </w:r>
          </w:p>
        </w:tc>
        <w:tc>
          <w:tcPr>
            <w:tcW w:type="dxa" w:w="1176"/>
            <w:shd w:val="clear" w:color="auto" w:fill="2E74B5"/>
          </w:tcPr>
          <w:p>
            <w:r>
              <w:rPr>
                <w:rFonts w:ascii="Meiryo UI" w:hAnsi="Meiryo UI"/>
                <w:b/>
                <w:color w:val="FFFFFF"/>
                <w:sz w:val="18"/>
              </w:rPr>
              <w:t>YoY</w:t>
            </w:r>
          </w:p>
        </w:tc>
        <w:tc>
          <w:tcPr>
            <w:tcW w:type="dxa" w:w="1176"/>
            <w:shd w:val="clear" w:color="auto" w:fill="2E74B5"/>
          </w:tcPr>
          <w:p>
            <w:r>
              <w:rPr>
                <w:rFonts w:ascii="Meiryo UI" w:hAnsi="Meiryo UI"/>
                <w:b/>
                <w:color w:val="FFFFFF"/>
                <w:sz w:val="18"/>
              </w:rPr>
              <w:t>営業利益</w:t>
            </w:r>
          </w:p>
        </w:tc>
        <w:tc>
          <w:tcPr>
            <w:tcW w:type="dxa" w:w="1176"/>
            <w:shd w:val="clear" w:color="auto" w:fill="2E74B5"/>
          </w:tcPr>
          <w:p>
            <w:r>
              <w:rPr>
                <w:rFonts w:ascii="Meiryo UI" w:hAnsi="Meiryo UI"/>
                <w:b/>
                <w:color w:val="FFFFFF"/>
                <w:sz w:val="18"/>
              </w:rPr>
              <w:t>YoY</w:t>
            </w:r>
          </w:p>
        </w:tc>
        <w:tc>
          <w:tcPr>
            <w:tcW w:type="dxa" w:w="1176"/>
            <w:shd w:val="clear" w:color="auto" w:fill="2E74B5"/>
          </w:tcPr>
          <w:p>
            <w:r>
              <w:rPr>
                <w:rFonts w:ascii="Meiryo UI" w:hAnsi="Meiryo UI"/>
                <w:b/>
                <w:color w:val="FFFFFF"/>
                <w:sz w:val="18"/>
              </w:rPr>
              <w:t>純利益</w:t>
            </w:r>
          </w:p>
        </w:tc>
        <w:tc>
          <w:tcPr>
            <w:tcW w:type="dxa" w:w="1176"/>
            <w:shd w:val="clear" w:color="auto" w:fill="2E74B5"/>
          </w:tcPr>
          <w:p>
            <w:r>
              <w:rPr>
                <w:rFonts w:ascii="Meiryo UI" w:hAnsi="Meiryo UI"/>
                <w:b/>
                <w:color w:val="FFFFFF"/>
                <w:sz w:val="18"/>
              </w:rPr>
              <w:t>EPS（円）</w:t>
            </w:r>
          </w:p>
        </w:tc>
        <w:tc>
          <w:tcPr>
            <w:tcW w:type="dxa" w:w="1176"/>
            <w:shd w:val="clear" w:color="auto" w:fill="2E74B5"/>
          </w:tcPr>
          <w:p>
            <w:r>
              <w:rPr>
                <w:rFonts w:ascii="Meiryo UI" w:hAnsi="Meiryo UI"/>
                <w:b/>
                <w:color w:val="FFFFFF"/>
                <w:sz w:val="18"/>
              </w:rPr>
              <w:t>配当（円）</w:t>
            </w:r>
          </w:p>
        </w:tc>
      </w:tr>
      <w:tr>
        <w:tc>
          <w:tcPr>
            <w:tcW w:type="dxa" w:w="1176"/>
          </w:tcPr>
          <w:p>
            <w:r>
              <w:rPr>
                <w:rFonts w:ascii="Meiryo UI" w:hAnsi="Meiryo UI"/>
                <w:sz w:val="18"/>
              </w:rPr>
              <w:t>FY2022（2022.03）</w:t>
            </w:r>
          </w:p>
        </w:tc>
        <w:tc>
          <w:tcPr>
            <w:tcW w:type="dxa" w:w="1176"/>
          </w:tcPr>
          <w:p>
            <w:r>
              <w:rPr>
                <w:rFonts w:ascii="Meiryo UI" w:hAnsi="Meiryo UI"/>
                <w:sz w:val="18"/>
              </w:rPr>
              <w:t>1,583,003</w:t>
            </w:r>
          </w:p>
        </w:tc>
        <w:tc>
          <w:tcPr>
            <w:tcW w:type="dxa" w:w="1176"/>
          </w:tcPr>
          <w:p>
            <w:r>
              <w:rPr>
                <w:rFonts w:ascii="Meiryo UI" w:hAnsi="Meiryo UI"/>
                <w:sz w:val="18"/>
              </w:rPr>
              <w:t>—</w:t>
            </w:r>
          </w:p>
        </w:tc>
        <w:tc>
          <w:tcPr>
            <w:tcW w:type="dxa" w:w="1176"/>
          </w:tcPr>
          <w:p>
            <w:r>
              <w:rPr>
                <w:rFonts w:ascii="Meiryo UI" w:hAnsi="Meiryo UI"/>
                <w:sz w:val="18"/>
              </w:rPr>
              <w:t>99,594</w:t>
            </w:r>
          </w:p>
        </w:tc>
        <w:tc>
          <w:tcPr>
            <w:tcW w:type="dxa" w:w="1176"/>
          </w:tcPr>
          <w:p>
            <w:r>
              <w:rPr>
                <w:rFonts w:ascii="Meiryo UI" w:hAnsi="Meiryo UI"/>
                <w:sz w:val="18"/>
              </w:rPr>
              <w:t>—</w:t>
            </w:r>
          </w:p>
        </w:tc>
        <w:tc>
          <w:tcPr>
            <w:tcW w:type="dxa" w:w="1176"/>
          </w:tcPr>
          <w:p>
            <w:r>
              <w:rPr>
                <w:rFonts w:ascii="Meiryo UI" w:hAnsi="Meiryo UI"/>
                <w:sz w:val="18"/>
              </w:rPr>
              <w:t>69,580</w:t>
            </w:r>
          </w:p>
        </w:tc>
        <w:tc>
          <w:tcPr>
            <w:tcW w:type="dxa" w:w="1176"/>
          </w:tcPr>
          <w:p>
            <w:r>
              <w:rPr>
                <w:rFonts w:ascii="Meiryo UI" w:hAnsi="Meiryo UI"/>
                <w:sz w:val="18"/>
              </w:rPr>
              <w:t>204.3</w:t>
            </w:r>
          </w:p>
        </w:tc>
        <w:tc>
          <w:tcPr>
            <w:tcW w:type="dxa" w:w="1176"/>
          </w:tcPr>
          <w:p>
            <w:r>
              <w:rPr>
                <w:rFonts w:ascii="Meiryo UI" w:hAnsi="Meiryo UI"/>
                <w:sz w:val="18"/>
              </w:rPr>
              <w:t>102.2</w:t>
            </w:r>
          </w:p>
        </w:tc>
      </w:tr>
      <w:tr>
        <w:tc>
          <w:tcPr>
            <w:tcW w:type="dxa" w:w="1176"/>
            <w:shd w:val="clear" w:color="auto" w:fill="DDEBF7"/>
          </w:tcPr>
          <w:p>
            <w:r>
              <w:rPr>
                <w:rFonts w:ascii="Meiryo UI" w:hAnsi="Meiryo UI"/>
                <w:sz w:val="18"/>
              </w:rPr>
              <w:t>FY2023（2023.03）</w:t>
            </w:r>
          </w:p>
        </w:tc>
        <w:tc>
          <w:tcPr>
            <w:tcW w:type="dxa" w:w="1176"/>
            <w:shd w:val="clear" w:color="auto" w:fill="DDEBF7"/>
          </w:tcPr>
          <w:p>
            <w:r>
              <w:rPr>
                <w:rFonts w:ascii="Meiryo UI" w:hAnsi="Meiryo UI"/>
                <w:sz w:val="18"/>
              </w:rPr>
              <w:t>1,657,626</w:t>
            </w:r>
          </w:p>
        </w:tc>
        <w:tc>
          <w:tcPr>
            <w:tcW w:type="dxa" w:w="1176"/>
            <w:shd w:val="clear" w:color="auto" w:fill="DDEBF7"/>
          </w:tcPr>
          <w:p>
            <w:r>
              <w:rPr>
                <w:rFonts w:ascii="Meiryo UI" w:hAnsi="Meiryo UI"/>
                <w:sz w:val="18"/>
              </w:rPr>
              <w:t>+4.7%</w:t>
            </w:r>
          </w:p>
        </w:tc>
        <w:tc>
          <w:tcPr>
            <w:tcW w:type="dxa" w:w="1176"/>
            <w:shd w:val="clear" w:color="auto" w:fill="DDEBF7"/>
          </w:tcPr>
          <w:p>
            <w:r>
              <w:rPr>
                <w:rFonts w:ascii="Meiryo UI" w:hAnsi="Meiryo UI"/>
                <w:sz w:val="18"/>
              </w:rPr>
              <w:t>100,000</w:t>
            </w:r>
          </w:p>
        </w:tc>
        <w:tc>
          <w:tcPr>
            <w:tcW w:type="dxa" w:w="1176"/>
            <w:shd w:val="clear" w:color="auto" w:fill="DDEBF7"/>
          </w:tcPr>
          <w:p>
            <w:r>
              <w:rPr>
                <w:rFonts w:ascii="Meiryo UI" w:hAnsi="Meiryo UI"/>
                <w:sz w:val="18"/>
              </w:rPr>
              <w:t>+0.4%</w:t>
            </w:r>
          </w:p>
        </w:tc>
        <w:tc>
          <w:tcPr>
            <w:tcW w:type="dxa" w:w="1176"/>
            <w:shd w:val="clear" w:color="auto" w:fill="DDEBF7"/>
          </w:tcPr>
          <w:p>
            <w:r>
              <w:rPr>
                <w:rFonts w:ascii="Meiryo UI" w:hAnsi="Meiryo UI"/>
                <w:sz w:val="18"/>
              </w:rPr>
              <w:t>70,361</w:t>
            </w:r>
          </w:p>
        </w:tc>
        <w:tc>
          <w:tcPr>
            <w:tcW w:type="dxa" w:w="1176"/>
            <w:shd w:val="clear" w:color="auto" w:fill="DDEBF7"/>
          </w:tcPr>
          <w:p>
            <w:r>
              <w:rPr>
                <w:rFonts w:ascii="Meiryo UI" w:hAnsi="Meiryo UI"/>
                <w:sz w:val="18"/>
              </w:rPr>
              <w:t>206.2</w:t>
            </w:r>
          </w:p>
        </w:tc>
        <w:tc>
          <w:tcPr>
            <w:tcW w:type="dxa" w:w="1176"/>
            <w:shd w:val="clear" w:color="auto" w:fill="DDEBF7"/>
          </w:tcPr>
          <w:p>
            <w:r>
              <w:rPr>
                <w:rFonts w:ascii="Meiryo UI" w:hAnsi="Meiryo UI"/>
                <w:sz w:val="18"/>
              </w:rPr>
              <w:t>103.2</w:t>
            </w:r>
          </w:p>
        </w:tc>
      </w:tr>
      <w:tr>
        <w:tc>
          <w:tcPr>
            <w:tcW w:type="dxa" w:w="1176"/>
          </w:tcPr>
          <w:p>
            <w:r>
              <w:rPr>
                <w:rFonts w:ascii="Meiryo UI" w:hAnsi="Meiryo UI"/>
                <w:sz w:val="18"/>
              </w:rPr>
              <w:t>FY2024（2024.03）</w:t>
            </w:r>
          </w:p>
        </w:tc>
        <w:tc>
          <w:tcPr>
            <w:tcW w:type="dxa" w:w="1176"/>
          </w:tcPr>
          <w:p>
            <w:r>
              <w:rPr>
                <w:rFonts w:ascii="Meiryo UI" w:hAnsi="Meiryo UI"/>
                <w:sz w:val="18"/>
              </w:rPr>
              <w:t>1,731,467</w:t>
            </w:r>
          </w:p>
        </w:tc>
        <w:tc>
          <w:tcPr>
            <w:tcW w:type="dxa" w:w="1176"/>
          </w:tcPr>
          <w:p>
            <w:r>
              <w:rPr>
                <w:rFonts w:ascii="Meiryo UI" w:hAnsi="Meiryo UI"/>
                <w:sz w:val="18"/>
              </w:rPr>
              <w:t>+4.5%</w:t>
            </w:r>
          </w:p>
        </w:tc>
        <w:tc>
          <w:tcPr>
            <w:tcW w:type="dxa" w:w="1176"/>
          </w:tcPr>
          <w:p>
            <w:r>
              <w:rPr>
                <w:rFonts w:ascii="Meiryo UI" w:hAnsi="Meiryo UI"/>
                <w:sz w:val="18"/>
              </w:rPr>
              <w:t>104,819</w:t>
            </w:r>
          </w:p>
        </w:tc>
        <w:tc>
          <w:tcPr>
            <w:tcW w:type="dxa" w:w="1176"/>
          </w:tcPr>
          <w:p>
            <w:r>
              <w:rPr>
                <w:rFonts w:ascii="Meiryo UI" w:hAnsi="Meiryo UI"/>
                <w:sz w:val="18"/>
              </w:rPr>
              <w:t>+4.8%</w:t>
            </w:r>
          </w:p>
        </w:tc>
        <w:tc>
          <w:tcPr>
            <w:tcW w:type="dxa" w:w="1176"/>
          </w:tcPr>
          <w:p>
            <w:r>
              <w:rPr>
                <w:rFonts w:ascii="Meiryo UI" w:hAnsi="Meiryo UI"/>
                <w:sz w:val="18"/>
              </w:rPr>
              <w:t>74,685</w:t>
            </w:r>
          </w:p>
        </w:tc>
        <w:tc>
          <w:tcPr>
            <w:tcW w:type="dxa" w:w="1176"/>
          </w:tcPr>
          <w:p>
            <w:r>
              <w:rPr>
                <w:rFonts w:ascii="Meiryo UI" w:hAnsi="Meiryo UI"/>
                <w:sz w:val="18"/>
              </w:rPr>
              <w:t>222.1</w:t>
            </w:r>
          </w:p>
        </w:tc>
        <w:tc>
          <w:tcPr>
            <w:tcW w:type="dxa" w:w="1176"/>
          </w:tcPr>
          <w:p>
            <w:r>
              <w:rPr>
                <w:rFonts w:ascii="Meiryo UI" w:hAnsi="Meiryo UI"/>
                <w:sz w:val="18"/>
              </w:rPr>
              <w:t>111.0</w:t>
            </w:r>
          </w:p>
        </w:tc>
      </w:tr>
      <w:tr>
        <w:tc>
          <w:tcPr>
            <w:tcW w:type="dxa" w:w="1176"/>
            <w:shd w:val="clear" w:color="auto" w:fill="DDEBF7"/>
          </w:tcPr>
          <w:p>
            <w:r>
              <w:rPr>
                <w:rFonts w:ascii="Meiryo UI" w:hAnsi="Meiryo UI"/>
                <w:sz w:val="18"/>
              </w:rPr>
              <w:t>FY2025（2025.03）</w:t>
            </w:r>
          </w:p>
        </w:tc>
        <w:tc>
          <w:tcPr>
            <w:tcW w:type="dxa" w:w="1176"/>
            <w:shd w:val="clear" w:color="auto" w:fill="DDEBF7"/>
          </w:tcPr>
          <w:p>
            <w:r>
              <w:rPr>
                <w:rFonts w:ascii="Meiryo UI" w:hAnsi="Meiryo UI"/>
                <w:sz w:val="18"/>
              </w:rPr>
              <w:t>1,842,357</w:t>
            </w:r>
          </w:p>
        </w:tc>
        <w:tc>
          <w:tcPr>
            <w:tcW w:type="dxa" w:w="1176"/>
            <w:shd w:val="clear" w:color="auto" w:fill="DDEBF7"/>
          </w:tcPr>
          <w:p>
            <w:r>
              <w:rPr>
                <w:rFonts w:ascii="Meiryo UI" w:hAnsi="Meiryo UI"/>
                <w:sz w:val="18"/>
              </w:rPr>
              <w:t>+6.4%</w:t>
            </w:r>
          </w:p>
        </w:tc>
        <w:tc>
          <w:tcPr>
            <w:tcW w:type="dxa" w:w="1176"/>
            <w:shd w:val="clear" w:color="auto" w:fill="DDEBF7"/>
          </w:tcPr>
          <w:p>
            <w:r>
              <w:rPr>
                <w:rFonts w:ascii="Meiryo UI" w:hAnsi="Meiryo UI"/>
                <w:sz w:val="18"/>
              </w:rPr>
              <w:t>118,875</w:t>
            </w:r>
          </w:p>
        </w:tc>
        <w:tc>
          <w:tcPr>
            <w:tcW w:type="dxa" w:w="1176"/>
            <w:shd w:val="clear" w:color="auto" w:fill="DDEBF7"/>
          </w:tcPr>
          <w:p>
            <w:r>
              <w:rPr>
                <w:rFonts w:ascii="Meiryo UI" w:hAnsi="Meiryo UI"/>
                <w:sz w:val="18"/>
              </w:rPr>
              <w:t>+13.4%</w:t>
            </w:r>
          </w:p>
        </w:tc>
        <w:tc>
          <w:tcPr>
            <w:tcW w:type="dxa" w:w="1176"/>
            <w:shd w:val="clear" w:color="auto" w:fill="DDEBF7"/>
          </w:tcPr>
          <w:p>
            <w:r>
              <w:rPr>
                <w:rFonts w:ascii="Meiryo UI" w:hAnsi="Meiryo UI"/>
                <w:sz w:val="18"/>
              </w:rPr>
              <w:t>93,858</w:t>
            </w:r>
          </w:p>
        </w:tc>
        <w:tc>
          <w:tcPr>
            <w:tcW w:type="dxa" w:w="1176"/>
            <w:shd w:val="clear" w:color="auto" w:fill="DDEBF7"/>
          </w:tcPr>
          <w:p>
            <w:r>
              <w:rPr>
                <w:rFonts w:ascii="Meiryo UI" w:hAnsi="Meiryo UI"/>
                <w:sz w:val="18"/>
              </w:rPr>
              <w:t>285.7</w:t>
            </w:r>
          </w:p>
        </w:tc>
        <w:tc>
          <w:tcPr>
            <w:tcW w:type="dxa" w:w="1176"/>
            <w:shd w:val="clear" w:color="auto" w:fill="DDEBF7"/>
          </w:tcPr>
          <w:p>
            <w:r>
              <w:rPr>
                <w:rFonts w:ascii="Meiryo UI" w:hAnsi="Meiryo UI"/>
                <w:sz w:val="18"/>
              </w:rPr>
              <w:t>142.8</w:t>
            </w:r>
          </w:p>
        </w:tc>
      </w:tr>
      <w:tr>
        <w:tc>
          <w:tcPr>
            <w:tcW w:type="dxa" w:w="1176"/>
          </w:tcPr>
          <w:p>
            <w:r>
              <w:rPr>
                <w:rFonts w:ascii="Meiryo UI" w:hAnsi="Meiryo UI"/>
                <w:sz w:val="18"/>
              </w:rPr>
              <w:t>FY2026（予）（2026.03）</w:t>
            </w:r>
          </w:p>
        </w:tc>
        <w:tc>
          <w:tcPr>
            <w:tcW w:type="dxa" w:w="1176"/>
          </w:tcPr>
          <w:p>
            <w:r>
              <w:rPr>
                <w:rFonts w:ascii="Meiryo UI" w:hAnsi="Meiryo UI"/>
                <w:sz w:val="18"/>
              </w:rPr>
              <w:t>1,980,000</w:t>
            </w:r>
          </w:p>
        </w:tc>
        <w:tc>
          <w:tcPr>
            <w:tcW w:type="dxa" w:w="1176"/>
          </w:tcPr>
          <w:p>
            <w:r>
              <w:rPr>
                <w:rFonts w:ascii="Meiryo UI" w:hAnsi="Meiryo UI"/>
                <w:sz w:val="18"/>
              </w:rPr>
              <w:t>+7.5%</w:t>
            </w:r>
          </w:p>
        </w:tc>
        <w:tc>
          <w:tcPr>
            <w:tcW w:type="dxa" w:w="1176"/>
          </w:tcPr>
          <w:p>
            <w:r>
              <w:rPr>
                <w:rFonts w:ascii="Meiryo UI" w:hAnsi="Meiryo UI"/>
                <w:sz w:val="18"/>
              </w:rPr>
              <w:t>135,000</w:t>
            </w:r>
          </w:p>
        </w:tc>
        <w:tc>
          <w:tcPr>
            <w:tcW w:type="dxa" w:w="1176"/>
          </w:tcPr>
          <w:p>
            <w:r>
              <w:rPr>
                <w:rFonts w:ascii="Meiryo UI" w:hAnsi="Meiryo UI"/>
                <w:sz w:val="18"/>
              </w:rPr>
              <w:t>+13.6%</w:t>
            </w:r>
          </w:p>
        </w:tc>
        <w:tc>
          <w:tcPr>
            <w:tcW w:type="dxa" w:w="1176"/>
          </w:tcPr>
          <w:p>
            <w:r>
              <w:rPr>
                <w:rFonts w:ascii="Meiryo UI" w:hAnsi="Meiryo UI"/>
                <w:sz w:val="18"/>
              </w:rPr>
              <w:t>95,000</w:t>
            </w:r>
          </w:p>
        </w:tc>
        <w:tc>
          <w:tcPr>
            <w:tcW w:type="dxa" w:w="1176"/>
          </w:tcPr>
          <w:p>
            <w:r>
              <w:rPr>
                <w:rFonts w:ascii="Meiryo UI" w:hAnsi="Meiryo UI"/>
                <w:sz w:val="18"/>
              </w:rPr>
              <w:t>291.8</w:t>
            </w:r>
          </w:p>
        </w:tc>
        <w:tc>
          <w:tcPr>
            <w:tcW w:type="dxa" w:w="1176"/>
          </w:tcPr>
          <w:p>
            <w:r>
              <w:rPr>
                <w:rFonts w:ascii="Meiryo UI" w:hAnsi="Meiryo UI"/>
                <w:sz w:val="18"/>
              </w:rPr>
              <w:t>143.0</w:t>
            </w:r>
          </w:p>
        </w:tc>
      </w:tr>
    </w:tbl>
    <w:p/>
    <w:p>
      <w:pPr>
        <w:pStyle w:val="Heading3"/>
      </w:pPr>
      <w:r>
        <w:rPr>
          <w:rFonts w:ascii="Meiryo UI" w:hAnsi="Meiryo UI"/>
          <w:color w:val="2E74B5"/>
        </w:rPr>
        <w:t>月次KPI（2026年3月実績）</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数値</w:t>
            </w:r>
          </w:p>
        </w:tc>
        <w:tc>
          <w:tcPr>
            <w:tcW w:type="dxa" w:w="1881"/>
            <w:shd w:val="clear" w:color="auto" w:fill="2E74B5"/>
          </w:tcPr>
          <w:p>
            <w:r>
              <w:rPr>
                <w:rFonts w:ascii="Meiryo UI" w:hAnsi="Meiryo UI"/>
                <w:b/>
                <w:color w:val="FFFFFF"/>
                <w:sz w:val="18"/>
              </w:rPr>
              <w:t>前月比</w:t>
            </w:r>
          </w:p>
        </w:tc>
        <w:tc>
          <w:tcPr>
            <w:tcW w:type="dxa" w:w="1881"/>
            <w:shd w:val="clear" w:color="auto" w:fill="2E74B5"/>
          </w:tcPr>
          <w:p>
            <w:r>
              <w:rPr>
                <w:rFonts w:ascii="Meiryo UI" w:hAnsi="Meiryo UI"/>
                <w:b/>
                <w:color w:val="FFFFFF"/>
                <w:sz w:val="18"/>
              </w:rPr>
              <w:t>前年同月比</w:t>
            </w:r>
          </w:p>
        </w:tc>
        <w:tc>
          <w:tcPr>
            <w:tcW w:type="dxa" w:w="1881"/>
            <w:shd w:val="clear" w:color="auto" w:fill="2E74B5"/>
          </w:tcPr>
          <w:p>
            <w:r>
              <w:rPr>
                <w:rFonts w:ascii="Meiryo UI" w:hAnsi="Meiryo UI"/>
                <w:b/>
                <w:color w:val="FFFFFF"/>
                <w:sz w:val="18"/>
              </w:rPr>
              <w:t>評価</w:t>
            </w:r>
          </w:p>
        </w:tc>
      </w:tr>
      <w:tr>
        <w:tc>
          <w:tcPr>
            <w:tcW w:type="dxa" w:w="1881"/>
          </w:tcPr>
          <w:p>
            <w:r>
              <w:rPr>
                <w:rFonts w:ascii="Meiryo UI" w:hAnsi="Meiryo UI"/>
                <w:sz w:val="18"/>
              </w:rPr>
              <w:t>入居率（家賃ベース）</w:t>
            </w:r>
          </w:p>
        </w:tc>
        <w:tc>
          <w:tcPr>
            <w:tcW w:type="dxa" w:w="1881"/>
          </w:tcPr>
          <w:p>
            <w:r>
              <w:rPr>
                <w:rFonts w:ascii="Meiryo UI" w:hAnsi="Meiryo UI"/>
                <w:sz w:val="18"/>
              </w:rPr>
              <w:t>97.98%</w:t>
            </w:r>
          </w:p>
        </w:tc>
        <w:tc>
          <w:tcPr>
            <w:tcW w:type="dxa" w:w="1881"/>
          </w:tcPr>
          <w:p>
            <w:r>
              <w:rPr>
                <w:rFonts w:ascii="Meiryo UI" w:hAnsi="Meiryo UI"/>
                <w:sz w:val="18"/>
              </w:rPr>
              <w:t>+28bp</w:t>
            </w:r>
          </w:p>
        </w:tc>
        <w:tc>
          <w:tcPr>
            <w:tcW w:type="dxa" w:w="1881"/>
          </w:tcPr>
          <w:p>
            <w:r>
              <w:rPr>
                <w:rFonts w:ascii="Meiryo UI" w:hAnsi="Meiryo UI"/>
                <w:sz w:val="18"/>
              </w:rPr>
              <w:t>+18bp</w:t>
            </w:r>
          </w:p>
        </w:tc>
        <w:tc>
          <w:tcPr>
            <w:tcW w:type="dxa" w:w="1881"/>
          </w:tcPr>
          <w:p>
            <w:r>
              <w:rPr>
                <w:rFonts w:ascii="Meiryo UI" w:hAnsi="Meiryo UI"/>
                <w:sz w:val="18"/>
              </w:rPr>
              <w:t>✅ 強い</w:t>
            </w:r>
          </w:p>
        </w:tc>
      </w:tr>
      <w:tr>
        <w:tc>
          <w:tcPr>
            <w:tcW w:type="dxa" w:w="1881"/>
            <w:shd w:val="clear" w:color="auto" w:fill="DDEBF7"/>
          </w:tcPr>
          <w:p>
            <w:r>
              <w:rPr>
                <w:rFonts w:ascii="Meiryo UI" w:hAnsi="Meiryo UI"/>
                <w:sz w:val="18"/>
              </w:rPr>
              <w:t>受注高（単月）</w:t>
            </w:r>
          </w:p>
        </w:tc>
        <w:tc>
          <w:tcPr>
            <w:tcW w:type="dxa" w:w="1881"/>
            <w:shd w:val="clear" w:color="auto" w:fill="DDEBF7"/>
          </w:tcPr>
          <w:p>
            <w:r>
              <w:rPr>
                <w:rFonts w:ascii="Meiryo UI" w:hAnsi="Meiryo UI"/>
                <w:sz w:val="18"/>
              </w:rPr>
              <w:t>630億円</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 表面上減速</w:t>
            </w:r>
          </w:p>
        </w:tc>
      </w:tr>
      <w:tr>
        <w:tc>
          <w:tcPr>
            <w:tcW w:type="dxa" w:w="1881"/>
          </w:tcPr>
          <w:p>
            <w:r>
              <w:rPr>
                <w:rFonts w:ascii="Meiryo UI" w:hAnsi="Meiryo UI"/>
                <w:sz w:val="18"/>
              </w:rPr>
              <w:t>Build Set別途分</w:t>
            </w:r>
          </w:p>
        </w:tc>
        <w:tc>
          <w:tcPr>
            <w:tcW w:type="dxa" w:w="1881"/>
          </w:tcPr>
          <w:p>
            <w:r>
              <w:rPr>
                <w:rFonts w:ascii="Meiryo UI" w:hAnsi="Meiryo UI"/>
                <w:sz w:val="18"/>
              </w:rPr>
              <w:t>約30億円</w:t>
            </w:r>
          </w:p>
        </w:tc>
        <w:tc>
          <w:tcPr>
            <w:tcW w:type="dxa" w:w="1881"/>
          </w:tcPr>
          <w:p>
            <w:r>
              <w:rPr>
                <w:rFonts w:ascii="Meiryo UI" w:hAnsi="Meiryo UI"/>
                <w:sz w:val="18"/>
              </w:rPr>
              <w:t>—</w:t>
            </w:r>
          </w:p>
        </w:tc>
        <w:tc>
          <w:tcPr>
            <w:tcW w:type="dxa" w:w="1881"/>
          </w:tcPr>
          <w:p>
            <w:r>
              <w:rPr>
                <w:rFonts w:ascii="Meiryo UI" w:hAnsi="Meiryo UI"/>
                <w:sz w:val="18"/>
              </w:rPr>
              <w:t>—</w:t>
            </w:r>
          </w:p>
        </w:tc>
        <w:tc>
          <w:tcPr>
            <w:tcW w:type="dxa" w:w="1881"/>
          </w:tcPr>
          <w:p>
            <w:r>
              <w:rPr>
                <w:rFonts w:ascii="Meiryo UI" w:hAnsi="Meiryo UI"/>
                <w:sz w:val="18"/>
              </w:rPr>
              <w:t>✅ 実質横ばい</w:t>
            </w:r>
          </w:p>
        </w:tc>
      </w:tr>
    </w:tbl>
    <w:p/>
    <w:p>
      <w:r>
        <w:rPr>
          <w:rFonts w:ascii="Meiryo UI" w:hAnsi="Meiryo UI"/>
          <w:sz w:val="20"/>
        </w:rPr>
        <w:t>モメンタム評価: ストックは 加速（入居率28bp改善は顕著）、フローは 見かけ減速・実質横ばい</w:t>
      </w:r>
    </w:p>
    <w:p/>
    <w:p>
      <w:r>
        <w:rPr>
          <w:rFonts w:ascii="Meiryo UI" w:hAnsi="Meiryo UI"/>
          <w:sz w:val="20"/>
        </w:rPr>
        <w:t>次期ガイダンス評価（みずほ証券）: 投資判断「中立」維持、目標株価3,900円→4,000円に小幅引き上げ。ROE26/3期20.0%・27/3期20.7%と中計目標（20%）達成をみずほも予想。ガイダンスはやや保守的と判断。</w:t>
      </w:r>
    </w:p>
    <w:p/>
    <w:p>
      <w:r>
        <w:rPr>
          <w:rFonts w:ascii="Meiryo UI" w:hAnsi="Meiryo UI"/>
          <w:sz w:val="20"/>
        </w:rPr>
        <w:t>特別利益カタリスト: ソラスト（6197）株式売却により2026年8月頃に特別利益約100億円計上見込み（3月24日発表）。FY2027/3期の純利益押し上げ要因。</w:t>
      </w:r>
    </w:p>
    <w:p/>
    <w:p>
      <w:r>
        <w:rPr>
          <w:rFonts w:ascii="Meiryo UI" w:hAnsi="Meiryo UI"/>
          <w:sz w:val="20"/>
        </w:rPr>
        <w:t>アナリストコンセンサス傾向: 直近複数期の「上振れサプライズ」定着からみて、FY2026はコンセンサス達成がベースライン。ただし受注減速（Build Set込みで実質横ばいが確認できれば）下方修正リスクは限定的と判断。</w:t>
      </w:r>
    </w:p>
    <w:p/>
    <w:p>
      <w:r>
        <w:t>──────────────────────────────────────────────────</w:t>
      </w:r>
    </w:p>
    <w:p/>
    <w:p>
      <w:pPr>
        <w:pStyle w:val="Heading2"/>
      </w:pPr>
      <w:r>
        <w:rPr>
          <w:rFonts w:ascii="Meiryo UI" w:hAnsi="Meiryo UI"/>
          <w:color w:val="2E74B5"/>
        </w:rPr>
        <w:t>Section D: 競合比較分析</w:t>
      </w:r>
    </w:p>
    <w:p/>
    <w:p>
      <w:pPr>
        <w:pStyle w:val="Heading3"/>
      </w:pPr>
      <w:r>
        <w:rPr>
          <w:rFonts w:ascii="Meiryo UI" w:hAnsi="Meiryo UI"/>
          <w:color w:val="2E74B5"/>
        </w:rPr>
        <w:t>バリュエーション・財務指標比較（2026年4月4日時点）</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銘柄</w:t>
            </w:r>
          </w:p>
        </w:tc>
        <w:tc>
          <w:tcPr>
            <w:tcW w:type="dxa" w:w="1176"/>
            <w:shd w:val="clear" w:color="auto" w:fill="2E74B5"/>
          </w:tcPr>
          <w:p>
            <w:r>
              <w:rPr>
                <w:rFonts w:ascii="Meiryo UI" w:hAnsi="Meiryo UI"/>
                <w:b/>
                <w:color w:val="FFFFFF"/>
                <w:sz w:val="18"/>
              </w:rPr>
              <w:t>コード</w:t>
            </w:r>
          </w:p>
        </w:tc>
        <w:tc>
          <w:tcPr>
            <w:tcW w:type="dxa" w:w="1176"/>
            <w:shd w:val="clear" w:color="auto" w:fill="2E74B5"/>
          </w:tcPr>
          <w:p>
            <w:r>
              <w:rPr>
                <w:rFonts w:ascii="Meiryo UI" w:hAnsi="Meiryo UI"/>
                <w:b/>
                <w:color w:val="FFFFFF"/>
                <w:sz w:val="18"/>
              </w:rPr>
              <w:t>PER（予）</w:t>
            </w:r>
          </w:p>
        </w:tc>
        <w:tc>
          <w:tcPr>
            <w:tcW w:type="dxa" w:w="1176"/>
            <w:shd w:val="clear" w:color="auto" w:fill="2E74B5"/>
          </w:tcPr>
          <w:p>
            <w:r>
              <w:rPr>
                <w:rFonts w:ascii="Meiryo UI" w:hAnsi="Meiryo UI"/>
                <w:b/>
                <w:color w:val="FFFFFF"/>
                <w:sz w:val="18"/>
              </w:rPr>
              <w:t>PBR</w:t>
            </w:r>
          </w:p>
        </w:tc>
        <w:tc>
          <w:tcPr>
            <w:tcW w:type="dxa" w:w="1176"/>
            <w:shd w:val="clear" w:color="auto" w:fill="2E74B5"/>
          </w:tcPr>
          <w:p>
            <w:r>
              <w:rPr>
                <w:rFonts w:ascii="Meiryo UI" w:hAnsi="Meiryo UI"/>
                <w:b/>
                <w:color w:val="FFFFFF"/>
                <w:sz w:val="18"/>
              </w:rPr>
              <w:t>EV/EBITDA（概算）</w:t>
            </w:r>
          </w:p>
        </w:tc>
        <w:tc>
          <w:tcPr>
            <w:tcW w:type="dxa" w:w="1176"/>
            <w:shd w:val="clear" w:color="auto" w:fill="2E74B5"/>
          </w:tcPr>
          <w:p>
            <w:r>
              <w:rPr>
                <w:rFonts w:ascii="Meiryo UI" w:hAnsi="Meiryo UI"/>
                <w:b/>
                <w:color w:val="FFFFFF"/>
                <w:sz w:val="18"/>
              </w:rPr>
              <w:t>配当利回り</w:t>
            </w:r>
          </w:p>
        </w:tc>
        <w:tc>
          <w:tcPr>
            <w:tcW w:type="dxa" w:w="1176"/>
            <w:shd w:val="clear" w:color="auto" w:fill="2E74B5"/>
          </w:tcPr>
          <w:p>
            <w:r>
              <w:rPr>
                <w:rFonts w:ascii="Meiryo UI" w:hAnsi="Meiryo UI"/>
                <w:b/>
                <w:color w:val="FFFFFF"/>
                <w:sz w:val="18"/>
              </w:rPr>
              <w:t>ROE</w:t>
            </w:r>
          </w:p>
        </w:tc>
        <w:tc>
          <w:tcPr>
            <w:tcW w:type="dxa" w:w="1176"/>
            <w:shd w:val="clear" w:color="auto" w:fill="2E74B5"/>
          </w:tcPr>
          <w:p>
            <w:r>
              <w:rPr>
                <w:rFonts w:ascii="Meiryo UI" w:hAnsi="Meiryo UI"/>
                <w:b/>
                <w:color w:val="FFFFFF"/>
                <w:sz w:val="18"/>
              </w:rPr>
              <w:t>自己資本比率</w:t>
            </w:r>
          </w:p>
        </w:tc>
      </w:tr>
      <w:tr>
        <w:tc>
          <w:tcPr>
            <w:tcW w:type="dxa" w:w="1176"/>
          </w:tcPr>
          <w:p>
            <w:r>
              <w:rPr>
                <w:rFonts w:ascii="Meiryo UI" w:hAnsi="Meiryo UI"/>
                <w:sz w:val="18"/>
              </w:rPr>
              <w:t>大東建託</w:t>
            </w:r>
          </w:p>
        </w:tc>
        <w:tc>
          <w:tcPr>
            <w:tcW w:type="dxa" w:w="1176"/>
          </w:tcPr>
          <w:p>
            <w:r>
              <w:rPr>
                <w:rFonts w:ascii="Meiryo UI" w:hAnsi="Meiryo UI"/>
                <w:sz w:val="18"/>
              </w:rPr>
              <w:t>1878</w:t>
            </w:r>
          </w:p>
        </w:tc>
        <w:tc>
          <w:tcPr>
            <w:tcW w:type="dxa" w:w="1176"/>
          </w:tcPr>
          <w:p>
            <w:r>
              <w:rPr>
                <w:rFonts w:ascii="Meiryo UI" w:hAnsi="Meiryo UI"/>
                <w:sz w:val="18"/>
              </w:rPr>
              <w:t>12.8倍</w:t>
            </w:r>
          </w:p>
        </w:tc>
        <w:tc>
          <w:tcPr>
            <w:tcW w:type="dxa" w:w="1176"/>
          </w:tcPr>
          <w:p>
            <w:r>
              <w:rPr>
                <w:rFonts w:ascii="Meiryo UI" w:hAnsi="Meiryo UI"/>
                <w:sz w:val="18"/>
              </w:rPr>
              <w:t>2.46倍</w:t>
            </w:r>
          </w:p>
        </w:tc>
        <w:tc>
          <w:tcPr>
            <w:tcW w:type="dxa" w:w="1176"/>
          </w:tcPr>
          <w:p>
            <w:r>
              <w:rPr>
                <w:rFonts w:ascii="Meiryo UI" w:hAnsi="Meiryo UI"/>
                <w:sz w:val="18"/>
              </w:rPr>
              <w:t>約8〜9倍</w:t>
            </w:r>
          </w:p>
        </w:tc>
        <w:tc>
          <w:tcPr>
            <w:tcW w:type="dxa" w:w="1176"/>
          </w:tcPr>
          <w:p>
            <w:r>
              <w:rPr>
                <w:rFonts w:ascii="Meiryo UI" w:hAnsi="Meiryo UI"/>
                <w:sz w:val="18"/>
              </w:rPr>
              <w:t>3.82%</w:t>
            </w:r>
          </w:p>
        </w:tc>
        <w:tc>
          <w:tcPr>
            <w:tcW w:type="dxa" w:w="1176"/>
          </w:tcPr>
          <w:p>
            <w:r>
              <w:rPr>
                <w:rFonts w:ascii="Meiryo UI" w:hAnsi="Meiryo UI"/>
                <w:sz w:val="18"/>
              </w:rPr>
              <w:t>21.5%</w:t>
            </w:r>
          </w:p>
        </w:tc>
        <w:tc>
          <w:tcPr>
            <w:tcW w:type="dxa" w:w="1176"/>
          </w:tcPr>
          <w:p>
            <w:r>
              <w:rPr>
                <w:rFonts w:ascii="Meiryo UI" w:hAnsi="Meiryo UI"/>
                <w:sz w:val="18"/>
              </w:rPr>
              <w:t>38.4%</w:t>
            </w:r>
          </w:p>
        </w:tc>
      </w:tr>
      <w:tr>
        <w:tc>
          <w:tcPr>
            <w:tcW w:type="dxa" w:w="1176"/>
            <w:shd w:val="clear" w:color="auto" w:fill="DDEBF7"/>
          </w:tcPr>
          <w:p>
            <w:r>
              <w:rPr>
                <w:rFonts w:ascii="Meiryo UI" w:hAnsi="Meiryo UI"/>
                <w:sz w:val="18"/>
              </w:rPr>
              <w:t>積水ハウス</w:t>
            </w:r>
          </w:p>
        </w:tc>
        <w:tc>
          <w:tcPr>
            <w:tcW w:type="dxa" w:w="1176"/>
            <w:shd w:val="clear" w:color="auto" w:fill="DDEBF7"/>
          </w:tcPr>
          <w:p>
            <w:r>
              <w:rPr>
                <w:rFonts w:ascii="Meiryo UI" w:hAnsi="Meiryo UI"/>
                <w:sz w:val="18"/>
              </w:rPr>
              <w:t>1928</w:t>
            </w:r>
          </w:p>
        </w:tc>
        <w:tc>
          <w:tcPr>
            <w:tcW w:type="dxa" w:w="1176"/>
            <w:shd w:val="clear" w:color="auto" w:fill="DDEBF7"/>
          </w:tcPr>
          <w:p>
            <w:r>
              <w:rPr>
                <w:rFonts w:ascii="Meiryo UI" w:hAnsi="Meiryo UI"/>
                <w:sz w:val="18"/>
              </w:rPr>
              <w:t>10.6倍</w:t>
            </w:r>
          </w:p>
        </w:tc>
        <w:tc>
          <w:tcPr>
            <w:tcW w:type="dxa" w:w="1176"/>
            <w:shd w:val="clear" w:color="auto" w:fill="DDEBF7"/>
          </w:tcPr>
          <w:p>
            <w:r>
              <w:rPr>
                <w:rFonts w:ascii="Meiryo UI" w:hAnsi="Meiryo UI"/>
                <w:sz w:val="18"/>
              </w:rPr>
              <w:t>1.08倍</w:t>
            </w:r>
          </w:p>
        </w:tc>
        <w:tc>
          <w:tcPr>
            <w:tcW w:type="dxa" w:w="1176"/>
            <w:shd w:val="clear" w:color="auto" w:fill="DDEBF7"/>
          </w:tcPr>
          <w:p>
            <w:r>
              <w:rPr>
                <w:rFonts w:ascii="Meiryo UI" w:hAnsi="Meiryo UI"/>
                <w:sz w:val="18"/>
              </w:rPr>
              <w:t>約7倍</w:t>
            </w:r>
          </w:p>
        </w:tc>
        <w:tc>
          <w:tcPr>
            <w:tcW w:type="dxa" w:w="1176"/>
            <w:shd w:val="clear" w:color="auto" w:fill="DDEBF7"/>
          </w:tcPr>
          <w:p>
            <w:r>
              <w:rPr>
                <w:rFonts w:ascii="Meiryo UI" w:hAnsi="Meiryo UI"/>
                <w:sz w:val="18"/>
              </w:rPr>
              <w:t>4.07%</w:t>
            </w:r>
          </w:p>
        </w:tc>
        <w:tc>
          <w:tcPr>
            <w:tcW w:type="dxa" w:w="1176"/>
            <w:shd w:val="clear" w:color="auto" w:fill="DDEBF7"/>
          </w:tcPr>
          <w:p>
            <w:r>
              <w:rPr>
                <w:rFonts w:ascii="Meiryo UI" w:hAnsi="Meiryo UI"/>
                <w:sz w:val="18"/>
              </w:rPr>
              <w:t>11.3%</w:t>
            </w:r>
          </w:p>
        </w:tc>
        <w:tc>
          <w:tcPr>
            <w:tcW w:type="dxa" w:w="1176"/>
            <w:shd w:val="clear" w:color="auto" w:fill="DDEBF7"/>
          </w:tcPr>
          <w:p>
            <w:r>
              <w:rPr>
                <w:rFonts w:ascii="Meiryo UI" w:hAnsi="Meiryo UI"/>
                <w:sz w:val="18"/>
              </w:rPr>
              <w:t>42.7%</w:t>
            </w:r>
          </w:p>
        </w:tc>
      </w:tr>
      <w:tr>
        <w:tc>
          <w:tcPr>
            <w:tcW w:type="dxa" w:w="1176"/>
          </w:tcPr>
          <w:p>
            <w:r>
              <w:rPr>
                <w:rFonts w:ascii="Meiryo UI" w:hAnsi="Meiryo UI"/>
                <w:sz w:val="18"/>
              </w:rPr>
              <w:t>大和ハウス工業</w:t>
            </w:r>
          </w:p>
        </w:tc>
        <w:tc>
          <w:tcPr>
            <w:tcW w:type="dxa" w:w="1176"/>
          </w:tcPr>
          <w:p>
            <w:r>
              <w:rPr>
                <w:rFonts w:ascii="Meiryo UI" w:hAnsi="Meiryo UI"/>
                <w:sz w:val="18"/>
              </w:rPr>
              <w:t>1925</w:t>
            </w:r>
          </w:p>
        </w:tc>
        <w:tc>
          <w:tcPr>
            <w:tcW w:type="dxa" w:w="1176"/>
          </w:tcPr>
          <w:p>
            <w:r>
              <w:rPr>
                <w:rFonts w:ascii="Meiryo UI" w:hAnsi="Meiryo UI"/>
                <w:sz w:val="18"/>
              </w:rPr>
              <w:t>10.7倍</w:t>
            </w:r>
          </w:p>
        </w:tc>
        <w:tc>
          <w:tcPr>
            <w:tcW w:type="dxa" w:w="1176"/>
          </w:tcPr>
          <w:p>
            <w:r>
              <w:rPr>
                <w:rFonts w:ascii="Meiryo UI" w:hAnsi="Meiryo UI"/>
                <w:sz w:val="18"/>
              </w:rPr>
              <w:t>1.14倍</w:t>
            </w:r>
          </w:p>
        </w:tc>
        <w:tc>
          <w:tcPr>
            <w:tcW w:type="dxa" w:w="1176"/>
          </w:tcPr>
          <w:p>
            <w:r>
              <w:rPr>
                <w:rFonts w:ascii="Meiryo UI" w:hAnsi="Meiryo UI"/>
                <w:sz w:val="18"/>
              </w:rPr>
              <w:t>約8倍</w:t>
            </w:r>
          </w:p>
        </w:tc>
        <w:tc>
          <w:tcPr>
            <w:tcW w:type="dxa" w:w="1176"/>
          </w:tcPr>
          <w:p>
            <w:r>
              <w:rPr>
                <w:rFonts w:ascii="Meiryo UI" w:hAnsi="Meiryo UI"/>
                <w:sz w:val="18"/>
              </w:rPr>
              <w:t>3.50%</w:t>
            </w:r>
          </w:p>
        </w:tc>
        <w:tc>
          <w:tcPr>
            <w:tcW w:type="dxa" w:w="1176"/>
          </w:tcPr>
          <w:p>
            <w:r>
              <w:rPr>
                <w:rFonts w:ascii="Meiryo UI" w:hAnsi="Meiryo UI"/>
                <w:sz w:val="18"/>
              </w:rPr>
              <w:t>12.9%</w:t>
            </w:r>
          </w:p>
        </w:tc>
        <w:tc>
          <w:tcPr>
            <w:tcW w:type="dxa" w:w="1176"/>
          </w:tcPr>
          <w:p>
            <w:r>
              <w:rPr>
                <w:rFonts w:ascii="Meiryo UI" w:hAnsi="Meiryo UI"/>
                <w:sz w:val="18"/>
              </w:rPr>
              <w:t>37.1%</w:t>
            </w:r>
          </w:p>
        </w:tc>
      </w:tr>
      <w:tr>
        <w:tc>
          <w:tcPr>
            <w:tcW w:type="dxa" w:w="1176"/>
            <w:shd w:val="clear" w:color="auto" w:fill="DDEBF7"/>
          </w:tcPr>
          <w:p>
            <w:r>
              <w:rPr>
                <w:rFonts w:ascii="Meiryo UI" w:hAnsi="Meiryo UI"/>
                <w:sz w:val="18"/>
              </w:rPr>
              <w:t>住友林業</w:t>
            </w:r>
          </w:p>
        </w:tc>
        <w:tc>
          <w:tcPr>
            <w:tcW w:type="dxa" w:w="1176"/>
            <w:shd w:val="clear" w:color="auto" w:fill="DDEBF7"/>
          </w:tcPr>
          <w:p>
            <w:r>
              <w:rPr>
                <w:rFonts w:ascii="Meiryo UI" w:hAnsi="Meiryo UI"/>
                <w:sz w:val="18"/>
              </w:rPr>
              <w:t>1911</w:t>
            </w:r>
          </w:p>
        </w:tc>
        <w:tc>
          <w:tcPr>
            <w:tcW w:type="dxa" w:w="1176"/>
            <w:shd w:val="clear" w:color="auto" w:fill="DDEBF7"/>
          </w:tcPr>
          <w:p>
            <w:r>
              <w:rPr>
                <w:rFonts w:ascii="Meiryo UI" w:hAnsi="Meiryo UI"/>
                <w:sz w:val="18"/>
              </w:rPr>
              <w:t>9.1倍</w:t>
            </w:r>
          </w:p>
        </w:tc>
        <w:tc>
          <w:tcPr>
            <w:tcW w:type="dxa" w:w="1176"/>
            <w:shd w:val="clear" w:color="auto" w:fill="DDEBF7"/>
          </w:tcPr>
          <w:p>
            <w:r>
              <w:rPr>
                <w:rFonts w:ascii="Meiryo UI" w:hAnsi="Meiryo UI"/>
                <w:sz w:val="18"/>
              </w:rPr>
              <w:t>0.86倍</w:t>
            </w:r>
          </w:p>
        </w:tc>
        <w:tc>
          <w:tcPr>
            <w:tcW w:type="dxa" w:w="1176"/>
            <w:shd w:val="clear" w:color="auto" w:fill="DDEBF7"/>
          </w:tcPr>
          <w:p>
            <w:r>
              <w:rPr>
                <w:rFonts w:ascii="Meiryo UI" w:hAnsi="Meiryo UI"/>
                <w:sz w:val="18"/>
              </w:rPr>
              <w:t>約6倍</w:t>
            </w:r>
          </w:p>
        </w:tc>
        <w:tc>
          <w:tcPr>
            <w:tcW w:type="dxa" w:w="1176"/>
            <w:shd w:val="clear" w:color="auto" w:fill="DDEBF7"/>
          </w:tcPr>
          <w:p>
            <w:r>
              <w:rPr>
                <w:rFonts w:ascii="Meiryo UI" w:hAnsi="Meiryo UI"/>
                <w:sz w:val="18"/>
              </w:rPr>
              <w:t>3.53%</w:t>
            </w:r>
          </w:p>
        </w:tc>
        <w:tc>
          <w:tcPr>
            <w:tcW w:type="dxa" w:w="1176"/>
            <w:shd w:val="clear" w:color="auto" w:fill="DDEBF7"/>
          </w:tcPr>
          <w:p>
            <w:r>
              <w:rPr>
                <w:rFonts w:ascii="Meiryo UI" w:hAnsi="Meiryo UI"/>
                <w:sz w:val="18"/>
              </w:rPr>
              <w:t>11.1%</w:t>
            </w:r>
          </w:p>
        </w:tc>
        <w:tc>
          <w:tcPr>
            <w:tcW w:type="dxa" w:w="1176"/>
            <w:shd w:val="clear" w:color="auto" w:fill="DDEBF7"/>
          </w:tcPr>
          <w:p>
            <w:r>
              <w:rPr>
                <w:rFonts w:ascii="Meiryo UI" w:hAnsi="Meiryo UI"/>
                <w:sz w:val="18"/>
              </w:rPr>
              <w:t>—</w:t>
            </w:r>
          </w:p>
        </w:tc>
      </w:tr>
      <w:tr>
        <w:tc>
          <w:tcPr>
            <w:tcW w:type="dxa" w:w="1176"/>
          </w:tcPr>
          <w:p>
            <w:r>
              <w:rPr>
                <w:rFonts w:ascii="Meiryo UI" w:hAnsi="Meiryo UI"/>
                <w:sz w:val="18"/>
              </w:rPr>
              <w:t>レオパレス21</w:t>
            </w:r>
          </w:p>
        </w:tc>
        <w:tc>
          <w:tcPr>
            <w:tcW w:type="dxa" w:w="1176"/>
          </w:tcPr>
          <w:p>
            <w:r>
              <w:rPr>
                <w:rFonts w:ascii="Meiryo UI" w:hAnsi="Meiryo UI"/>
                <w:sz w:val="18"/>
              </w:rPr>
              <w:t>8848</w:t>
            </w:r>
          </w:p>
        </w:tc>
        <w:tc>
          <w:tcPr>
            <w:tcW w:type="dxa" w:w="1176"/>
          </w:tcPr>
          <w:p>
            <w:r>
              <w:rPr>
                <w:rFonts w:ascii="Meiryo UI" w:hAnsi="Meiryo UI"/>
                <w:sz w:val="18"/>
              </w:rPr>
              <w:t>15.8倍</w:t>
            </w:r>
          </w:p>
        </w:tc>
        <w:tc>
          <w:tcPr>
            <w:tcW w:type="dxa" w:w="1176"/>
          </w:tcPr>
          <w:p>
            <w:r>
              <w:rPr>
                <w:rFonts w:ascii="Meiryo UI" w:hAnsi="Meiryo UI"/>
                <w:sz w:val="18"/>
              </w:rPr>
              <w:t>6.07倍</w:t>
            </w:r>
          </w:p>
        </w:tc>
        <w:tc>
          <w:tcPr>
            <w:tcW w:type="dxa" w:w="1176"/>
          </w:tcPr>
          <w:p>
            <w:r>
              <w:rPr>
                <w:rFonts w:ascii="Meiryo UI" w:hAnsi="Meiryo UI"/>
                <w:sz w:val="18"/>
              </w:rPr>
              <w:t>高倍率</w:t>
            </w:r>
          </w:p>
        </w:tc>
        <w:tc>
          <w:tcPr>
            <w:tcW w:type="dxa" w:w="1176"/>
          </w:tcPr>
          <w:p>
            <w:r>
              <w:rPr>
                <w:rFonts w:ascii="Meiryo UI" w:hAnsi="Meiryo UI"/>
                <w:sz w:val="18"/>
              </w:rPr>
              <w:t>1.55%</w:t>
            </w:r>
          </w:p>
        </w:tc>
        <w:tc>
          <w:tcPr>
            <w:tcW w:type="dxa" w:w="1176"/>
          </w:tcPr>
          <w:p>
            <w:r>
              <w:rPr>
                <w:rFonts w:ascii="Meiryo UI" w:hAnsi="Meiryo UI"/>
                <w:sz w:val="18"/>
              </w:rPr>
              <w:t>38%超</w:t>
            </w:r>
          </w:p>
        </w:tc>
        <w:tc>
          <w:tcPr>
            <w:tcW w:type="dxa" w:w="1176"/>
          </w:tcPr>
          <w:p>
            <w:r>
              <w:rPr>
                <w:rFonts w:ascii="Meiryo UI" w:hAnsi="Meiryo UI"/>
                <w:sz w:val="18"/>
              </w:rPr>
              <w:t>低め</w:t>
            </w:r>
          </w:p>
        </w:tc>
      </w:tr>
    </w:tbl>
    <w:p/>
    <w:p>
      <w:r>
        <w:rPr>
          <w:rFonts w:ascii="Meiryo UI" w:hAnsi="Meiryo UI"/>
          <w:sz w:val="20"/>
        </w:rPr>
        <w:t>バリュエーション判定: ROE21.5%（業界平均約12%の約2倍）を考慮すると、PER12.8倍・PBR2.46倍のプレミアムは正当化可能。競合比では「適正〜やや割安」に修正（定性デルタによる経営信頼度向上を織り込み）。</w:t>
      </w:r>
    </w:p>
    <w:p/>
    <w:p>
      <w:pPr>
        <w:pStyle w:val="Heading3"/>
      </w:pPr>
      <w:r>
        <w:rPr>
          <w:rFonts w:ascii="Meiryo UI" w:hAnsi="Meiryo UI"/>
          <w:color w:val="2E74B5"/>
        </w:rPr>
        <w:t>Moat（経済的堀）評価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Moat種別</w:t>
            </w:r>
          </w:p>
        </w:tc>
        <w:tc>
          <w:tcPr>
            <w:tcW w:type="dxa" w:w="2351"/>
            <w:shd w:val="clear" w:color="auto" w:fill="2E74B5"/>
          </w:tcPr>
          <w:p>
            <w:r>
              <w:rPr>
                <w:rFonts w:ascii="Meiryo UI" w:hAnsi="Meiryo UI"/>
                <w:b/>
                <w:color w:val="FFFFFF"/>
                <w:sz w:val="18"/>
              </w:rPr>
              <w:t>大東建託への該当</w:t>
            </w:r>
          </w:p>
        </w:tc>
        <w:tc>
          <w:tcPr>
            <w:tcW w:type="dxa" w:w="2351"/>
            <w:shd w:val="clear" w:color="auto" w:fill="2E74B5"/>
          </w:tcPr>
          <w:p>
            <w:r>
              <w:rPr>
                <w:rFonts w:ascii="Meiryo UI" w:hAnsi="Meiryo UI"/>
                <w:b/>
                <w:color w:val="FFFFFF"/>
                <w:sz w:val="18"/>
              </w:rPr>
              <w:t>強度</w:t>
            </w:r>
          </w:p>
        </w:tc>
        <w:tc>
          <w:tcPr>
            <w:tcW w:type="dxa" w:w="2351"/>
            <w:shd w:val="clear" w:color="auto" w:fill="2E74B5"/>
          </w:tcPr>
          <w:p>
            <w:r>
              <w:rPr>
                <w:rFonts w:ascii="Meiryo UI" w:hAnsi="Meiryo UI"/>
                <w:b/>
                <w:color w:val="FFFFFF"/>
                <w:sz w:val="18"/>
              </w:rPr>
              <w:t>持続可能性</w:t>
            </w:r>
          </w:p>
        </w:tc>
      </w:tr>
      <w:tr>
        <w:tc>
          <w:tcPr>
            <w:tcW w:type="dxa" w:w="2351"/>
          </w:tcPr>
          <w:p>
            <w:r>
              <w:rPr>
                <w:rFonts w:ascii="Meiryo UI" w:hAnsi="Meiryo UI"/>
                <w:sz w:val="18"/>
              </w:rPr>
              <w:t>効率的規模（スケール）</w:t>
            </w:r>
          </w:p>
        </w:tc>
        <w:tc>
          <w:tcPr>
            <w:tcW w:type="dxa" w:w="2351"/>
          </w:tcPr>
          <w:p>
            <w:r>
              <w:rPr>
                <w:rFonts w:ascii="Meiryo UI" w:hAnsi="Meiryo UI"/>
                <w:sz w:val="18"/>
              </w:rPr>
              <w:t>管理戸数129万戸・業界断トツ首位 → プール効果で空室リスク分散</w:t>
            </w:r>
          </w:p>
        </w:tc>
        <w:tc>
          <w:tcPr>
            <w:tcW w:type="dxa" w:w="2351"/>
          </w:tcPr>
          <w:p>
            <w:r>
              <w:rPr>
                <w:rFonts w:ascii="Meiryo UI" w:hAnsi="Meiryo UI"/>
                <w:sz w:val="18"/>
              </w:rPr>
              <w:t>高</w:t>
            </w:r>
          </w:p>
        </w:tc>
        <w:tc>
          <w:tcPr>
            <w:tcW w:type="dxa" w:w="2351"/>
          </w:tcPr>
          <w:p>
            <w:r>
              <w:rPr>
                <w:rFonts w:ascii="Meiryo UI" w:hAnsi="Meiryo UI"/>
                <w:sz w:val="18"/>
              </w:rPr>
              <w:t>高</w:t>
            </w:r>
          </w:p>
        </w:tc>
      </w:tr>
      <w:tr>
        <w:tc>
          <w:tcPr>
            <w:tcW w:type="dxa" w:w="2351"/>
            <w:shd w:val="clear" w:color="auto" w:fill="DDEBF7"/>
          </w:tcPr>
          <w:p>
            <w:r>
              <w:rPr>
                <w:rFonts w:ascii="Meiryo UI" w:hAnsi="Meiryo UI"/>
                <w:sz w:val="18"/>
              </w:rPr>
              <w:t>スイッチングコスト</w:t>
            </w:r>
          </w:p>
        </w:tc>
        <w:tc>
          <w:tcPr>
            <w:tcW w:type="dxa" w:w="2351"/>
            <w:shd w:val="clear" w:color="auto" w:fill="DDEBF7"/>
          </w:tcPr>
          <w:p>
            <w:r>
              <w:rPr>
                <w:rFonts w:ascii="Meiryo UI" w:hAnsi="Meiryo UI"/>
                <w:sz w:val="18"/>
              </w:rPr>
              <w:t>長期サブリース契約（通常30年）でオーナーが乗り換えにくい構造</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高</w:t>
            </w:r>
          </w:p>
        </w:tc>
      </w:tr>
      <w:tr>
        <w:tc>
          <w:tcPr>
            <w:tcW w:type="dxa" w:w="2351"/>
          </w:tcPr>
          <w:p>
            <w:r>
              <w:rPr>
                <w:rFonts w:ascii="Meiryo UI" w:hAnsi="Meiryo UI"/>
                <w:sz w:val="18"/>
              </w:rPr>
              <w:t>無形資産（ブランド）</w:t>
            </w:r>
          </w:p>
        </w:tc>
        <w:tc>
          <w:tcPr>
            <w:tcW w:type="dxa" w:w="2351"/>
          </w:tcPr>
          <w:p>
            <w:r>
              <w:rPr>
                <w:rFonts w:ascii="Meiryo UI" w:hAnsi="Meiryo UI"/>
                <w:sz w:val="18"/>
              </w:rPr>
              <w:t>「大東建託」ブランドによる地主・入居者への信頼</w:t>
            </w:r>
          </w:p>
        </w:tc>
        <w:tc>
          <w:tcPr>
            <w:tcW w:type="dxa" w:w="2351"/>
          </w:tcPr>
          <w:p>
            <w:r>
              <w:rPr>
                <w:rFonts w:ascii="Meiryo UI" w:hAnsi="Meiryo UI"/>
                <w:sz w:val="18"/>
              </w:rPr>
              <w:t>中</w:t>
            </w:r>
          </w:p>
        </w:tc>
        <w:tc>
          <w:tcPr>
            <w:tcW w:type="dxa" w:w="2351"/>
          </w:tcPr>
          <w:p>
            <w:r>
              <w:rPr>
                <w:rFonts w:ascii="Meiryo UI" w:hAnsi="Meiryo UI"/>
                <w:sz w:val="18"/>
              </w:rPr>
              <w:t>中（評判リスクあり）</w:t>
            </w:r>
          </w:p>
        </w:tc>
      </w:tr>
      <w:tr>
        <w:tc>
          <w:tcPr>
            <w:tcW w:type="dxa" w:w="2351"/>
            <w:shd w:val="clear" w:color="auto" w:fill="DDEBF7"/>
          </w:tcPr>
          <w:p>
            <w:r>
              <w:rPr>
                <w:rFonts w:ascii="Meiryo UI" w:hAnsi="Meiryo UI"/>
                <w:sz w:val="18"/>
              </w:rPr>
              <w:t>コスト優位性</w:t>
            </w:r>
          </w:p>
        </w:tc>
        <w:tc>
          <w:tcPr>
            <w:tcW w:type="dxa" w:w="2351"/>
            <w:shd w:val="clear" w:color="auto" w:fill="DDEBF7"/>
          </w:tcPr>
          <w:p>
            <w:r>
              <w:rPr>
                <w:rFonts w:ascii="Meiryo UI" w:hAnsi="Meiryo UI"/>
                <w:sz w:val="18"/>
              </w:rPr>
              <w:t>大量発注による建設資材調達コスト削減</w:t>
            </w:r>
          </w:p>
        </w:tc>
        <w:tc>
          <w:tcPr>
            <w:tcW w:type="dxa" w:w="2351"/>
            <w:shd w:val="clear" w:color="auto" w:fill="DDEBF7"/>
          </w:tcPr>
          <w:p>
            <w:r>
              <w:rPr>
                <w:rFonts w:ascii="Meiryo UI" w:hAnsi="Meiryo UI"/>
                <w:sz w:val="18"/>
              </w:rPr>
              <w:t>中</w:t>
            </w:r>
          </w:p>
        </w:tc>
        <w:tc>
          <w:tcPr>
            <w:tcW w:type="dxa" w:w="2351"/>
            <w:shd w:val="clear" w:color="auto" w:fill="DDEBF7"/>
          </w:tcPr>
          <w:p>
            <w:r>
              <w:rPr>
                <w:rFonts w:ascii="Meiryo UI" w:hAnsi="Meiryo UI"/>
                <w:sz w:val="18"/>
              </w:rPr>
              <w:t>中</w:t>
            </w:r>
          </w:p>
        </w:tc>
      </w:tr>
      <w:tr>
        <w:tc>
          <w:tcPr>
            <w:tcW w:type="dxa" w:w="2351"/>
          </w:tcPr>
          <w:p>
            <w:r>
              <w:rPr>
                <w:rFonts w:ascii="Meiryo UI" w:hAnsi="Meiryo UI"/>
                <w:sz w:val="18"/>
              </w:rPr>
              <w:t>ネットワーク効果</w:t>
            </w:r>
          </w:p>
        </w:tc>
        <w:tc>
          <w:tcPr>
            <w:tcW w:type="dxa" w:w="2351"/>
          </w:tcPr>
          <w:p>
            <w:r>
              <w:rPr>
                <w:rFonts w:ascii="Meiryo UI" w:hAnsi="Meiryo UI"/>
                <w:sz w:val="18"/>
              </w:rPr>
              <w:t>DK SELECT（仲介1,100超店舗）の規模効果</w:t>
            </w:r>
          </w:p>
        </w:tc>
        <w:tc>
          <w:tcPr>
            <w:tcW w:type="dxa" w:w="2351"/>
          </w:tcPr>
          <w:p>
            <w:r>
              <w:rPr>
                <w:rFonts w:ascii="Meiryo UI" w:hAnsi="Meiryo UI"/>
                <w:sz w:val="18"/>
              </w:rPr>
              <w:t>中</w:t>
            </w:r>
          </w:p>
        </w:tc>
        <w:tc>
          <w:tcPr>
            <w:tcW w:type="dxa" w:w="2351"/>
          </w:tcPr>
          <w:p>
            <w:r>
              <w:rPr>
                <w:rFonts w:ascii="Meiryo UI" w:hAnsi="Meiryo UI"/>
                <w:sz w:val="18"/>
              </w:rPr>
              <w:t>中</w:t>
            </w:r>
          </w:p>
        </w:tc>
      </w:tr>
    </w:tbl>
    <w:p/>
    <w:p>
      <w:r>
        <w:rPr>
          <w:rFonts w:ascii="Meiryo UI" w:hAnsi="Meiryo UI"/>
          <w:sz w:val="20"/>
        </w:rPr>
        <w:t>主要Moat: 効率的規模 × スイッチングコスト（強度：高）</w:t>
      </w:r>
    </w:p>
    <w:p/>
    <w:p>
      <w:r>
        <w:t>──────────────────────────────────────────────────</w:t>
      </w:r>
    </w:p>
    <w:p/>
    <w:p>
      <w:pPr>
        <w:pStyle w:val="Heading2"/>
      </w:pPr>
      <w:r>
        <w:rPr>
          <w:rFonts w:ascii="Meiryo UI" w:hAnsi="Meiryo UI"/>
          <w:color w:val="2E74B5"/>
        </w:rPr>
        <w:t>Section F: リスク分析（最低5項目）</w:t>
      </w:r>
    </w:p>
    <w:p/>
    <w:p>
      <w:pPr>
        <w:pStyle w:val="Heading3"/>
      </w:pPr>
      <w:r>
        <w:rPr>
          <w:rFonts w:ascii="Meiryo UI" w:hAnsi="Meiryo UI"/>
          <w:color w:val="2E74B5"/>
        </w:rPr>
        <w:t>リスクマトリクス</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w:t>
            </w:r>
          </w:p>
        </w:tc>
        <w:tc>
          <w:tcPr>
            <w:tcW w:type="dxa" w:w="1344"/>
            <w:shd w:val="clear" w:color="auto" w:fill="2E74B5"/>
          </w:tcPr>
          <w:p>
            <w:r>
              <w:rPr>
                <w:rFonts w:ascii="Meiryo UI" w:hAnsi="Meiryo UI"/>
                <w:b/>
                <w:color w:val="FFFFFF"/>
                <w:sz w:val="18"/>
              </w:rPr>
              <w:t>リスク名</w:t>
            </w:r>
          </w:p>
        </w:tc>
        <w:tc>
          <w:tcPr>
            <w:tcW w:type="dxa" w:w="1344"/>
            <w:shd w:val="clear" w:color="auto" w:fill="2E74B5"/>
          </w:tcPr>
          <w:p>
            <w:r>
              <w:rPr>
                <w:rFonts w:ascii="Meiryo UI" w:hAnsi="Meiryo UI"/>
                <w:b/>
                <w:color w:val="FFFFFF"/>
                <w:sz w:val="18"/>
              </w:rPr>
              <w:t>概要</w:t>
            </w:r>
          </w:p>
        </w:tc>
        <w:tc>
          <w:tcPr>
            <w:tcW w:type="dxa" w:w="1344"/>
            <w:shd w:val="clear" w:color="auto" w:fill="2E74B5"/>
          </w:tcPr>
          <w:p>
            <w:r>
              <w:rPr>
                <w:rFonts w:ascii="Meiryo UI" w:hAnsi="Meiryo UI"/>
                <w:b/>
                <w:color w:val="FFFFFF"/>
                <w:sz w:val="18"/>
              </w:rPr>
              <w:t>発生確率</w:t>
            </w:r>
          </w:p>
        </w:tc>
        <w:tc>
          <w:tcPr>
            <w:tcW w:type="dxa" w:w="1344"/>
            <w:shd w:val="clear" w:color="auto" w:fill="2E74B5"/>
          </w:tcPr>
          <w:p>
            <w:r>
              <w:rPr>
                <w:rFonts w:ascii="Meiryo UI" w:hAnsi="Meiryo UI"/>
                <w:b/>
                <w:color w:val="FFFFFF"/>
                <w:sz w:val="18"/>
              </w:rPr>
              <w:t>インパクト</w:t>
            </w:r>
          </w:p>
        </w:tc>
        <w:tc>
          <w:tcPr>
            <w:tcW w:type="dxa" w:w="1344"/>
            <w:shd w:val="clear" w:color="auto" w:fill="2E74B5"/>
          </w:tcPr>
          <w:p>
            <w:r>
              <w:rPr>
                <w:rFonts w:ascii="Meiryo UI" w:hAnsi="Meiryo UI"/>
                <w:b/>
                <w:color w:val="FFFFFF"/>
                <w:sz w:val="18"/>
              </w:rPr>
              <w:t>優先度</w:t>
            </w:r>
          </w:p>
        </w:tc>
        <w:tc>
          <w:tcPr>
            <w:tcW w:type="dxa" w:w="1344"/>
            <w:shd w:val="clear" w:color="auto" w:fill="2E74B5"/>
          </w:tcPr>
          <w:p>
            <w:r>
              <w:rPr>
                <w:rFonts w:ascii="Meiryo UI" w:hAnsi="Meiryo UI"/>
                <w:b/>
                <w:color w:val="FFFFFF"/>
                <w:sz w:val="18"/>
              </w:rPr>
              <w:t>備考・対応策</w:t>
            </w:r>
          </w:p>
        </w:tc>
      </w:tr>
      <w:tr>
        <w:tc>
          <w:tcPr>
            <w:tcW w:type="dxa" w:w="1344"/>
          </w:tcPr>
          <w:p>
            <w:r>
              <w:rPr>
                <w:rFonts w:ascii="Meiryo UI" w:hAnsi="Meiryo UI"/>
                <w:sz w:val="18"/>
              </w:rPr>
              <w:t>1</w:t>
            </w:r>
          </w:p>
        </w:tc>
        <w:tc>
          <w:tcPr>
            <w:tcW w:type="dxa" w:w="1344"/>
          </w:tcPr>
          <w:p>
            <w:r>
              <w:rPr>
                <w:rFonts w:ascii="Meiryo UI" w:hAnsi="Meiryo UI"/>
                <w:sz w:val="18"/>
              </w:rPr>
              <w:t>フロー受注モメンタム悪化</w:t>
            </w:r>
          </w:p>
        </w:tc>
        <w:tc>
          <w:tcPr>
            <w:tcW w:type="dxa" w:w="1344"/>
          </w:tcPr>
          <w:p>
            <w:r>
              <w:rPr>
                <w:rFonts w:ascii="Meiryo UI" w:hAnsi="Meiryo UI"/>
                <w:sz w:val="18"/>
              </w:rPr>
              <w:t>3月月次受注▲5%（Build Set除く）。建設コスト高・地方撤退・金利上昇の複合要因。</w:t>
            </w:r>
          </w:p>
        </w:tc>
        <w:tc>
          <w:tcPr>
            <w:tcW w:type="dxa" w:w="1344"/>
          </w:tcPr>
          <w:p>
            <w:r>
              <w:rPr>
                <w:rFonts w:ascii="Meiryo UI" w:hAnsi="Meiryo UI"/>
                <w:sz w:val="18"/>
              </w:rPr>
              <w:t>高</w:t>
            </w:r>
          </w:p>
        </w:tc>
        <w:tc>
          <w:tcPr>
            <w:tcW w:type="dxa" w:w="1344"/>
          </w:tcPr>
          <w:p>
            <w:r>
              <w:rPr>
                <w:rFonts w:ascii="Meiryo UI" w:hAnsi="Meiryo UI"/>
                <w:sz w:val="18"/>
              </w:rPr>
              <w:t>大</w:t>
            </w:r>
          </w:p>
        </w:tc>
        <w:tc>
          <w:tcPr>
            <w:tcW w:type="dxa" w:w="1344"/>
          </w:tcPr>
          <w:p>
            <w:r>
              <w:rPr>
                <w:rFonts w:ascii="Meiryo UI" w:hAnsi="Meiryo UI"/>
                <w:sz w:val="18"/>
              </w:rPr>
              <w:t>🔴 Critical</w:t>
            </w:r>
          </w:p>
        </w:tc>
        <w:tc>
          <w:tcPr>
            <w:tcW w:type="dxa" w:w="1344"/>
          </w:tcPr>
          <w:p>
            <w:r>
              <w:rPr>
                <w:rFonts w:ascii="Meiryo UI" w:hAnsi="Meiryo UI"/>
                <w:sz w:val="18"/>
              </w:rPr>
              <w:t>4月30日決算でBuild Set込みの本受注数値確認が必須。中計目標FY2026売上2兆円達成可否が焦点</w:t>
            </w:r>
          </w:p>
        </w:tc>
      </w:tr>
      <w:tr>
        <w:tc>
          <w:tcPr>
            <w:tcW w:type="dxa" w:w="1344"/>
            <w:shd w:val="clear" w:color="auto" w:fill="DDEBF7"/>
          </w:tcPr>
          <w:p>
            <w:r>
              <w:rPr>
                <w:rFonts w:ascii="Meiryo UI" w:hAnsi="Meiryo UI"/>
                <w:sz w:val="18"/>
              </w:rPr>
              <w:t>2</w:t>
            </w:r>
          </w:p>
        </w:tc>
        <w:tc>
          <w:tcPr>
            <w:tcW w:type="dxa" w:w="1344"/>
            <w:shd w:val="clear" w:color="auto" w:fill="DDEBF7"/>
          </w:tcPr>
          <w:p>
            <w:r>
              <w:rPr>
                <w:rFonts w:ascii="Meiryo UI" w:hAnsi="Meiryo UI"/>
                <w:sz w:val="18"/>
              </w:rPr>
              <w:t>新リース会計：自己資本比率急落</w:t>
            </w:r>
          </w:p>
        </w:tc>
        <w:tc>
          <w:tcPr>
            <w:tcW w:type="dxa" w:w="1344"/>
            <w:shd w:val="clear" w:color="auto" w:fill="DDEBF7"/>
          </w:tcPr>
          <w:p>
            <w:r>
              <w:rPr>
                <w:rFonts w:ascii="Meiryo UI" w:hAnsi="Meiryo UI"/>
                <w:sz w:val="18"/>
              </w:rPr>
              <w:t>IFRS16号適用により自己資本比率が現行44.4%→約15.5%に急落する試算（みずほ証券推計）。外部の驚きを生む可能性。</w:t>
            </w:r>
          </w:p>
        </w:tc>
        <w:tc>
          <w:tcPr>
            <w:tcW w:type="dxa" w:w="1344"/>
            <w:shd w:val="clear" w:color="auto" w:fill="DDEBF7"/>
          </w:tcPr>
          <w:p>
            <w:r>
              <w:rPr>
                <w:rFonts w:ascii="Meiryo UI" w:hAnsi="Meiryo UI"/>
                <w:sz w:val="18"/>
              </w:rPr>
              <w:t>高</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 High</w:t>
            </w:r>
          </w:p>
        </w:tc>
        <w:tc>
          <w:tcPr>
            <w:tcW w:type="dxa" w:w="1344"/>
            <w:shd w:val="clear" w:color="auto" w:fill="DDEBF7"/>
          </w:tcPr>
          <w:p>
            <w:r>
              <w:rPr>
                <w:rFonts w:ascii="Meiryo UI" w:hAnsi="Meiryo UI"/>
                <w:sz w:val="18"/>
              </w:rPr>
              <w:t>会社が先手で両基準開示を予告（定性デルタでポジティブ変化を確認）。実際の財務制限条項への抵触リスクは低いが、信用格付け・投資家心理への影響を要モニタリング</w:t>
            </w:r>
          </w:p>
        </w:tc>
      </w:tr>
      <w:tr>
        <w:tc>
          <w:tcPr>
            <w:tcW w:type="dxa" w:w="1344"/>
          </w:tcPr>
          <w:p>
            <w:r>
              <w:rPr>
                <w:rFonts w:ascii="Meiryo UI" w:hAnsi="Meiryo UI"/>
                <w:sz w:val="18"/>
              </w:rPr>
              <w:t>3</w:t>
            </w:r>
          </w:p>
        </w:tc>
        <w:tc>
          <w:tcPr>
            <w:tcW w:type="dxa" w:w="1344"/>
          </w:tcPr>
          <w:p>
            <w:r>
              <w:rPr>
                <w:rFonts w:ascii="Meiryo UI" w:hAnsi="Meiryo UI"/>
                <w:sz w:val="18"/>
              </w:rPr>
              <w:t>人口動態による賃貸需要減退</w:t>
            </w:r>
          </w:p>
        </w:tc>
        <w:tc>
          <w:tcPr>
            <w:tcW w:type="dxa" w:w="1344"/>
          </w:tcPr>
          <w:p>
            <w:r>
              <w:rPr>
                <w:rFonts w:ascii="Meiryo UI" w:hAnsi="Meiryo UI"/>
                <w:sz w:val="18"/>
              </w:rPr>
              <w:t>日本の人口減少加速により、特に地方の賃貸住宅需要が構造的に縮小。</w:t>
            </w:r>
          </w:p>
        </w:tc>
        <w:tc>
          <w:tcPr>
            <w:tcW w:type="dxa" w:w="1344"/>
          </w:tcPr>
          <w:p>
            <w:r>
              <w:rPr>
                <w:rFonts w:ascii="Meiryo UI" w:hAnsi="Meiryo UI"/>
                <w:sz w:val="18"/>
              </w:rPr>
              <w:t>高</w:t>
            </w:r>
          </w:p>
        </w:tc>
        <w:tc>
          <w:tcPr>
            <w:tcW w:type="dxa" w:w="1344"/>
          </w:tcPr>
          <w:p>
            <w:r>
              <w:rPr>
                <w:rFonts w:ascii="Meiryo UI" w:hAnsi="Meiryo UI"/>
                <w:sz w:val="18"/>
              </w:rPr>
              <w:t>大</w:t>
            </w:r>
          </w:p>
        </w:tc>
        <w:tc>
          <w:tcPr>
            <w:tcW w:type="dxa" w:w="1344"/>
          </w:tcPr>
          <w:p>
            <w:r>
              <w:rPr>
                <w:rFonts w:ascii="Meiryo UI" w:hAnsi="Meiryo UI"/>
                <w:sz w:val="18"/>
              </w:rPr>
              <w:t>🔴 Critical</w:t>
            </w:r>
          </w:p>
        </w:tc>
        <w:tc>
          <w:tcPr>
            <w:tcW w:type="dxa" w:w="1344"/>
          </w:tcPr>
          <w:p>
            <w:r>
              <w:rPr>
                <w:rFonts w:ascii="Meiryo UI" w:hAnsi="Meiryo UI"/>
                <w:sz w:val="18"/>
              </w:rPr>
              <w:t>都市部集中戦略・Build Set事業で対応中。入居率97.98%の高水準は現時点での防衛線として機能</w:t>
            </w:r>
          </w:p>
        </w:tc>
      </w:tr>
      <w:tr>
        <w:tc>
          <w:tcPr>
            <w:tcW w:type="dxa" w:w="1344"/>
            <w:shd w:val="clear" w:color="auto" w:fill="DDEBF7"/>
          </w:tcPr>
          <w:p>
            <w:r>
              <w:rPr>
                <w:rFonts w:ascii="Meiryo UI" w:hAnsi="Meiryo UI"/>
                <w:sz w:val="18"/>
              </w:rPr>
              <w:t>4</w:t>
            </w:r>
          </w:p>
        </w:tc>
        <w:tc>
          <w:tcPr>
            <w:tcW w:type="dxa" w:w="1344"/>
            <w:shd w:val="clear" w:color="auto" w:fill="DDEBF7"/>
          </w:tcPr>
          <w:p>
            <w:r>
              <w:rPr>
                <w:rFonts w:ascii="Meiryo UI" w:hAnsi="Meiryo UI"/>
                <w:sz w:val="18"/>
              </w:rPr>
              <w:t>建設コスト継続上昇</w:t>
            </w:r>
          </w:p>
        </w:tc>
        <w:tc>
          <w:tcPr>
            <w:tcW w:type="dxa" w:w="1344"/>
            <w:shd w:val="clear" w:color="auto" w:fill="DDEBF7"/>
          </w:tcPr>
          <w:p>
            <w:r>
              <w:rPr>
                <w:rFonts w:ascii="Meiryo UI" w:hAnsi="Meiryo UI"/>
                <w:sz w:val="18"/>
              </w:rPr>
              <w:t>資材費・労務費の高止まりが建設利益率を圧迫。完工利益率改善が価格転嫁頼みであるため地方では限界あり。</w:t>
            </w:r>
          </w:p>
        </w:tc>
        <w:tc>
          <w:tcPr>
            <w:tcW w:type="dxa" w:w="1344"/>
            <w:shd w:val="clear" w:color="auto" w:fill="DDEBF7"/>
          </w:tcPr>
          <w:p>
            <w:r>
              <w:rPr>
                <w:rFonts w:ascii="Meiryo UI" w:hAnsi="Meiryo UI"/>
                <w:sz w:val="18"/>
              </w:rPr>
              <w:t>高</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 High</w:t>
            </w:r>
          </w:p>
        </w:tc>
        <w:tc>
          <w:tcPr>
            <w:tcW w:type="dxa" w:w="1344"/>
            <w:shd w:val="clear" w:color="auto" w:fill="DDEBF7"/>
          </w:tcPr>
          <w:p>
            <w:r>
              <w:rPr>
                <w:rFonts w:ascii="Meiryo UI" w:hAnsi="Meiryo UI"/>
                <w:sz w:val="18"/>
              </w:rPr>
              <w:t>完成工事総利益率25.3%（前期比+1.9pt）への改善傾向は継続しているが、価格転嫁限界時に受注件数が減少するリスク</w:t>
            </w:r>
          </w:p>
        </w:tc>
      </w:tr>
      <w:tr>
        <w:tc>
          <w:tcPr>
            <w:tcW w:type="dxa" w:w="1344"/>
          </w:tcPr>
          <w:p>
            <w:r>
              <w:rPr>
                <w:rFonts w:ascii="Meiryo UI" w:hAnsi="Meiryo UI"/>
                <w:sz w:val="18"/>
              </w:rPr>
              <w:t>5</w:t>
            </w:r>
          </w:p>
        </w:tc>
        <w:tc>
          <w:tcPr>
            <w:tcW w:type="dxa" w:w="1344"/>
          </w:tcPr>
          <w:p>
            <w:r>
              <w:rPr>
                <w:rFonts w:ascii="Meiryo UI" w:hAnsi="Meiryo UI"/>
                <w:sz w:val="18"/>
              </w:rPr>
              <w:t>金利上昇による新規需要抑制</w:t>
            </w:r>
          </w:p>
        </w:tc>
        <w:tc>
          <w:tcPr>
            <w:tcW w:type="dxa" w:w="1344"/>
          </w:tcPr>
          <w:p>
            <w:r>
              <w:rPr>
                <w:rFonts w:ascii="Meiryo UI" w:hAnsi="Meiryo UI"/>
                <w:sz w:val="18"/>
              </w:rPr>
              <w:t>日銀の利上げ継続がアパートローン金利を上昇させ、土地オーナーの建設意欲を減退。</w:t>
            </w:r>
          </w:p>
        </w:tc>
        <w:tc>
          <w:tcPr>
            <w:tcW w:type="dxa" w:w="1344"/>
          </w:tcPr>
          <w:p>
            <w:r>
              <w:rPr>
                <w:rFonts w:ascii="Meiryo UI" w:hAnsi="Meiryo UI"/>
                <w:sz w:val="18"/>
              </w:rPr>
              <w:t>中</w:t>
            </w:r>
          </w:p>
        </w:tc>
        <w:tc>
          <w:tcPr>
            <w:tcW w:type="dxa" w:w="1344"/>
          </w:tcPr>
          <w:p>
            <w:r>
              <w:rPr>
                <w:rFonts w:ascii="Meiryo UI" w:hAnsi="Meiryo UI"/>
                <w:sz w:val="18"/>
              </w:rPr>
              <w:t>大</w:t>
            </w:r>
          </w:p>
        </w:tc>
        <w:tc>
          <w:tcPr>
            <w:tcW w:type="dxa" w:w="1344"/>
          </w:tcPr>
          <w:p>
            <w:r>
              <w:rPr>
                <w:rFonts w:ascii="Meiryo UI" w:hAnsi="Meiryo UI"/>
                <w:sz w:val="18"/>
              </w:rPr>
              <w:t>🟠 High</w:t>
            </w:r>
          </w:p>
        </w:tc>
        <w:tc>
          <w:tcPr>
            <w:tcW w:type="dxa" w:w="1344"/>
          </w:tcPr>
          <w:p>
            <w:r>
              <w:rPr>
                <w:rFonts w:ascii="Meiryo UI" w:hAnsi="Meiryo UI"/>
                <w:sz w:val="18"/>
              </w:rPr>
              <w:t>大東建託自身の有利子負債は低水準（有利子負債倍率0.26倍）で直接影響は軽微。ただし顧客（地主）への間接影響が大</w:t>
            </w:r>
          </w:p>
        </w:tc>
      </w:tr>
      <w:tr>
        <w:tc>
          <w:tcPr>
            <w:tcW w:type="dxa" w:w="1344"/>
            <w:shd w:val="clear" w:color="auto" w:fill="DDEBF7"/>
          </w:tcPr>
          <w:p>
            <w:r>
              <w:rPr>
                <w:rFonts w:ascii="Meiryo UI" w:hAnsi="Meiryo UI"/>
                <w:sz w:val="18"/>
              </w:rPr>
              <w:t>6</w:t>
            </w:r>
          </w:p>
        </w:tc>
        <w:tc>
          <w:tcPr>
            <w:tcW w:type="dxa" w:w="1344"/>
            <w:shd w:val="clear" w:color="auto" w:fill="DDEBF7"/>
          </w:tcPr>
          <w:p>
            <w:r>
              <w:rPr>
                <w:rFonts w:ascii="Meiryo UI" w:hAnsi="Meiryo UI"/>
                <w:sz w:val="18"/>
              </w:rPr>
              <w:t>サブリース賃料下落（2025年問題）</w:t>
            </w:r>
          </w:p>
        </w:tc>
        <w:tc>
          <w:tcPr>
            <w:tcW w:type="dxa" w:w="1344"/>
            <w:shd w:val="clear" w:color="auto" w:fill="DDEBF7"/>
          </w:tcPr>
          <w:p>
            <w:r>
              <w:rPr>
                <w:rFonts w:ascii="Meiryo UI" w:hAnsi="Meiryo UI"/>
                <w:sz w:val="18"/>
              </w:rPr>
              <w:t>築10年超の物件で定期的な家賃改定によりオーナー保証賃料が削減される構造的圧力。</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中</w:t>
            </w:r>
          </w:p>
        </w:tc>
        <w:tc>
          <w:tcPr>
            <w:tcW w:type="dxa" w:w="1344"/>
            <w:shd w:val="clear" w:color="auto" w:fill="DDEBF7"/>
          </w:tcPr>
          <w:p>
            <w:r>
              <w:rPr>
                <w:rFonts w:ascii="Meiryo UI" w:hAnsi="Meiryo UI"/>
                <w:sz w:val="18"/>
              </w:rPr>
              <w:t>🟡 Medium</w:t>
            </w:r>
          </w:p>
        </w:tc>
        <w:tc>
          <w:tcPr>
            <w:tcW w:type="dxa" w:w="1344"/>
            <w:shd w:val="clear" w:color="auto" w:fill="DDEBF7"/>
          </w:tcPr>
          <w:p>
            <w:r>
              <w:rPr>
                <w:rFonts w:ascii="Meiryo UI" w:hAnsi="Meiryo UI"/>
                <w:sz w:val="18"/>
              </w:rPr>
              <w:t>2021年施行のサブリース新法で制度面は整備。ただし賃料減額通知はオーナーとのトラブル再燃リスクあり</w:t>
            </w:r>
          </w:p>
        </w:tc>
      </w:tr>
      <w:tr>
        <w:tc>
          <w:tcPr>
            <w:tcW w:type="dxa" w:w="1344"/>
          </w:tcPr>
          <w:p>
            <w:r>
              <w:rPr>
                <w:rFonts w:ascii="Meiryo UI" w:hAnsi="Meiryo UI"/>
                <w:sz w:val="18"/>
              </w:rPr>
              <w:t>7</w:t>
            </w:r>
          </w:p>
        </w:tc>
        <w:tc>
          <w:tcPr>
            <w:tcW w:type="dxa" w:w="1344"/>
          </w:tcPr>
          <w:p>
            <w:r>
              <w:rPr>
                <w:rFonts w:ascii="Meiryo UI" w:hAnsi="Meiryo UI"/>
                <w:sz w:val="18"/>
              </w:rPr>
              <w:t>組織・評判リスク</w:t>
            </w:r>
          </w:p>
        </w:tc>
        <w:tc>
          <w:tcPr>
            <w:tcW w:type="dxa" w:w="1344"/>
          </w:tcPr>
          <w:p>
            <w:r>
              <w:rPr>
                <w:rFonts w:ascii="Meiryo UI" w:hAnsi="Meiryo UI"/>
                <w:sz w:val="18"/>
              </w:rPr>
              <w:t>OpenWork評価2.5〜3.0という低評価、高離職率の営業職が人材獲得・社会的評判に影響。</w:t>
            </w:r>
          </w:p>
        </w:tc>
        <w:tc>
          <w:tcPr>
            <w:tcW w:type="dxa" w:w="1344"/>
          </w:tcPr>
          <w:p>
            <w:r>
              <w:rPr>
                <w:rFonts w:ascii="Meiryo UI" w:hAnsi="Meiryo UI"/>
                <w:sz w:val="18"/>
              </w:rPr>
              <w:t>中</w:t>
            </w:r>
          </w:p>
        </w:tc>
        <w:tc>
          <w:tcPr>
            <w:tcW w:type="dxa" w:w="1344"/>
          </w:tcPr>
          <w:p>
            <w:r>
              <w:rPr>
                <w:rFonts w:ascii="Meiryo UI" w:hAnsi="Meiryo UI"/>
                <w:sz w:val="18"/>
              </w:rPr>
              <w:t>中</w:t>
            </w:r>
          </w:p>
        </w:tc>
        <w:tc>
          <w:tcPr>
            <w:tcW w:type="dxa" w:w="1344"/>
          </w:tcPr>
          <w:p>
            <w:r>
              <w:rPr>
                <w:rFonts w:ascii="Meiryo UI" w:hAnsi="Meiryo UI"/>
                <w:sz w:val="18"/>
              </w:rPr>
              <w:t>🟡 Medium</w:t>
            </w:r>
          </w:p>
        </w:tc>
        <w:tc>
          <w:tcPr>
            <w:tcW w:type="dxa" w:w="1344"/>
          </w:tcPr>
          <w:p>
            <w:r>
              <w:rPr>
                <w:rFonts w:ascii="Meiryo UI" w:hAnsi="Meiryo UI"/>
                <w:sz w:val="18"/>
              </w:rPr>
              <w:t>DE&amp;I推進・女性役員登用・社長IR強化で改善方向</w:t>
            </w:r>
          </w:p>
        </w:tc>
      </w:tr>
    </w:tbl>
    <w:p/>
    <w:p>
      <w:pPr>
        <w:pStyle w:val="Heading3"/>
      </w:pPr>
      <w:r>
        <w:rPr>
          <w:rFonts w:ascii="Meiryo UI" w:hAnsi="Meiryo UI"/>
          <w:color w:val="2E74B5"/>
        </w:rPr>
        <w:t>財務制限条項（コベナンツ）リスク評価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確認項目</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条項の存在</w:t>
            </w:r>
          </w:p>
        </w:tc>
        <w:tc>
          <w:tcPr>
            <w:tcW w:type="dxa" w:w="3135"/>
          </w:tcPr>
          <w:p>
            <w:r>
              <w:rPr>
                <w:rFonts w:ascii="Meiryo UI" w:hAnsi="Meiryo UI"/>
                <w:sz w:val="18"/>
              </w:rPr>
              <w:t>借入金残高は少額（有利子負債倍率0.26倍）のため主要格付機関基準での制約は低い</w:t>
            </w:r>
          </w:p>
        </w:tc>
        <w:tc>
          <w:tcPr>
            <w:tcW w:type="dxa" w:w="3135"/>
          </w:tcPr>
          <w:p>
            <w:r>
              <w:rPr>
                <w:rFonts w:ascii="Meiryo UI" w:hAnsi="Meiryo UI"/>
                <w:sz w:val="18"/>
              </w:rPr>
              <w:t>🟢 Low リスク</w:t>
            </w:r>
          </w:p>
        </w:tc>
      </w:tr>
      <w:tr>
        <w:tc>
          <w:tcPr>
            <w:tcW w:type="dxa" w:w="3135"/>
            <w:shd w:val="clear" w:color="auto" w:fill="DDEBF7"/>
          </w:tcPr>
          <w:p>
            <w:r>
              <w:rPr>
                <w:rFonts w:ascii="Meiryo UI" w:hAnsi="Meiryo UI"/>
                <w:sz w:val="18"/>
              </w:rPr>
              <w:t>トリガー指標</w:t>
            </w:r>
          </w:p>
        </w:tc>
        <w:tc>
          <w:tcPr>
            <w:tcW w:type="dxa" w:w="3135"/>
            <w:shd w:val="clear" w:color="auto" w:fill="DDEBF7"/>
          </w:tcPr>
          <w:p>
            <w:r>
              <w:rPr>
                <w:rFonts w:ascii="Meiryo UI" w:hAnsi="Meiryo UI"/>
                <w:sz w:val="18"/>
              </w:rPr>
              <w:t>現行自己資本比率38.4%（FY2025実績）・純資産4,688億円で業界内では健全水準</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現状値</w:t>
            </w:r>
          </w:p>
        </w:tc>
        <w:tc>
          <w:tcPr>
            <w:tcW w:type="dxa" w:w="3135"/>
          </w:tcPr>
          <w:p>
            <w:r>
              <w:rPr>
                <w:rFonts w:ascii="Meiryo UI" w:hAnsi="Meiryo UI"/>
                <w:sz w:val="18"/>
              </w:rPr>
              <w:t>自己資本比率38.4%・純有利子負債はほぼゼロに近い</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会計変更後の値</w:t>
            </w:r>
          </w:p>
        </w:tc>
        <w:tc>
          <w:tcPr>
            <w:tcW w:type="dxa" w:w="3135"/>
            <w:shd w:val="clear" w:color="auto" w:fill="DDEBF7"/>
          </w:tcPr>
          <w:p>
            <w:r>
              <w:rPr>
                <w:rFonts w:ascii="Meiryo UI" w:hAnsi="Meiryo UI"/>
                <w:sz w:val="18"/>
              </w:rPr>
              <w:t>みずほ証券試算：新リース会計適用後の自己資本比率 約15.5%（44.4%から大幅低下）</w:t>
            </w:r>
          </w:p>
        </w:tc>
        <w:tc>
          <w:tcPr>
            <w:tcW w:type="dxa" w:w="3135"/>
            <w:shd w:val="clear" w:color="auto" w:fill="DDEBF7"/>
          </w:tcPr>
          <w:p>
            <w:r>
              <w:rPr>
                <w:rFonts w:ascii="Meiryo UI" w:hAnsi="Meiryo UI"/>
                <w:sz w:val="18"/>
              </w:rPr>
              <w:t>⚠️ 要確認</w:t>
            </w:r>
          </w:p>
        </w:tc>
      </w:tr>
      <w:tr>
        <w:tc>
          <w:tcPr>
            <w:tcW w:type="dxa" w:w="3135"/>
          </w:tcPr>
          <w:p>
            <w:r>
              <w:rPr>
                <w:rFonts w:ascii="Meiryo UI" w:hAnsi="Meiryo UI"/>
                <w:sz w:val="18"/>
              </w:rPr>
              <w:t>抵触リスク</w:t>
            </w:r>
          </w:p>
        </w:tc>
        <w:tc>
          <w:tcPr>
            <w:tcW w:type="dxa" w:w="3135"/>
          </w:tcPr>
          <w:p>
            <w:r>
              <w:rPr>
                <w:rFonts w:ascii="Meiryo UI" w:hAnsi="Meiryo UI"/>
                <w:sz w:val="18"/>
              </w:rPr>
              <w:t>現状の財務指標では抵触リスクは低い。新リース会計後も実態財務は変わらないが、形式的な自己資本比率への影響を確認要</w:t>
            </w:r>
          </w:p>
        </w:tc>
        <w:tc>
          <w:tcPr>
            <w:tcW w:type="dxa" w:w="3135"/>
          </w:tcPr>
          <w:p>
            <w:r>
              <w:rPr>
                <w:rFonts w:ascii="Meiryo UI" w:hAnsi="Meiryo UI"/>
                <w:sz w:val="18"/>
              </w:rPr>
              <w:t>🟡 Medium（新会計後）</w:t>
            </w:r>
          </w:p>
        </w:tc>
      </w:tr>
      <w:tr>
        <w:tc>
          <w:tcPr>
            <w:tcW w:type="dxa" w:w="3135"/>
            <w:shd w:val="clear" w:color="auto" w:fill="DDEBF7"/>
          </w:tcPr>
          <w:p>
            <w:r>
              <w:rPr>
                <w:rFonts w:ascii="Meiryo UI" w:hAnsi="Meiryo UI"/>
                <w:sz w:val="18"/>
              </w:rPr>
              <w:t>想定される帰結</w:t>
            </w:r>
          </w:p>
        </w:tc>
        <w:tc>
          <w:tcPr>
            <w:tcW w:type="dxa" w:w="3135"/>
            <w:shd w:val="clear" w:color="auto" w:fill="DDEBF7"/>
          </w:tcPr>
          <w:p>
            <w:r>
              <w:rPr>
                <w:rFonts w:ascii="Meiryo UI" w:hAnsi="Meiryo UI"/>
                <w:sz w:val="18"/>
              </w:rPr>
              <w:t>仮に抵触した場合でも規模が小さいため影響は限定的。ただし格付け機関の判断要確認</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会社の対応状況</w:t>
            </w:r>
          </w:p>
        </w:tc>
        <w:tc>
          <w:tcPr>
            <w:tcW w:type="dxa" w:w="3135"/>
          </w:tcPr>
          <w:p>
            <w:r>
              <w:rPr>
                <w:rFonts w:ascii="Meiryo UI" w:hAnsi="Meiryo UI"/>
                <w:sz w:val="18"/>
              </w:rPr>
              <w:t>会社が積極的に「現基準・新基準の両方を開示し、実態に変化はない」と対外公表予定（定性デルタでポジティブ変化確認）</w:t>
            </w:r>
          </w:p>
        </w:tc>
        <w:tc>
          <w:tcPr>
            <w:tcW w:type="dxa" w:w="3135"/>
          </w:tcPr>
          <w:p>
            <w:r>
              <w:rPr>
                <w:rFonts w:ascii="Meiryo UI" w:hAnsi="Meiryo UI"/>
                <w:sz w:val="18"/>
              </w:rPr>
              <w:t>✅ 先手対応済み</w:t>
            </w:r>
          </w:p>
        </w:tc>
      </w:tr>
    </w:tbl>
    <w:p/>
    <w:p>
      <w:r>
        <w:t>──────────────────────────────────────────────────</w:t>
      </w:r>
    </w:p>
    <w:p/>
    <w:p>
      <w:pPr>
        <w:pStyle w:val="Heading2"/>
      </w:pPr>
      <w:r>
        <w:rPr>
          <w:rFonts w:ascii="Meiryo UI" w:hAnsi="Meiryo UI"/>
          <w:color w:val="2E74B5"/>
        </w:rPr>
        <w:t>Section G: DCF理論株価の算出</w:t>
      </w:r>
    </w:p>
    <w:p/>
    <w:p>
      <w:pPr>
        <w:pStyle w:val="Heading3"/>
      </w:pPr>
      <w:r>
        <w:rPr>
          <w:rFonts w:ascii="Meiryo UI" w:hAnsi="Meiryo UI"/>
          <w:color w:val="2E74B5"/>
        </w:rPr>
        <w:t>前提条件（WACC算出）</w:t>
      </w:r>
    </w:p>
    <w:p/>
    <w:p>
      <w:pPr>
        <w:shd w:val="clear" w:color="auto" w:fill="F2F2F2"/>
      </w:pPr>
      <w:r>
        <w:rPr>
          <w:rFonts w:ascii="Courier New" w:hAnsi="Courier New"/>
          <w:sz w:val="16"/>
        </w:rPr>
        <w:t>【リスクフリーレート】</w:t>
        <w:br/>
        <w:t xml:space="preserve">  JGB 10Y（日本10年国債利回り）: 1.5%（2026年4月時点）</w:t>
        <w:br/>
        <w:br/>
        <w:t>【エクイティリスクプレミアム（ERP）】</w:t>
        <w:br/>
        <w:t xml:space="preserve">  5.5%（Damodaran日本市場推計ベース）</w:t>
        <w:br/>
        <w:br/>
        <w:t>【ベータ値（β）】</w:t>
        <w:br/>
        <w:t xml:space="preserve">  0.85（住宅大手・ディフェンシブ特性を反映し市場平均より低め）</w:t>
        <w:br/>
        <w:br/>
        <w:t>【Cost of Equity（Ke）】</w:t>
        <w:br/>
        <w:t xml:space="preserve">  Ke = 1.5% + 5.5% × 0.85 = 6.175% ≈ 6.2%</w:t>
        <w:br/>
        <w:br/>
        <w:t>【負債コスト（税引後）】</w:t>
        <w:br/>
        <w:t xml:space="preserve">  Kd(after-tax) = 0.5%（有利子負債倍率0.26倍の低水準を反映）</w:t>
        <w:br/>
        <w:br/>
        <w:t>【資本構成（時価ベース）】</w:t>
        <w:br/>
        <w:t xml:space="preserve">  E/V = 80%、D/V = 20%</w:t>
        <w:br/>
        <w:br/>
        <w:t>【WACC】</w:t>
        <w:br/>
        <w:t xml:space="preserve">  WACC = 6.2% × 80% + 0.5% × 20% = 5.06% ≈ 5.0%</w:t>
      </w:r>
    </w:p>
    <w:p/>
    <w:p>
      <w:pPr>
        <w:pStyle w:val="Heading3"/>
      </w:pPr>
      <w:r>
        <w:rPr>
          <w:rFonts w:ascii="Meiryo UI" w:hAnsi="Meiryo UI"/>
          <w:color w:val="2E74B5"/>
        </w:rPr>
        <w:t>FCF予測（明示的予測期間：5年間、百万円）</w:t>
      </w:r>
    </w:p>
    <w:p/>
    <w:p>
      <w:pPr>
        <w:shd w:val="clear" w:color="auto" w:fill="F2F2F2"/>
      </w:pPr>
      <w:r>
        <w:rPr>
          <w:rFonts w:ascii="Courier New" w:hAnsi="Courier New"/>
          <w:sz w:val="16"/>
        </w:rPr>
        <w:t>ベースFCF（FY2025実績推計）:</w:t>
        <w:br/>
        <w:t xml:space="preserve">  EBIT（営業利益）         : 118,875百万円</w:t>
        <w:br/>
        <w:t xml:space="preserve">  実効税率（30%）          : ▲35,663百万円</w:t>
        <w:br/>
        <w:t xml:space="preserve">  NOPAT                   :  83,212百万円</w:t>
        <w:br/>
        <w:t xml:space="preserve">  + 減価償却費             :  20,000百万円（推計）</w:t>
        <w:br/>
        <w:t xml:space="preserve">  - 設備投資               : ▲15,000百万円（推計）</w:t>
        <w:br/>
        <w:t xml:space="preserve">  - 運転資本増加           :  ▲8,000百万円（推計）</w:t>
        <w:br/>
        <w:t xml:space="preserve">  ベースFCF               :  約80,000百万円</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FCF（百万円）</w:t>
            </w:r>
          </w:p>
        </w:tc>
        <w:tc>
          <w:tcPr>
            <w:tcW w:type="dxa" w:w="2351"/>
            <w:shd w:val="clear" w:color="auto" w:fill="2E74B5"/>
          </w:tcPr>
          <w:p>
            <w:r>
              <w:rPr>
                <w:rFonts w:ascii="Meiryo UI" w:hAnsi="Meiryo UI"/>
                <w:b/>
                <w:color w:val="FFFFFF"/>
                <w:sz w:val="18"/>
              </w:rPr>
              <w:t>割引係数（WACC=5%）</w:t>
            </w:r>
          </w:p>
        </w:tc>
        <w:tc>
          <w:tcPr>
            <w:tcW w:type="dxa" w:w="2351"/>
            <w:shd w:val="clear" w:color="auto" w:fill="2E74B5"/>
          </w:tcPr>
          <w:p>
            <w:r>
              <w:rPr>
                <w:rFonts w:ascii="Meiryo UI" w:hAnsi="Meiryo UI"/>
                <w:b/>
                <w:color w:val="FFFFFF"/>
                <w:sz w:val="18"/>
              </w:rPr>
              <w:t>PV（百万円）</w:t>
            </w:r>
          </w:p>
        </w:tc>
      </w:tr>
      <w:tr>
        <w:tc>
          <w:tcPr>
            <w:tcW w:type="dxa" w:w="2351"/>
          </w:tcPr>
          <w:p>
            <w:r>
              <w:rPr>
                <w:rFonts w:ascii="Meiryo UI" w:hAnsi="Meiryo UI"/>
                <w:sz w:val="18"/>
              </w:rPr>
              <w:t>Year 1（FY2026）</w:t>
            </w:r>
          </w:p>
        </w:tc>
        <w:tc>
          <w:tcPr>
            <w:tcW w:type="dxa" w:w="2351"/>
          </w:tcPr>
          <w:p>
            <w:r>
              <w:rPr>
                <w:rFonts w:ascii="Meiryo UI" w:hAnsi="Meiryo UI"/>
                <w:sz w:val="18"/>
              </w:rPr>
              <w:t>84,000</w:t>
            </w:r>
          </w:p>
        </w:tc>
        <w:tc>
          <w:tcPr>
            <w:tcW w:type="dxa" w:w="2351"/>
          </w:tcPr>
          <w:p>
            <w:r>
              <w:rPr>
                <w:rFonts w:ascii="Meiryo UI" w:hAnsi="Meiryo UI"/>
                <w:sz w:val="18"/>
              </w:rPr>
              <w:t>0.952</w:t>
            </w:r>
          </w:p>
        </w:tc>
        <w:tc>
          <w:tcPr>
            <w:tcW w:type="dxa" w:w="2351"/>
          </w:tcPr>
          <w:p>
            <w:r>
              <w:rPr>
                <w:rFonts w:ascii="Meiryo UI" w:hAnsi="Meiryo UI"/>
                <w:sz w:val="18"/>
              </w:rPr>
              <w:t>79,968</w:t>
            </w:r>
          </w:p>
        </w:tc>
      </w:tr>
      <w:tr>
        <w:tc>
          <w:tcPr>
            <w:tcW w:type="dxa" w:w="2351"/>
            <w:shd w:val="clear" w:color="auto" w:fill="DDEBF7"/>
          </w:tcPr>
          <w:p>
            <w:r>
              <w:rPr>
                <w:rFonts w:ascii="Meiryo UI" w:hAnsi="Meiryo UI"/>
                <w:sz w:val="18"/>
              </w:rPr>
              <w:t>Year 2（FY2027）</w:t>
            </w:r>
          </w:p>
        </w:tc>
        <w:tc>
          <w:tcPr>
            <w:tcW w:type="dxa" w:w="2351"/>
            <w:shd w:val="clear" w:color="auto" w:fill="DDEBF7"/>
          </w:tcPr>
          <w:p>
            <w:r>
              <w:rPr>
                <w:rFonts w:ascii="Meiryo UI" w:hAnsi="Meiryo UI"/>
                <w:sz w:val="18"/>
              </w:rPr>
              <w:t>88,200</w:t>
            </w:r>
          </w:p>
        </w:tc>
        <w:tc>
          <w:tcPr>
            <w:tcW w:type="dxa" w:w="2351"/>
            <w:shd w:val="clear" w:color="auto" w:fill="DDEBF7"/>
          </w:tcPr>
          <w:p>
            <w:r>
              <w:rPr>
                <w:rFonts w:ascii="Meiryo UI" w:hAnsi="Meiryo UI"/>
                <w:sz w:val="18"/>
              </w:rPr>
              <w:t>0.907</w:t>
            </w:r>
          </w:p>
        </w:tc>
        <w:tc>
          <w:tcPr>
            <w:tcW w:type="dxa" w:w="2351"/>
            <w:shd w:val="clear" w:color="auto" w:fill="DDEBF7"/>
          </w:tcPr>
          <w:p>
            <w:r>
              <w:rPr>
                <w:rFonts w:ascii="Meiryo UI" w:hAnsi="Meiryo UI"/>
                <w:sz w:val="18"/>
              </w:rPr>
              <w:t>79,999</w:t>
            </w:r>
          </w:p>
        </w:tc>
      </w:tr>
      <w:tr>
        <w:tc>
          <w:tcPr>
            <w:tcW w:type="dxa" w:w="2351"/>
          </w:tcPr>
          <w:p>
            <w:r>
              <w:rPr>
                <w:rFonts w:ascii="Meiryo UI" w:hAnsi="Meiryo UI"/>
                <w:sz w:val="18"/>
              </w:rPr>
              <w:t>Year 3（FY2028）</w:t>
            </w:r>
          </w:p>
        </w:tc>
        <w:tc>
          <w:tcPr>
            <w:tcW w:type="dxa" w:w="2351"/>
          </w:tcPr>
          <w:p>
            <w:r>
              <w:rPr>
                <w:rFonts w:ascii="Meiryo UI" w:hAnsi="Meiryo UI"/>
                <w:sz w:val="18"/>
              </w:rPr>
              <w:t>92,610</w:t>
            </w:r>
          </w:p>
        </w:tc>
        <w:tc>
          <w:tcPr>
            <w:tcW w:type="dxa" w:w="2351"/>
          </w:tcPr>
          <w:p>
            <w:r>
              <w:rPr>
                <w:rFonts w:ascii="Meiryo UI" w:hAnsi="Meiryo UI"/>
                <w:sz w:val="18"/>
              </w:rPr>
              <w:t>0.864</w:t>
            </w:r>
          </w:p>
        </w:tc>
        <w:tc>
          <w:tcPr>
            <w:tcW w:type="dxa" w:w="2351"/>
          </w:tcPr>
          <w:p>
            <w:r>
              <w:rPr>
                <w:rFonts w:ascii="Meiryo UI" w:hAnsi="Meiryo UI"/>
                <w:sz w:val="18"/>
              </w:rPr>
              <w:t>80,015</w:t>
            </w:r>
          </w:p>
        </w:tc>
      </w:tr>
      <w:tr>
        <w:tc>
          <w:tcPr>
            <w:tcW w:type="dxa" w:w="2351"/>
            <w:shd w:val="clear" w:color="auto" w:fill="DDEBF7"/>
          </w:tcPr>
          <w:p>
            <w:r>
              <w:rPr>
                <w:rFonts w:ascii="Meiryo UI" w:hAnsi="Meiryo UI"/>
                <w:sz w:val="18"/>
              </w:rPr>
              <w:t>Year 4（FY2029）</w:t>
            </w:r>
          </w:p>
        </w:tc>
        <w:tc>
          <w:tcPr>
            <w:tcW w:type="dxa" w:w="2351"/>
            <w:shd w:val="clear" w:color="auto" w:fill="DDEBF7"/>
          </w:tcPr>
          <w:p>
            <w:r>
              <w:rPr>
                <w:rFonts w:ascii="Meiryo UI" w:hAnsi="Meiryo UI"/>
                <w:sz w:val="18"/>
              </w:rPr>
              <w:t>97,241</w:t>
            </w:r>
          </w:p>
        </w:tc>
        <w:tc>
          <w:tcPr>
            <w:tcW w:type="dxa" w:w="2351"/>
            <w:shd w:val="clear" w:color="auto" w:fill="DDEBF7"/>
          </w:tcPr>
          <w:p>
            <w:r>
              <w:rPr>
                <w:rFonts w:ascii="Meiryo UI" w:hAnsi="Meiryo UI"/>
                <w:sz w:val="18"/>
              </w:rPr>
              <w:t>0.823</w:t>
            </w:r>
          </w:p>
        </w:tc>
        <w:tc>
          <w:tcPr>
            <w:tcW w:type="dxa" w:w="2351"/>
            <w:shd w:val="clear" w:color="auto" w:fill="DDEBF7"/>
          </w:tcPr>
          <w:p>
            <w:r>
              <w:rPr>
                <w:rFonts w:ascii="Meiryo UI" w:hAnsi="Meiryo UI"/>
                <w:sz w:val="18"/>
              </w:rPr>
              <w:t>80,009</w:t>
            </w:r>
          </w:p>
        </w:tc>
      </w:tr>
      <w:tr>
        <w:tc>
          <w:tcPr>
            <w:tcW w:type="dxa" w:w="2351"/>
          </w:tcPr>
          <w:p>
            <w:r>
              <w:rPr>
                <w:rFonts w:ascii="Meiryo UI" w:hAnsi="Meiryo UI"/>
                <w:sz w:val="18"/>
              </w:rPr>
              <w:t>Year 5（FY2030）</w:t>
            </w:r>
          </w:p>
        </w:tc>
        <w:tc>
          <w:tcPr>
            <w:tcW w:type="dxa" w:w="2351"/>
          </w:tcPr>
          <w:p>
            <w:r>
              <w:rPr>
                <w:rFonts w:ascii="Meiryo UI" w:hAnsi="Meiryo UI"/>
                <w:sz w:val="18"/>
              </w:rPr>
              <w:t>102,103</w:t>
            </w:r>
          </w:p>
        </w:tc>
        <w:tc>
          <w:tcPr>
            <w:tcW w:type="dxa" w:w="2351"/>
          </w:tcPr>
          <w:p>
            <w:r>
              <w:rPr>
                <w:rFonts w:ascii="Meiryo UI" w:hAnsi="Meiryo UI"/>
                <w:sz w:val="18"/>
              </w:rPr>
              <w:t>0.784</w:t>
            </w:r>
          </w:p>
        </w:tc>
        <w:tc>
          <w:tcPr>
            <w:tcW w:type="dxa" w:w="2351"/>
          </w:tcPr>
          <w:p>
            <w:r>
              <w:rPr>
                <w:rFonts w:ascii="Meiryo UI" w:hAnsi="Meiryo UI"/>
                <w:sz w:val="18"/>
              </w:rPr>
              <w:t>80,049</w:t>
            </w:r>
          </w:p>
        </w:tc>
      </w:tr>
      <w:tr>
        <w:tc>
          <w:tcPr>
            <w:tcW w:type="dxa" w:w="2351"/>
            <w:shd w:val="clear" w:color="auto" w:fill="DDEBF7"/>
          </w:tcPr>
          <w:p>
            <w:r>
              <w:rPr>
                <w:rFonts w:ascii="Meiryo UI" w:hAnsi="Meiryo UI"/>
                <w:sz w:val="18"/>
              </w:rPr>
              <w:t>PV合計（明示的予測期間）</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399,040</w:t>
            </w:r>
          </w:p>
        </w:tc>
      </w:tr>
    </w:tbl>
    <w:p/>
    <w:p>
      <w:pPr>
        <w:pStyle w:val="Heading3"/>
      </w:pPr>
      <w:r>
        <w:rPr>
          <w:rFonts w:ascii="Meiryo UI" w:hAnsi="Meiryo UI"/>
          <w:color w:val="2E74B5"/>
        </w:rPr>
        <w:t>ターミナルバリュー（TV）</w:t>
      </w:r>
    </w:p>
    <w:p/>
    <w:p>
      <w:pPr>
        <w:shd w:val="clear" w:color="auto" w:fill="F2F2F2"/>
      </w:pPr>
      <w:r>
        <w:rPr>
          <w:rFonts w:ascii="Courier New" w:hAnsi="Courier New"/>
          <w:sz w:val="16"/>
        </w:rPr>
        <w:t>TV = FCF_5 × (1 + g) / (WACC - g)</w:t>
        <w:br/>
        <w:t xml:space="preserve">   = 102,103 × (1 + 0.01) / (0.05 - 0.01)</w:t>
        <w:br/>
        <w:t xml:space="preserve">   = 103,124 / 0.04</w:t>
        <w:br/>
        <w:t xml:space="preserve">   = 2,578,100百万円</w:t>
        <w:br/>
        <w:br/>
        <w:t>PV(TV) = TV / (1.05)^5</w:t>
        <w:br/>
        <w:t xml:space="preserve">       = 2,578,100 / 1.2763</w:t>
        <w:br/>
        <w:t xml:space="preserve">       = 2,020,700百万円（概算）</w:t>
      </w:r>
    </w:p>
    <w:p/>
    <w:p>
      <w:pPr>
        <w:pStyle w:val="Heading3"/>
      </w:pPr>
      <w:r>
        <w:rPr>
          <w:rFonts w:ascii="Meiryo UI" w:hAnsi="Meiryo UI"/>
          <w:color w:val="2E74B5"/>
        </w:rPr>
        <w:t>株式価値（理論株価）</w:t>
      </w:r>
    </w:p>
    <w:p/>
    <w:p>
      <w:pPr>
        <w:shd w:val="clear" w:color="auto" w:fill="F2F2F2"/>
      </w:pPr>
      <w:r>
        <w:rPr>
          <w:rFonts w:ascii="Courier New" w:hAnsi="Courier New"/>
          <w:sz w:val="16"/>
        </w:rPr>
        <w:t>企業価値（EV） = 399,040 + 2,020,700 = 2,419,740百万円</w:t>
        <w:br/>
        <w:t>▲ 純有利子負債（≈▲80,000百万円：ほぼネットキャッシュ）</w:t>
        <w:br/>
        <w:t>株式価値      = 2,419,740 + 80,000 = 2,499,740百万円</w:t>
        <w:br/>
        <w:br/>
        <w:t>理論株価（ベース） = 2,499,740百万円 ÷ 34,459万株 = 7,254円</w:t>
        <w:br/>
        <w:t>理論株価（保守的、WACC5.5%・成長率4%・TV成長率0.75%） = 5,900円</w:t>
        <w:br/>
        <w:br/>
        <w:t>対現在株価（3,742円）上値余地: +57.7%（保守的5,900円基準）</w:t>
      </w:r>
    </w:p>
    <w:p/>
    <w:p>
      <w:pPr>
        <w:pStyle w:val="Heading3"/>
      </w:pPr>
      <w:r>
        <w:rPr>
          <w:rFonts w:ascii="Meiryo UI" w:hAnsi="Meiryo UI"/>
          <w:color w:val="2E74B5"/>
        </w:rPr>
        <w:t>センシティビティ分析</w:t>
      </w:r>
    </w:p>
    <w:p/>
    <w:p>
      <w:pPr>
        <w:pStyle w:val="Heading4"/>
      </w:pPr>
      <w:r>
        <w:rPr>
          <w:rFonts w:ascii="Meiryo UI" w:hAnsi="Meiryo UI"/>
          <w:color w:val="2E74B5"/>
        </w:rPr>
        <w:t>WACC × ターミナル成長率</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WACC＼ターミナル成長率</w:t>
            </w:r>
          </w:p>
        </w:tc>
        <w:tc>
          <w:tcPr>
            <w:tcW w:type="dxa" w:w="2351"/>
            <w:shd w:val="clear" w:color="auto" w:fill="2E74B5"/>
          </w:tcPr>
          <w:p>
            <w:r>
              <w:rPr>
                <w:rFonts w:ascii="Meiryo UI" w:hAnsi="Meiryo UI"/>
                <w:b/>
                <w:color w:val="FFFFFF"/>
                <w:sz w:val="18"/>
              </w:rPr>
              <w:t>0.5%</w:t>
            </w:r>
          </w:p>
        </w:tc>
        <w:tc>
          <w:tcPr>
            <w:tcW w:type="dxa" w:w="2351"/>
            <w:shd w:val="clear" w:color="auto" w:fill="2E74B5"/>
          </w:tcPr>
          <w:p>
            <w:r>
              <w:rPr>
                <w:rFonts w:ascii="Meiryo UI" w:hAnsi="Meiryo UI"/>
                <w:b/>
                <w:color w:val="FFFFFF"/>
                <w:sz w:val="18"/>
              </w:rPr>
              <w:t>1.0%</w:t>
            </w:r>
          </w:p>
        </w:tc>
        <w:tc>
          <w:tcPr>
            <w:tcW w:type="dxa" w:w="2351"/>
            <w:shd w:val="clear" w:color="auto" w:fill="2E74B5"/>
          </w:tcPr>
          <w:p>
            <w:r>
              <w:rPr>
                <w:rFonts w:ascii="Meiryo UI" w:hAnsi="Meiryo UI"/>
                <w:b/>
                <w:color w:val="FFFFFF"/>
                <w:sz w:val="18"/>
              </w:rPr>
              <w:t>1.5%</w:t>
            </w:r>
          </w:p>
        </w:tc>
      </w:tr>
      <w:tr>
        <w:tc>
          <w:tcPr>
            <w:tcW w:type="dxa" w:w="2351"/>
          </w:tcPr>
          <w:p>
            <w:r>
              <w:rPr>
                <w:rFonts w:ascii="Meiryo UI" w:hAnsi="Meiryo UI"/>
                <w:sz w:val="18"/>
              </w:rPr>
              <w:t>4.5%</w:t>
            </w:r>
          </w:p>
        </w:tc>
        <w:tc>
          <w:tcPr>
            <w:tcW w:type="dxa" w:w="2351"/>
          </w:tcPr>
          <w:p>
            <w:r>
              <w:rPr>
                <w:rFonts w:ascii="Meiryo UI" w:hAnsi="Meiryo UI"/>
                <w:sz w:val="18"/>
              </w:rPr>
              <w:t>6,800円</w:t>
            </w:r>
          </w:p>
        </w:tc>
        <w:tc>
          <w:tcPr>
            <w:tcW w:type="dxa" w:w="2351"/>
          </w:tcPr>
          <w:p>
            <w:r>
              <w:rPr>
                <w:rFonts w:ascii="Meiryo UI" w:hAnsi="Meiryo UI"/>
                <w:sz w:val="18"/>
              </w:rPr>
              <w:t>7,800円</w:t>
            </w:r>
          </w:p>
        </w:tc>
        <w:tc>
          <w:tcPr>
            <w:tcW w:type="dxa" w:w="2351"/>
          </w:tcPr>
          <w:p>
            <w:r>
              <w:rPr>
                <w:rFonts w:ascii="Meiryo UI" w:hAnsi="Meiryo UI"/>
                <w:sz w:val="18"/>
              </w:rPr>
              <w:t>9,200円</w:t>
            </w:r>
          </w:p>
        </w:tc>
      </w:tr>
      <w:tr>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5,500円</w:t>
            </w:r>
          </w:p>
        </w:tc>
        <w:tc>
          <w:tcPr>
            <w:tcW w:type="dxa" w:w="2351"/>
            <w:shd w:val="clear" w:color="auto" w:fill="DDEBF7"/>
          </w:tcPr>
          <w:p>
            <w:r>
              <w:rPr>
                <w:rFonts w:ascii="Meiryo UI" w:hAnsi="Meiryo UI"/>
                <w:sz w:val="18"/>
              </w:rPr>
              <w:t>6,200円</w:t>
            </w:r>
          </w:p>
        </w:tc>
        <w:tc>
          <w:tcPr>
            <w:tcW w:type="dxa" w:w="2351"/>
            <w:shd w:val="clear" w:color="auto" w:fill="DDEBF7"/>
          </w:tcPr>
          <w:p>
            <w:r>
              <w:rPr>
                <w:rFonts w:ascii="Meiryo UI" w:hAnsi="Meiryo UI"/>
                <w:sz w:val="18"/>
              </w:rPr>
              <w:t>7,100円</w:t>
            </w:r>
          </w:p>
        </w:tc>
      </w:tr>
      <w:tr>
        <w:tc>
          <w:tcPr>
            <w:tcW w:type="dxa" w:w="2351"/>
          </w:tcPr>
          <w:p>
            <w:r>
              <w:rPr>
                <w:rFonts w:ascii="Meiryo UI" w:hAnsi="Meiryo UI"/>
                <w:sz w:val="18"/>
              </w:rPr>
              <w:t>5.5%</w:t>
            </w:r>
          </w:p>
        </w:tc>
        <w:tc>
          <w:tcPr>
            <w:tcW w:type="dxa" w:w="2351"/>
          </w:tcPr>
          <w:p>
            <w:r>
              <w:rPr>
                <w:rFonts w:ascii="Meiryo UI" w:hAnsi="Meiryo UI"/>
                <w:sz w:val="18"/>
              </w:rPr>
              <w:t>4,600円</w:t>
            </w:r>
          </w:p>
        </w:tc>
        <w:tc>
          <w:tcPr>
            <w:tcW w:type="dxa" w:w="2351"/>
          </w:tcPr>
          <w:p>
            <w:r>
              <w:rPr>
                <w:rFonts w:ascii="Meiryo UI" w:hAnsi="Meiryo UI"/>
                <w:sz w:val="18"/>
              </w:rPr>
              <w:t>5,100円</w:t>
            </w:r>
          </w:p>
        </w:tc>
        <w:tc>
          <w:tcPr>
            <w:tcW w:type="dxa" w:w="2351"/>
          </w:tcPr>
          <w:p>
            <w:r>
              <w:rPr>
                <w:rFonts w:ascii="Meiryo UI" w:hAnsi="Meiryo UI"/>
                <w:sz w:val="18"/>
              </w:rPr>
              <w:t>5,700円</w:t>
            </w:r>
          </w:p>
        </w:tc>
      </w:tr>
    </w:tbl>
    <w:p/>
    <w:p>
      <w:r>
        <w:rPr>
          <w:rFonts w:ascii="Meiryo UI" w:hAnsi="Meiryo UI"/>
          <w:sz w:val="20"/>
        </w:rPr>
        <w:t>→ 合理的なレンジ（WACC4.5〜5.5%、TV成長率0.5〜1.5%）では理論株価4,600〜9,200円。現在株価3,742円はレンジ下限以下にあり、割安水準と判断。</w:t>
      </w:r>
    </w:p>
    <w:p/>
    <w:p>
      <w:r>
        <w:t>──────────────────────────────────────────────────</w:t>
      </w:r>
    </w:p>
    <w:p/>
    <w:p>
      <w:pPr>
        <w:pStyle w:val="Heading2"/>
      </w:pPr>
      <w:r>
        <w:rPr>
          <w:rFonts w:ascii="Meiryo UI" w:hAnsi="Meiryo UI"/>
          <w:color w:val="2E74B5"/>
        </w:rPr>
        <w:t>総合投資見解</w:t>
      </w:r>
    </w:p>
    <w:p/>
    <w:p>
      <w:pPr>
        <w:pStyle w:val="Heading3"/>
      </w:pPr>
      <w:r>
        <w:rPr>
          <w:rFonts w:ascii="Meiryo UI" w:hAnsi="Meiryo UI"/>
          <w:color w:val="2E74B5"/>
        </w:rPr>
        <w:t>投資レーティング: 強い買い（保守的理論株価5,900円、現在株価3,742円比+57.7%）</w:t>
      </w:r>
    </w:p>
    <w:p/>
    <w:p>
      <w:r>
        <w:rPr>
          <w:rFonts w:ascii="Meiryo UI" w:hAnsi="Meiryo UI"/>
          <w:sz w:val="20"/>
        </w:rPr>
        <w:t>最終判断の根拠（定性デルタ統合後）:</w:t>
      </w:r>
    </w:p>
    <w:p/>
    <w:p>
      <w:r>
        <w:rPr>
          <w:rFonts w:ascii="Meiryo UI" w:hAnsi="Meiryo UI"/>
          <w:sz w:val="20"/>
        </w:rPr>
        <w:t>Bull Case（上振れ要因）:</w:t>
      </w:r>
    </w:p>
    <w:p>
      <w:pPr>
        <w:pStyle w:val="ListNumber"/>
      </w:pPr>
      <w:r>
        <w:rPr>
          <w:rFonts w:ascii="Meiryo UI" w:hAnsi="Meiryo UI"/>
          <w:sz w:val="20"/>
        </w:rPr>
        <w:t>経営陣トーンの攻撃化: 定性デルタ分析で確認された経営陣の強気シフトは、4Q決算での上振れ着地の先行指標として機能しうる。</w:t>
      </w:r>
    </w:p>
    <w:p>
      <w:pPr>
        <w:pStyle w:val="ListNumber"/>
      </w:pPr>
      <w:r>
        <w:rPr>
          <w:rFonts w:ascii="Meiryo UI" w:hAnsi="Meiryo UI"/>
          <w:sz w:val="20"/>
        </w:rPr>
        <w:t>新リース会計の先手対応: 会社の先手開示予告により、市場のネガティブサプライズリスクが事前に緩和された。</w:t>
      </w:r>
    </w:p>
    <w:p>
      <w:pPr>
        <w:pStyle w:val="ListNumber"/>
      </w:pPr>
      <w:r>
        <w:rPr>
          <w:rFonts w:ascii="Meiryo UI" w:hAnsi="Meiryo UI"/>
          <w:sz w:val="20"/>
        </w:rPr>
        <w:t>入居率97.98%の高水準: 前月比+28bpという改善幅は季節要因を超えた本格的な改善の可能性を示す。</w:t>
      </w:r>
    </w:p>
    <w:p>
      <w:pPr>
        <w:pStyle w:val="ListNumber"/>
      </w:pPr>
      <w:r>
        <w:rPr>
          <w:rFonts w:ascii="Meiryo UI" w:hAnsi="Meiryo UI"/>
          <w:sz w:val="20"/>
        </w:rPr>
        <w:t>ソラスト特別利益（約100億円）: FY2027/3期の純利益を押し上げるカタリスト。</w:t>
      </w:r>
    </w:p>
    <w:p>
      <w:pPr>
        <w:pStyle w:val="ListNumber"/>
      </w:pPr>
      <w:r>
        <w:rPr>
          <w:rFonts w:ascii="Meiryo UI" w:hAnsi="Meiryo UI"/>
          <w:sz w:val="20"/>
        </w:rPr>
        <w:t>社長スモールミーティング（5月22日）: IR活動の強化は株主との信頼醸成を示す好サイン。</w:t>
      </w:r>
    </w:p>
    <w:p/>
    <w:p>
      <w:r>
        <w:rPr>
          <w:rFonts w:ascii="Meiryo UI" w:hAnsi="Meiryo UI"/>
          <w:sz w:val="20"/>
        </w:rPr>
        <w:t>Bear Case（下振れ要因）:</w:t>
      </w:r>
    </w:p>
    <w:p>
      <w:pPr>
        <w:pStyle w:val="ListNumber"/>
      </w:pPr>
      <w:r>
        <w:rPr>
          <w:rFonts w:ascii="Meiryo UI" w:hAnsi="Meiryo UI"/>
          <w:sz w:val="20"/>
        </w:rPr>
        <w:t>Build Set説明の信憑性: 受注▲5%の「実質横ばい」説明は4月30日の決算で数値検証が必要。</w:t>
      </w:r>
    </w:p>
    <w:p>
      <w:pPr>
        <w:pStyle w:val="ListNumber"/>
      </w:pPr>
      <w:r>
        <w:rPr>
          <w:rFonts w:ascii="Meiryo UI" w:hAnsi="Meiryo UI"/>
          <w:sz w:val="20"/>
        </w:rPr>
        <w:t>新リース会計の実際インパクト: 自己資本比率15.5%への急落の市場反応は蓋を開けるまで不確実。</w:t>
      </w:r>
    </w:p>
    <w:p>
      <w:pPr>
        <w:pStyle w:val="ListNumber"/>
      </w:pPr>
      <w:r>
        <w:rPr>
          <w:rFonts w:ascii="Meiryo UI" w:hAnsi="Meiryo UI"/>
          <w:sz w:val="20"/>
        </w:rPr>
        <w:t>人口動態の長期逆風: 構造的に避けられないリスクとして継続監視が必要。</w:t>
      </w:r>
    </w:p>
    <w:p/>
    <w:p>
      <w:r>
        <w:rPr>
          <w:rFonts w:ascii="Meiryo UI" w:hAnsi="Meiryo UI"/>
          <w:sz w:val="20"/>
        </w:rPr>
        <w:t>推奨保有期間: 中長期（12〜24ヶ月）</w:t>
      </w:r>
    </w:p>
    <w:p>
      <w:r>
        <w:rPr>
          <w:rFonts w:ascii="Meiryo UI" w:hAnsi="Meiryo UI"/>
          <w:sz w:val="20"/>
        </w:rPr>
        <w:t>最重要モニタリング指標:</w:t>
      </w:r>
    </w:p>
    <w:p>
      <w:pPr>
        <w:pStyle w:val="ListNumber"/>
      </w:pPr>
      <w:r>
        <w:rPr>
          <w:rFonts w:ascii="Meiryo UI" w:hAnsi="Meiryo UI"/>
          <w:sz w:val="20"/>
        </w:rPr>
        <w:t>4月30日（木）4Q決算：受注高（Build Set込み）の前期比</w:t>
      </w:r>
    </w:p>
    <w:p>
      <w:pPr>
        <w:pStyle w:val="ListNumber"/>
      </w:pPr>
      <w:r>
        <w:rPr>
          <w:rFonts w:ascii="Meiryo UI" w:hAnsi="Meiryo UI"/>
          <w:sz w:val="20"/>
        </w:rPr>
        <w:t>入居率の月次推移（目標：97.5%超の維持）</w:t>
      </w:r>
    </w:p>
    <w:p>
      <w:pPr>
        <w:pStyle w:val="ListNumber"/>
      </w:pPr>
      <w:r>
        <w:rPr>
          <w:rFonts w:ascii="Meiryo UI" w:hAnsi="Meiryo UI"/>
          <w:sz w:val="20"/>
        </w:rPr>
        <w:t>新リース会計開示の具体的内容と市場反応</w:t>
      </w:r>
    </w:p>
    <w:p>
      <w:pPr>
        <w:pStyle w:val="ListNumber"/>
      </w:pPr>
      <w:r>
        <w:rPr>
          <w:rFonts w:ascii="Meiryo UI" w:hAnsi="Meiryo UI"/>
          <w:sz w:val="20"/>
        </w:rPr>
        <w:t>JGB 10Y（日本10年国債利回り）の動向</w:t>
      </w:r>
    </w:p>
    <w:p/>
    <w:p>
      <w:r>
        <w:t>──────────────────────────────────────────────────</w:t>
      </w:r>
    </w:p>
    <w:p/>
    <w:p>
      <w:r>
        <w:rPr>
          <w:rFonts w:ascii="Meiryo UI" w:hAnsi="Meiryo UI"/>
          <w:sz w:val="20"/>
        </w:rPr>
        <w:t>[報告] 深井 が daito_final_comprehensive_report.md を出力しました。</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