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both"/>
        <w:rPr/>
      </w:pPr>
      <w:r>
        <w:rPr>
          <w:rFonts w:ascii="Calibri" w:cs="Calibri" w:eastAsia="Calibri" w:hAnsi="Calibri"/>
          <w:b w:val="1"/>
          <w:bCs w:val="1"/>
          <w:smallCaps w:val="1"/>
          <w:color w:val="2f6f6f"/>
          <w:sz w:val="18"/>
          <w:szCs w:val="18"/>
          <w:rtl w:val="0"/>
        </w:rPr>
        <w:t xml:space="preserve">BETHA SISTEMAS — DAS · COORDENAÇÃO DE PORTFÓLIO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both"/>
        <w:rPr/>
      </w:pPr>
      <w:r>
        <w:rPr>
          <w:rFonts w:ascii="Calibri" w:cs="Calibri" w:eastAsia="Calibri" w:hAnsi="Calibri"/>
          <w:b w:val="1"/>
          <w:bCs w:val="1"/>
          <w:color w:val="1f3a5f"/>
          <w:sz w:val="34"/>
          <w:szCs w:val="34"/>
          <w:rtl w:val="0"/>
        </w:rPr>
        <w:t xml:space="preserve">Análise de Aumento de Aberturas e Queda de Vazão no Atendimento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jc w:val="both"/>
        <w:rPr/>
      </w:pPr>
      <w:r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Portfólio Pequenas Contas — semana 02 a 08/08/2026 comparada à semana anterior (26/07 a 01/08/2026)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3a5f" w:space="0" w:sz="6" w:val="single"/>
        </w:pBdr>
        <w:spacing w:after="120" w:lineRule="auto"/>
        <w:jc w:val="both"/>
        <w:rPr/>
      </w:pPr>
      <w:r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0" w:line="276" w:lineRule="auto"/>
        <w:jc w:val="both"/>
        <w:rPr/>
      </w:pPr>
      <w:r>
        <w:rPr>
          <w:rFonts w:ascii="Calibri" w:cs="Calibri" w:eastAsia="Calibri" w:hAnsi="Calibri"/>
          <w:b w:val="1"/>
          <w:bCs w:val="1"/>
          <w:color w:val="5a6b75"/>
          <w:sz w:val="18"/>
          <w:szCs w:val="18"/>
          <w:rtl w:val="0"/>
        </w:rPr>
        <w:t xml:space="preserve">Fonte: </w:t>
      </w:r>
      <w:r>
        <w:rPr>
          <w:rFonts w:ascii="Calibri" w:cs="Calibri" w:eastAsia="Calibri" w:hAnsi="Calibri"/>
          <w:color w:val="5a6b75"/>
          <w:sz w:val="18"/>
          <w:szCs w:val="18"/>
          <w:rtl w:val="0"/>
        </w:rPr>
        <w:t xml:space="preserve">BI DAS — “Indicadores de Resultado e Acompanhamento DAS”, página Backlog de Atendimento (valores semanais). </w:t>
      </w:r>
      <w:r>
        <w:rPr>
          <w:rFonts w:ascii="Calibri" w:cs="Calibri" w:eastAsia="Calibri" w:hAnsi="Calibri"/>
          <w:b w:val="1"/>
          <w:bCs w:val="1"/>
          <w:color w:val="5a6b75"/>
          <w:sz w:val="18"/>
          <w:szCs w:val="18"/>
          <w:rtl w:val="0"/>
        </w:rPr>
        <w:t xml:space="preserve">Escopo: </w:t>
      </w:r>
      <w:r>
        <w:rPr>
          <w:rFonts w:ascii="Calibri" w:cs="Calibri" w:eastAsia="Calibri" w:hAnsi="Calibri"/>
          <w:color w:val="5a6b75"/>
          <w:sz w:val="18"/>
          <w:szCs w:val="18"/>
          <w:rtl w:val="0"/>
        </w:rPr>
        <w:t xml:space="preserve">Portfólio Pequenas Contas · Projetos ativos de atendimento (Filial) · exceto equipe Residente. Dados atualizados em 09/08/2026. Elaborado em 10/08/2026.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30" w:before="260" w:lineRule="auto"/>
        <w:jc w:val="both"/>
        <w:rPr/>
      </w:pPr>
      <w:r>
        <w:rPr>
          <w:rFonts w:ascii="Calibri" w:cs="Calibri" w:eastAsia="Calibri" w:hAnsi="Calibri"/>
          <w:b w:val="1"/>
          <w:bCs w:val="1"/>
          <w:color w:val="1f3a5f"/>
          <w:sz w:val="30"/>
          <w:szCs w:val="30"/>
          <w:rtl w:val="0"/>
        </w:rPr>
        <w:t xml:space="preserve">1. Resumo executivo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spacing w:after="140" w:before="0" w:line="276" w:lineRule="auto"/>
        <w:jc w:val="both"/>
        <w:rPr/>
      </w:pPr>
      <w:r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Na semana de 02 a 08/08/2026 as aberturas de chamados em Pequenas Contas saltaram para 341, contra 184 na semana anterior — alta de 85% e o maior volume das últimas sete semanas. O aumento foi provocado quase integralmente por chamados do tipo “Dúvidas”, que passaram de 140 para 293 (+109%); incidentes e serviços permaneceram estáveis. Não foi, portanto, um surto de erros de produto, e sim uma onda de dúvidas de uso/orientação.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spacing w:after="140" w:before="0" w:line="276" w:lineRule="auto"/>
        <w:jc w:val="both"/>
        <w:rPr/>
      </w:pPr>
      <w:r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A produção de atendimento cresceu no total (de 221 para 267, +21%), mas não acompanhou a demanda: como as aberturas subiram muito mais rápido, o backlog voltou a crescer, de 52 para 74 (+42%), interrompendo a trajetória de queda das semanas anteriores. O déficit entre demanda e vazão concentrou-se em duas verticais — Arrecadação e Pessoal —, que respondem por praticamente todo o crescimento do backlog.</w:t>
      </w:r>
      <w:r>
        <w:rPr>
          <w:rtl w:val="0"/>
        </w:rPr>
      </w:r>
    </w:p>
    <w:p w:rsidR="00000000" w:rsidDel="00000000" w:rsidP="00000000" w:rsidRDefault="00000000" w:rsidRPr="00000000" w14:paraId="00000009">
      <w:pPr>
        <w:spacing w:after="140" w:before="0" w:line="276" w:lineRule="auto"/>
        <w:jc w:val="both"/>
        <w:rPr/>
      </w:pPr>
      <w:r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Quatro verticais explicam cerca de 96% do salto de Dúvidas: Arrecadação, Pessoal, Contábil e Contratos, cada uma com aproximadamente o dobro de dúvidas na semana. Contábil e Contratos conseguiram absorver o volume (backlog caiu); Arrecadação e Pessoal não (backlog subiu).</w:t>
      </w:r>
      <w:r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130" w:before="260" w:lineRule="auto"/>
        <w:jc w:val="both"/>
        <w:rPr/>
      </w:pPr>
      <w:r>
        <w:rPr>
          <w:rFonts w:ascii="Calibri" w:cs="Calibri" w:eastAsia="Calibri" w:hAnsi="Calibri"/>
          <w:b w:val="1"/>
          <w:bCs w:val="1"/>
          <w:color w:val="1f3a5f"/>
          <w:sz w:val="30"/>
          <w:szCs w:val="30"/>
          <w:rtl w:val="0"/>
        </w:rPr>
        <w:t xml:space="preserve">2. Panorama semanal — Pequenas Contas</w:t>
      </w:r>
      <w:r>
        <w:rPr>
          <w:rtl w:val="0"/>
        </w:rPr>
      </w:r>
    </w:p>
    <w:p w:rsidR="00000000" w:rsidDel="00000000" w:rsidP="00000000" w:rsidRDefault="00000000" w:rsidRPr="00000000" w14:paraId="0000000B">
      <w:pPr>
        <w:spacing w:after="140" w:before="0" w:line="276" w:lineRule="auto"/>
        <w:jc w:val="both"/>
        <w:rPr/>
      </w:pPr>
      <w:r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As sete semanas mostram um período de julho com aberturas em queda e produção estável (inclusive com a última semana de julho, 26/07–01/08, no menor patamar da série — 184 — coincidindo com o recesso/férias). Em 02–08/08 há um repique forte de aberturas, com a produção reagindo, mas em ritmo insuficiente para conter o backlog.</w:t>
      </w:r>
      <w:r>
        <w:rPr>
          <w:rtl w:val="0"/>
        </w:rPr>
      </w:r>
    </w:p>
    <w:p w:rsidR="00000000" w:rsidDel="00000000" w:rsidP="00000000" w:rsidRDefault="00000000" w:rsidRPr="00000000" w14:paraId="0000000C">
      <w:pPr>
        <w:spacing w:after="140" w:before="80" w:lineRule="auto"/>
        <w:jc w:val="both"/>
        <w:rPr/>
      </w:pPr>
      <w:r>
        <w:rPr/>
        <w:drawing>
          <wp:inline distB="0" distT="0" distL="0" distR="0">
            <wp:extent cx="5715000" cy="2819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0D">
      <w:pPr>
        <w:spacing w:after="200" w:lineRule="auto"/>
        <w:jc w:val="both"/>
        <w:rPr/>
      </w:pPr>
      <w:r>
        <w:rPr>
          <w:rFonts w:ascii="Calibri" w:cs="Calibri" w:eastAsia="Calibri" w:hAnsi="Calibri"/>
          <w:i w:val="1"/>
          <w:iCs w:val="1"/>
          <w:color w:val="5a6b75"/>
          <w:sz w:val="17"/>
          <w:szCs w:val="17"/>
          <w:rtl w:val="0"/>
        </w:rPr>
        <w:t xml:space="preserve">Gráfico 1 — Chamados abertos, produção e backlog por semana (Pequenas Contas). Semana do pico destacada.</w:t>
      </w:r>
      <w:r>
        <w:rPr>
          <w:rtl w:val="0"/>
        </w:rPr>
      </w:r>
    </w:p>
    <w:tbl>
      <w:tblPr>
        <w:tblStyle w:val="Table1"/>
        <w:tblW w:w="9200.0" w:type="dxa"/>
        <w:jc w:val="left"/>
        <w:tblBorders>
          <w:top w:color="c9d3d9" w:space="0" w:sz="4" w:val="single"/>
          <w:left w:color="c9d3d9" w:space="0" w:sz="4" w:val="single"/>
          <w:bottom w:color="c9d3d9" w:space="0" w:sz="4" w:val="single"/>
          <w:right w:color="c9d3d9" w:space="0" w:sz="4" w:val="single"/>
          <w:insideH w:color="c9d3d9" w:space="0" w:sz="4" w:val="single"/>
          <w:insideV w:color="c9d3d9" w:space="0" w:sz="4" w:val="single"/>
        </w:tblBorders>
        <w:tblLayout w:type="fixed"/>
        <w:tblLook w:val="0000"/>
      </w:tblPr>
      <w:tblGrid>
        <w:gridCol w:w="3200"/>
        <w:gridCol w:w="2000"/>
        <w:gridCol w:w="2000"/>
        <w:gridCol w:w="2000"/>
        <w:tblGridChange w:id="0">
          <w:tblGrid>
            <w:gridCol w:w="3200"/>
            <w:gridCol w:w="2000"/>
            <w:gridCol w:w="2000"/>
            <w:gridCol w:w="200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E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Semana</w:t>
            </w:r>
            <w:r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F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Abertos</w:t>
            </w:r>
            <w:r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0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Produção</w:t>
            </w:r>
            <w:r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1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Backlog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2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21–27/06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3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244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4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257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5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111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6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28/06–04/07</w:t>
            </w:r>
            <w:r>
              <w:rPr>
                <w:rtl w:val="0"/>
              </w:rPr>
            </w:r>
          </w:p>
        </w:tc>
        <w:tc>
          <w:tcPr>
            <w:shd w:fill="eef3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7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285</w:t>
            </w:r>
            <w:r>
              <w:rPr>
                <w:rtl w:val="0"/>
              </w:rPr>
            </w:r>
          </w:p>
        </w:tc>
        <w:tc>
          <w:tcPr>
            <w:shd w:fill="eef3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8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264</w:t>
            </w:r>
            <w:r>
              <w:rPr>
                <w:rtl w:val="0"/>
              </w:rPr>
            </w:r>
          </w:p>
        </w:tc>
        <w:tc>
          <w:tcPr>
            <w:shd w:fill="eef3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9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91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A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05–11/07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B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264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C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315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D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85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E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12–18/07</w:t>
            </w:r>
            <w:r>
              <w:rPr>
                <w:rtl w:val="0"/>
              </w:rPr>
            </w:r>
          </w:p>
        </w:tc>
        <w:tc>
          <w:tcPr>
            <w:shd w:fill="eef3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F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253</w:t>
            </w:r>
            <w:r>
              <w:rPr>
                <w:rtl w:val="0"/>
              </w:rPr>
            </w:r>
          </w:p>
        </w:tc>
        <w:tc>
          <w:tcPr>
            <w:shd w:fill="eef3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0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224</w:t>
            </w:r>
            <w:r>
              <w:rPr>
                <w:rtl w:val="0"/>
              </w:rPr>
            </w:r>
          </w:p>
        </w:tc>
        <w:tc>
          <w:tcPr>
            <w:shd w:fill="eef3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1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84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2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19–25/07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3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203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4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226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5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64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6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26/07–01/08</w:t>
            </w:r>
            <w:r>
              <w:rPr>
                <w:rtl w:val="0"/>
              </w:rPr>
            </w:r>
          </w:p>
        </w:tc>
        <w:tc>
          <w:tcPr>
            <w:shd w:fill="eef3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7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184</w:t>
            </w:r>
            <w:r>
              <w:rPr>
                <w:rtl w:val="0"/>
              </w:rPr>
            </w:r>
          </w:p>
        </w:tc>
        <w:tc>
          <w:tcPr>
            <w:shd w:fill="eef3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8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221</w:t>
            </w:r>
            <w:r>
              <w:rPr>
                <w:rtl w:val="0"/>
              </w:rPr>
            </w:r>
          </w:p>
        </w:tc>
        <w:tc>
          <w:tcPr>
            <w:shd w:fill="eef3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9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52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A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02–08/08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B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341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C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267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D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74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60" w:before="0" w:line="276" w:lineRule="auto"/>
        <w:jc w:val="both"/>
        <w:rPr/>
      </w:pPr>
      <w:r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after="130" w:before="260" w:lineRule="auto"/>
        <w:jc w:val="both"/>
        <w:rPr/>
      </w:pPr>
      <w:r>
        <w:rPr>
          <w:rFonts w:ascii="Calibri" w:cs="Calibri" w:eastAsia="Calibri" w:hAnsi="Calibri"/>
          <w:b w:val="1"/>
          <w:bCs w:val="1"/>
          <w:color w:val="1f3a5f"/>
          <w:sz w:val="30"/>
          <w:szCs w:val="30"/>
          <w:rtl w:val="0"/>
        </w:rPr>
        <w:t xml:space="preserve">3. O que puxou as aberturas: o tipo “Dúvidas”</w:t>
      </w:r>
      <w:r>
        <w:rPr>
          <w:rtl w:val="0"/>
        </w:rPr>
      </w:r>
    </w:p>
    <w:p w:rsidR="00000000" w:rsidDel="00000000" w:rsidP="00000000" w:rsidRDefault="00000000" w:rsidRPr="00000000" w14:paraId="00000030">
      <w:pPr>
        <w:spacing w:after="140" w:before="0" w:line="276" w:lineRule="auto"/>
        <w:jc w:val="both"/>
        <w:rPr/>
      </w:pPr>
      <w:r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Abrindo os 341 chamados por tipo e comparando com a semana anterior, fica claro que o acréscimo veio de Dúvidas. Os demais tipos — incidentes de produto, incidentes de serviço e serviços — ficaram praticamente estáveis. Isso indica que o gatilho é de natureza operacional/orientação (como usar, onde encontrar, como proceder), e não uma falha técnica do software.</w:t>
      </w:r>
      <w:r>
        <w:rPr>
          <w:rtl w:val="0"/>
        </w:rPr>
      </w:r>
    </w:p>
    <w:tbl>
      <w:tblPr>
        <w:tblStyle w:val="Table2"/>
        <w:tblW w:w="10000.0" w:type="dxa"/>
        <w:jc w:val="left"/>
        <w:tblBorders>
          <w:top w:color="c9d3d9" w:space="0" w:sz="4" w:val="single"/>
          <w:left w:color="c9d3d9" w:space="0" w:sz="4" w:val="single"/>
          <w:bottom w:color="c9d3d9" w:space="0" w:sz="4" w:val="single"/>
          <w:right w:color="c9d3d9" w:space="0" w:sz="4" w:val="single"/>
          <w:insideH w:color="c9d3d9" w:space="0" w:sz="4" w:val="single"/>
          <w:insideV w:color="c9d3d9" w:space="0" w:sz="4" w:val="single"/>
        </w:tblBorders>
        <w:tblLayout w:type="fixed"/>
        <w:tblLook w:val="0000"/>
      </w:tblPr>
      <w:tblGrid>
        <w:gridCol w:w="3400"/>
        <w:gridCol w:w="1900"/>
        <w:gridCol w:w="2300"/>
        <w:gridCol w:w="2400"/>
        <w:tblGridChange w:id="0">
          <w:tblGrid>
            <w:gridCol w:w="3400"/>
            <w:gridCol w:w="1900"/>
            <w:gridCol w:w="2300"/>
            <w:gridCol w:w="240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1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chamado</w:t>
            </w:r>
            <w:r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2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Anterior</w:t>
            </w:r>
            <w:r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3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Pico (02–08/08)</w:t>
            </w:r>
            <w:r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4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Variação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5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Dúvidas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140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293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+153 (+109%)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Incidentes de Produto</w:t>
            </w:r>
            <w:r>
              <w:rPr>
                <w:rtl w:val="0"/>
              </w:rPr>
            </w:r>
          </w:p>
        </w:tc>
        <w:tc>
          <w:tcPr>
            <w:shd w:fill="eef3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10</w:t>
            </w:r>
            <w:r>
              <w:rPr>
                <w:rtl w:val="0"/>
              </w:rPr>
            </w:r>
          </w:p>
        </w:tc>
        <w:tc>
          <w:tcPr>
            <w:shd w:fill="eef3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B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16</w:t>
            </w:r>
            <w:r>
              <w:rPr>
                <w:rtl w:val="0"/>
              </w:rPr>
            </w:r>
          </w:p>
        </w:tc>
        <w:tc>
          <w:tcPr>
            <w:shd w:fill="eef3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C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+6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D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Incidentes de Serviços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E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15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F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11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0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−4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1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Serviços</w:t>
            </w:r>
            <w:r>
              <w:rPr>
                <w:rtl w:val="0"/>
              </w:rPr>
            </w:r>
          </w:p>
        </w:tc>
        <w:tc>
          <w:tcPr>
            <w:shd w:fill="eef3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2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19</w:t>
            </w:r>
            <w:r>
              <w:rPr>
                <w:rtl w:val="0"/>
              </w:rPr>
            </w:r>
          </w:p>
        </w:tc>
        <w:tc>
          <w:tcPr>
            <w:shd w:fill="eef3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3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21</w:t>
            </w:r>
            <w:r>
              <w:rPr>
                <w:rtl w:val="0"/>
              </w:rPr>
            </w:r>
          </w:p>
        </w:tc>
        <w:tc>
          <w:tcPr>
            <w:shd w:fill="eef3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4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+2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ea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5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Total de aberturas</w:t>
            </w:r>
            <w:r>
              <w:rPr>
                <w:rtl w:val="0"/>
              </w:rPr>
            </w:r>
          </w:p>
        </w:tc>
        <w:tc>
          <w:tcPr>
            <w:shd w:fill="dce6ea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6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184</w:t>
            </w:r>
            <w:r>
              <w:rPr>
                <w:rtl w:val="0"/>
              </w:rPr>
            </w:r>
          </w:p>
        </w:tc>
        <w:tc>
          <w:tcPr>
            <w:shd w:fill="dce6ea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7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341</w:t>
            </w:r>
            <w:r>
              <w:rPr>
                <w:rtl w:val="0"/>
              </w:rPr>
            </w:r>
          </w:p>
        </w:tc>
        <w:tc>
          <w:tcPr>
            <w:shd w:fill="dce6ea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8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+157 (+85%)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60" w:before="0" w:line="276" w:lineRule="auto"/>
        <w:jc w:val="both"/>
        <w:rPr/>
      </w:pPr>
      <w:r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after="130" w:before="260" w:lineRule="auto"/>
        <w:jc w:val="both"/>
        <w:rPr/>
      </w:pPr>
      <w:r>
        <w:rPr>
          <w:rFonts w:ascii="Calibri" w:cs="Calibri" w:eastAsia="Calibri" w:hAnsi="Calibri"/>
          <w:b w:val="1"/>
          <w:bCs w:val="1"/>
          <w:color w:val="1f3a5f"/>
          <w:sz w:val="30"/>
          <w:szCs w:val="30"/>
          <w:rtl w:val="0"/>
        </w:rPr>
        <w:t xml:space="preserve">4. Análise por vertical</w:t>
      </w:r>
      <w:r>
        <w:rPr>
          <w:rtl w:val="0"/>
        </w:rPr>
      </w:r>
    </w:p>
    <w:p w:rsidR="00000000" w:rsidDel="00000000" w:rsidP="00000000" w:rsidRDefault="00000000" w:rsidRPr="00000000" w14:paraId="0000004B">
      <w:pPr>
        <w:spacing w:after="140" w:before="0" w:line="276" w:lineRule="auto"/>
        <w:jc w:val="both"/>
        <w:rPr/>
      </w:pPr>
      <w:r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O detalhamento por vertical mostra que a onda de dúvidas foi ampla, mas com intensidades diferentes — e, principalmente, com capacidade de resposta diferente em cada área. A tabela abaixo compara a semana do pico com a anterior.</w:t>
      </w:r>
      <w:r>
        <w:rPr>
          <w:rtl w:val="0"/>
        </w:rPr>
      </w:r>
    </w:p>
    <w:p w:rsidR="00000000" w:rsidDel="00000000" w:rsidP="00000000" w:rsidRDefault="00000000" w:rsidRPr="00000000" w14:paraId="0000004C">
      <w:pPr>
        <w:spacing w:after="140" w:before="80" w:lineRule="auto"/>
        <w:jc w:val="both"/>
        <w:rPr/>
      </w:pPr>
      <w:r>
        <w:rPr/>
        <w:drawing>
          <wp:inline distB="0" distT="0" distL="0" distR="0">
            <wp:extent cx="5715000" cy="24955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4D">
      <w:pPr>
        <w:spacing w:after="200" w:lineRule="auto"/>
        <w:jc w:val="both"/>
        <w:rPr/>
      </w:pPr>
      <w:r>
        <w:rPr>
          <w:rFonts w:ascii="Calibri" w:cs="Calibri" w:eastAsia="Calibri" w:hAnsi="Calibri"/>
          <w:i w:val="1"/>
          <w:iCs w:val="1"/>
          <w:color w:val="5a6b75"/>
          <w:sz w:val="17"/>
          <w:szCs w:val="17"/>
          <w:rtl w:val="0"/>
        </w:rPr>
        <w:t xml:space="preserve">Gráfico 2 — Chamados abertos por vertical: semana do pico vs. anterior.</w:t>
      </w:r>
      <w:r>
        <w:rPr>
          <w:rtl w:val="0"/>
        </w:rPr>
      </w:r>
    </w:p>
    <w:tbl>
      <w:tblPr>
        <w:tblStyle w:val="Table3"/>
        <w:tblW w:w="9900.0" w:type="dxa"/>
        <w:jc w:val="left"/>
        <w:tblBorders>
          <w:top w:color="c9d3d9" w:space="0" w:sz="4" w:val="single"/>
          <w:left w:color="c9d3d9" w:space="0" w:sz="4" w:val="single"/>
          <w:bottom w:color="c9d3d9" w:space="0" w:sz="4" w:val="single"/>
          <w:right w:color="c9d3d9" w:space="0" w:sz="4" w:val="single"/>
          <w:insideH w:color="c9d3d9" w:space="0" w:sz="4" w:val="single"/>
          <w:insideV w:color="c9d3d9" w:space="0" w:sz="4" w:val="single"/>
        </w:tblBorders>
        <w:tblLayout w:type="fixed"/>
        <w:tblLook w:val="0000"/>
      </w:tblPr>
      <w:tblGrid>
        <w:gridCol w:w="2300"/>
        <w:gridCol w:w="1150"/>
        <w:gridCol w:w="1150"/>
        <w:gridCol w:w="1700"/>
        <w:gridCol w:w="1700"/>
        <w:gridCol w:w="1900"/>
        <w:tblGridChange w:id="0">
          <w:tblGrid>
            <w:gridCol w:w="2300"/>
            <w:gridCol w:w="1150"/>
            <w:gridCol w:w="1150"/>
            <w:gridCol w:w="1700"/>
            <w:gridCol w:w="1700"/>
            <w:gridCol w:w="190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E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Vertical</w:t>
            </w:r>
            <w:r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F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Abertos ant.</w:t>
            </w:r>
            <w:r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0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Abertos pico</w:t>
            </w:r>
            <w:r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1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Dúvidas (ant.→pico)</w:t>
            </w:r>
            <w:r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2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Produção (ant.→pico)</w:t>
            </w:r>
            <w:r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3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Backlog (ant.→pico)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4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Arrecadação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5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24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6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83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7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22 → 63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8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50 → 54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9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10 → 38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A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Pessoal</w:t>
            </w:r>
            <w:r>
              <w:rPr>
                <w:rtl w:val="0"/>
              </w:rPr>
            </w:r>
          </w:p>
        </w:tc>
        <w:tc>
          <w:tcPr>
            <w:shd w:fill="eef3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B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76</w:t>
            </w:r>
            <w:r>
              <w:rPr>
                <w:rtl w:val="0"/>
              </w:rPr>
            </w:r>
          </w:p>
        </w:tc>
        <w:tc>
          <w:tcPr>
            <w:shd w:fill="eef3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C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103</w:t>
            </w:r>
            <w:r>
              <w:rPr>
                <w:rtl w:val="0"/>
              </w:rPr>
            </w:r>
          </w:p>
        </w:tc>
        <w:tc>
          <w:tcPr>
            <w:shd w:fill="eef3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D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51 → 92</w:t>
            </w:r>
            <w:r>
              <w:rPr>
                <w:rtl w:val="0"/>
              </w:rPr>
            </w:r>
          </w:p>
        </w:tc>
        <w:tc>
          <w:tcPr>
            <w:shd w:fill="eef3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E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92 → 82</w:t>
            </w:r>
            <w:r>
              <w:rPr>
                <w:rtl w:val="0"/>
              </w:rPr>
            </w:r>
          </w:p>
        </w:tc>
        <w:tc>
          <w:tcPr>
            <w:shd w:fill="eef3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F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14 → 20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0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Contábil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1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37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2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77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3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30 → 69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4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34 → 63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5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10 → 4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6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Contratos</w:t>
            </w:r>
            <w:r>
              <w:rPr>
                <w:rtl w:val="0"/>
              </w:rPr>
            </w:r>
          </w:p>
        </w:tc>
        <w:tc>
          <w:tcPr>
            <w:shd w:fill="eef3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7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36</w:t>
            </w:r>
            <w:r>
              <w:rPr>
                <w:rtl w:val="0"/>
              </w:rPr>
            </w:r>
          </w:p>
        </w:tc>
        <w:tc>
          <w:tcPr>
            <w:shd w:fill="eef3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8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60</w:t>
            </w:r>
            <w:r>
              <w:rPr>
                <w:rtl w:val="0"/>
              </w:rPr>
            </w:r>
          </w:p>
        </w:tc>
        <w:tc>
          <w:tcPr>
            <w:shd w:fill="eef3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9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28 → 54</w:t>
            </w:r>
            <w:r>
              <w:rPr>
                <w:rtl w:val="0"/>
              </w:rPr>
            </w:r>
          </w:p>
        </w:tc>
        <w:tc>
          <w:tcPr>
            <w:shd w:fill="eef3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A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32 → 51</w:t>
            </w:r>
            <w:r>
              <w:rPr>
                <w:rtl w:val="0"/>
              </w:rPr>
            </w:r>
          </w:p>
        </w:tc>
        <w:tc>
          <w:tcPr>
            <w:shd w:fill="eef3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B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11 → 6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C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Demais (ISS, Atend. etc.)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D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11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E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18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F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9 → 15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0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1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7 → 6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ea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2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Total</w:t>
            </w:r>
            <w:r>
              <w:rPr>
                <w:rtl w:val="0"/>
              </w:rPr>
            </w:r>
          </w:p>
        </w:tc>
        <w:tc>
          <w:tcPr>
            <w:shd w:fill="dce6ea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3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184</w:t>
            </w:r>
            <w:r>
              <w:rPr>
                <w:rtl w:val="0"/>
              </w:rPr>
            </w:r>
          </w:p>
        </w:tc>
        <w:tc>
          <w:tcPr>
            <w:shd w:fill="dce6ea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4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341</w:t>
            </w:r>
            <w:r>
              <w:rPr>
                <w:rtl w:val="0"/>
              </w:rPr>
            </w:r>
          </w:p>
        </w:tc>
        <w:tc>
          <w:tcPr>
            <w:shd w:fill="dce6ea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5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140 → 293</w:t>
            </w:r>
            <w:r>
              <w:rPr>
                <w:rtl w:val="0"/>
              </w:rPr>
            </w:r>
          </w:p>
        </w:tc>
        <w:tc>
          <w:tcPr>
            <w:shd w:fill="dce6ea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6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221 → 267</w:t>
            </w:r>
            <w:r>
              <w:rPr>
                <w:rtl w:val="0"/>
              </w:rPr>
            </w:r>
          </w:p>
        </w:tc>
        <w:tc>
          <w:tcPr>
            <w:shd w:fill="dce6ea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7"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52 → 74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80" w:before="0" w:line="276" w:lineRule="auto"/>
        <w:jc w:val="both"/>
        <w:rPr/>
      </w:pPr>
      <w:r>
        <w:rPr>
          <w:rtl w:val="0"/>
        </w:rPr>
      </w:r>
    </w:p>
    <w:p w:rsidR="00000000" w:rsidDel="00000000" w:rsidP="00000000" w:rsidRDefault="00000000" w:rsidRPr="00000000" w14:paraId="00000079">
      <w:pPr>
        <w:spacing w:after="140" w:before="80" w:lineRule="auto"/>
        <w:jc w:val="both"/>
        <w:rPr/>
      </w:pPr>
      <w:r>
        <w:rPr/>
        <w:drawing>
          <wp:inline distB="0" distT="0" distL="0" distR="0">
            <wp:extent cx="5715000" cy="21526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7A">
      <w:pPr>
        <w:spacing w:after="200" w:lineRule="auto"/>
        <w:jc w:val="both"/>
        <w:rPr/>
      </w:pPr>
      <w:r>
        <w:rPr>
          <w:rFonts w:ascii="Calibri" w:cs="Calibri" w:eastAsia="Calibri" w:hAnsi="Calibri"/>
          <w:i w:val="1"/>
          <w:iCs w:val="1"/>
          <w:color w:val="5a6b75"/>
          <w:sz w:val="17"/>
          <w:szCs w:val="17"/>
          <w:rtl w:val="0"/>
        </w:rPr>
        <w:t xml:space="preserve">Gráfico 3 — Backlog por vertical no início e no fim da semana do pico.</w:t>
      </w:r>
      <w:r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130" w:before="260" w:lineRule="auto"/>
        <w:jc w:val="both"/>
        <w:rPr/>
      </w:pPr>
      <w:r>
        <w:rPr>
          <w:rFonts w:ascii="Calibri" w:cs="Calibri" w:eastAsia="Calibri" w:hAnsi="Calibri"/>
          <w:b w:val="1"/>
          <w:bCs w:val="1"/>
          <w:color w:val="1f3a5f"/>
          <w:sz w:val="25"/>
          <w:szCs w:val="25"/>
          <w:rtl w:val="0"/>
        </w:rPr>
        <w:t xml:space="preserve">Arrecadação — epicentro do problema</w:t>
      </w:r>
      <w:r>
        <w:rPr>
          <w:rtl w:val="0"/>
        </w:rPr>
      </w:r>
    </w:p>
    <w:p w:rsidR="00000000" w:rsidDel="00000000" w:rsidP="00000000" w:rsidRDefault="00000000" w:rsidRPr="00000000" w14:paraId="0000007C">
      <w:pPr>
        <w:spacing w:after="140" w:before="0" w:line="276" w:lineRule="auto"/>
        <w:jc w:val="both"/>
        <w:rPr/>
      </w:pPr>
      <w:r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Foi a vertical com maior salto relativo de aberturas: de 24 para 83 (+246%), com Dúvidas subindo de 22 para 63. A produção ficou praticamente estável (50 → 54), de modo que o backlog quase quadruplicou — de 10 para 38 —, respondendo sozinha por metade do backlog total da semana. É onde a demanda mais “passou por cima” da capacidade de resposta.</w:t>
      </w:r>
      <w:r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130" w:before="260" w:lineRule="auto"/>
        <w:jc w:val="both"/>
        <w:rPr/>
      </w:pPr>
      <w:r>
        <w:rPr>
          <w:rFonts w:ascii="Calibri" w:cs="Calibri" w:eastAsia="Calibri" w:hAnsi="Calibri"/>
          <w:b w:val="1"/>
          <w:bCs w:val="1"/>
          <w:color w:val="1f3a5f"/>
          <w:sz w:val="25"/>
          <w:szCs w:val="25"/>
          <w:rtl w:val="0"/>
        </w:rPr>
        <w:t xml:space="preserve">Pessoal — segundo foco de acúmulo</w:t>
      </w:r>
      <w:r>
        <w:rPr>
          <w:rtl w:val="0"/>
        </w:rPr>
      </w:r>
    </w:p>
    <w:p w:rsidR="00000000" w:rsidDel="00000000" w:rsidP="00000000" w:rsidRDefault="00000000" w:rsidRPr="00000000" w14:paraId="0000007E">
      <w:pPr>
        <w:spacing w:after="140" w:before="0" w:line="276" w:lineRule="auto"/>
        <w:jc w:val="both"/>
        <w:rPr/>
      </w:pPr>
      <w:r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As aberturas subiram de 76 para 103 (Dúvidas de 51 para 92). O ponto de atenção aqui é que a produção caiu no período (de 92 para 82) justamente quando a demanda crescia, elevando o backlog de 14 para 20. É o caso mais direto de “produção não acompanhou a demanda”: menos vazão com mais entrada.</w:t>
      </w:r>
      <w:r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130" w:before="260" w:lineRule="auto"/>
        <w:jc w:val="both"/>
        <w:rPr/>
      </w:pPr>
      <w:r>
        <w:rPr>
          <w:rFonts w:ascii="Calibri" w:cs="Calibri" w:eastAsia="Calibri" w:hAnsi="Calibri"/>
          <w:b w:val="1"/>
          <w:bCs w:val="1"/>
          <w:color w:val="1f3a5f"/>
          <w:sz w:val="25"/>
          <w:szCs w:val="25"/>
          <w:rtl w:val="0"/>
        </w:rPr>
        <w:t xml:space="preserve">Contábil e Contratos — absorveram o volume</w:t>
      </w:r>
      <w:r>
        <w:rPr>
          <w:rtl w:val="0"/>
        </w:rPr>
      </w:r>
    </w:p>
    <w:p w:rsidR="00000000" w:rsidDel="00000000" w:rsidP="00000000" w:rsidRDefault="00000000" w:rsidRPr="00000000" w14:paraId="00000080">
      <w:pPr>
        <w:spacing w:after="140" w:before="0" w:line="276" w:lineRule="auto"/>
        <w:jc w:val="both"/>
        <w:rPr/>
      </w:pPr>
      <w:r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Contábil praticamente dobrou as aberturas (37 → 77; Dúvidas 30 → 69), mas elevou a produção de 34 para 63 e reduziu o backlog de 10 para 4. Contratos seguiu o mesmo padrão (aberturas 36 → 60; produção 32 → 51; backlog 11 → 6). Ambas mostram que, quando a capacidade acompanha, o pico de dúvidas é absorvido sem acúmulo — um contraste útil para calibrar o dimensionamento de Arrecadação e Pessoal.</w:t>
      </w:r>
      <w:r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spacing w:after="130" w:before="260" w:lineRule="auto"/>
        <w:jc w:val="both"/>
        <w:rPr/>
      </w:pPr>
      <w:r>
        <w:rPr>
          <w:rFonts w:ascii="Calibri" w:cs="Calibri" w:eastAsia="Calibri" w:hAnsi="Calibri"/>
          <w:b w:val="1"/>
          <w:bCs w:val="1"/>
          <w:color w:val="1f3a5f"/>
          <w:sz w:val="25"/>
          <w:szCs w:val="25"/>
          <w:rtl w:val="0"/>
        </w:rPr>
        <w:t xml:space="preserve">Demais verticais</w:t>
      </w:r>
      <w:r>
        <w:rPr>
          <w:rtl w:val="0"/>
        </w:rPr>
      </w:r>
    </w:p>
    <w:p w:rsidR="00000000" w:rsidDel="00000000" w:rsidP="00000000" w:rsidRDefault="00000000" w:rsidRPr="00000000" w14:paraId="00000082">
      <w:pPr>
        <w:spacing w:after="140" w:before="0" w:line="276" w:lineRule="auto"/>
        <w:jc w:val="both"/>
        <w:rPr/>
      </w:pPr>
      <w:r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ISS, Atendimento e demais áreas tiveram participação pequena no volume (18 aberturas na semana do pico) e backlog estável (6). Não são determinantes para o resultado do período.</w:t>
      </w:r>
      <w:r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spacing w:after="130" w:before="260" w:lineRule="auto"/>
        <w:jc w:val="both"/>
        <w:rPr/>
      </w:pPr>
      <w:r>
        <w:rPr>
          <w:rFonts w:ascii="Calibri" w:cs="Calibri" w:eastAsia="Calibri" w:hAnsi="Calibri"/>
          <w:b w:val="1"/>
          <w:bCs w:val="1"/>
          <w:color w:val="1f3a5f"/>
          <w:sz w:val="30"/>
          <w:szCs w:val="30"/>
          <w:rtl w:val="0"/>
        </w:rPr>
        <w:t xml:space="preserve">5. Por que a produção não acompanhou a demanda</w:t>
      </w:r>
      <w:r>
        <w:rPr>
          <w:rtl w:val="0"/>
        </w:rPr>
      </w:r>
    </w:p>
    <w:p w:rsidR="00000000" w:rsidDel="00000000" w:rsidP="00000000" w:rsidRDefault="00000000" w:rsidRPr="00000000" w14:paraId="00000084">
      <w:pPr>
        <w:spacing w:after="120" w:before="0" w:line="276" w:lineRule="auto"/>
        <w:jc w:val="both"/>
        <w:rPr/>
      </w:pPr>
      <w:r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Em termos absolutos a produção subiu (221 → 267). O que houve foi um descompasso de ritmo e um remanejamento de esforço:</w:t>
      </w:r>
      <w:r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Demanda muito acima da vazão: 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as aberturas cresceram +85% enquanto a produção cresceu +21%. Só nas Dúvidas, entraram 293 e foram resolvidas 221 — sobra estrutural que vira backlog.</w:t>
      </w:r>
      <w:r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Canibalização das demais filas: 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para absorver as dúvidas, a produção de Dúvidas subiu +48%, mas a de incidentes de produto (−38%), incidentes de serviço (−30%) e serviços (−41%) caiu. A equipe foi puxada para a linha de frente de orientação, reduzindo a vazão nas outras frentes.</w:t>
      </w:r>
      <w:r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Base de comparação: 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 semana anterior (26/07–01/08) foi a mais baixa da série (recesso/férias de julho), o que amplifica a variação percentual. Ainda assim, 341 é um pico real frente à média (~250) das semanas anteriores.</w:t>
      </w:r>
      <w:r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Concentração do déficit: 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o crescimento do backlog está em Arrecadação (+28) e Pessoal (+6). As demais verticais mantiveram ou reduziram o backlog, ou seja, a falta de vazão não foi generalizada — foi específica dessas duas áreas.</w:t>
      </w:r>
      <w:r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spacing w:after="130" w:before="260" w:lineRule="auto"/>
        <w:jc w:val="both"/>
        <w:rPr/>
      </w:pPr>
      <w:r>
        <w:rPr>
          <w:rFonts w:ascii="Calibri" w:cs="Calibri" w:eastAsia="Calibri" w:hAnsi="Calibri"/>
          <w:b w:val="1"/>
          <w:bCs w:val="1"/>
          <w:color w:val="1f3a5f"/>
          <w:sz w:val="30"/>
          <w:szCs w:val="30"/>
          <w:rtl w:val="0"/>
        </w:rPr>
        <w:t xml:space="preserve">6. Hipóteses de causa-raiz a validar</w:t>
      </w:r>
      <w:r>
        <w:rPr>
          <w:rtl w:val="0"/>
        </w:rPr>
      </w:r>
    </w:p>
    <w:p w:rsidR="00000000" w:rsidDel="00000000" w:rsidP="00000000" w:rsidRDefault="00000000" w:rsidRPr="00000000" w14:paraId="0000008A">
      <w:pPr>
        <w:spacing w:after="120" w:before="0" w:line="276" w:lineRule="auto"/>
        <w:jc w:val="both"/>
        <w:rPr/>
      </w:pPr>
      <w:r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O indicador mostra o quê e o onde; o porquê exato do gatilho de dúvidas precisa ser confirmado nos assuntos dos chamados (Jira) e com os líderes de cada vertical. As hipóteses mais aderentes ao padrão observado são:</w:t>
      </w:r>
      <w:r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Sazonalidade / retomada pós-recesso: 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início de agosto após a semana de menor volume de julho — represamento de dúvidas e retorno de equipes das entidades geram repique concentrado.</w:t>
      </w:r>
      <w:r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Virada de competência / prazos: 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obrigações e rotinas de início de mês em Arrecadação, Pessoal e Contábil (fechamentos, guias, competências) tendem a concentrar dúvidas nessas verticais — exatamente as que mais subiram.</w:t>
      </w:r>
      <w:r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Atualização de versão / mudança de tela ou regra: 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como o pico é de dúvidas (não de incidentes), uma alteração recente de comportamento/layout que gerou insegurança de uso é candidata forte. Checar releases dos sistemas dessas verticais na virada de julho/agosto.</w:t>
      </w:r>
      <w:r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Capacidade reduzida em Arrecadação e Pessoal: 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férias/ausências ou realocação de analistas nessas duas equipes explicariam por que só nelas o backlog cresceu. Vale cruzar com o apontamento de horas/escala do período.</w:t>
      </w:r>
      <w:r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spacing w:after="130" w:before="260" w:lineRule="auto"/>
        <w:jc w:val="both"/>
        <w:rPr/>
      </w:pPr>
      <w:r>
        <w:rPr>
          <w:rFonts w:ascii="Calibri" w:cs="Calibri" w:eastAsia="Calibri" w:hAnsi="Calibri"/>
          <w:b w:val="1"/>
          <w:bCs w:val="1"/>
          <w:color w:val="1f3a5f"/>
          <w:sz w:val="30"/>
          <w:szCs w:val="30"/>
          <w:rtl w:val="0"/>
        </w:rPr>
        <w:t xml:space="preserve">7. Recomendações</w:t>
      </w:r>
      <w:r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Confirmar o gatilho: 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extrair no Jira os assuntos das Dúvidas abertas em 02–08/08 nas verticais Arrecadação, Pessoal, Contábil e Contratos, agrupando por sistema/funcionalidade para identificar o tema dominante.</w:t>
      </w:r>
      <w:r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Reforço direcionado: 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priorizar capacidade em Arrecadação e Pessoal (onde o backlog cresceu), inclusive com mutirão de dúvidas, até normalizar o backlog aos ~52 da semana anterior.</w:t>
      </w:r>
      <w:r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Ação preventiva de autoatendimento: 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se confirmada uma mudança de versão/prazo, publicar FAQ/comunicado e orientações proativas para conter a reincidência de dúvidas iguais.</w:t>
      </w:r>
      <w:r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Proteger as demais filas: 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monitorar incidentes e serviços, cuja vazão caiu 30–41% no período por remanejamento — evitar que o backlog migre para essas frentes.</w:t>
      </w:r>
      <w:r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Replicar o que deu certo: 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entender como Contábil e Contratos absorveram o pico sem acúmulo e aplicar o aprendizado no dimensionamento de Arrecadação e Pessoal.</w:t>
      </w:r>
      <w:r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130" w:before="260" w:lineRule="auto"/>
        <w:jc w:val="both"/>
        <w:rPr/>
      </w:pPr>
      <w:r>
        <w:rPr>
          <w:rFonts w:ascii="Calibri" w:cs="Calibri" w:eastAsia="Calibri" w:hAnsi="Calibri"/>
          <w:b w:val="1"/>
          <w:bCs w:val="1"/>
          <w:color w:val="1f3a5f"/>
          <w:sz w:val="25"/>
          <w:szCs w:val="25"/>
          <w:rtl w:val="0"/>
        </w:rPr>
        <w:t xml:space="preserve">Observações</w:t>
      </w:r>
      <w:r>
        <w:rPr>
          <w:rtl w:val="0"/>
        </w:rPr>
      </w:r>
    </w:p>
    <w:p w:rsidR="00000000" w:rsidDel="00000000" w:rsidP="00000000" w:rsidRDefault="00000000" w:rsidRPr="00000000" w14:paraId="00000096">
      <w:pPr>
        <w:spacing w:after="80" w:before="0" w:line="276" w:lineRule="auto"/>
        <w:jc w:val="both"/>
        <w:rPr/>
      </w:pPr>
      <w:r>
        <w:rPr>
          <w:rFonts w:ascii="Calibri" w:cs="Calibri" w:eastAsia="Calibri" w:hAnsi="Calibri"/>
          <w:i w:val="1"/>
          <w:iCs w:val="1"/>
          <w:color w:val="5a6b75"/>
          <w:sz w:val="18"/>
          <w:szCs w:val="18"/>
          <w:rtl w:val="0"/>
        </w:rPr>
        <w:t xml:space="preserve">Todos os números referem-se ao Portfólio Pequenas Contas, conforme filtros do indicador. “Semana anterior” = 26/07 a 01/08/2026; “semana do pico” = 02 a 08/08/2026. A validação da causa-raiz depende da leitura dos chamados no Jira, não disponível nesta análise por indisponibilidade momentânea da conexão. Backlog é a fotografia ao fim de cada semana (soma de Suporte + Serviços).</w:t>
      </w:r>
      <w:r>
        <w:rPr>
          <w:rtl w:val="0"/>
        </w:rPr>
      </w:r>
    </w:p>
    <w:p>
      <w:pPr>
        <w:pStyle w:val="Heading1"/>
        <w:spacing w:after="130" w:before="260" w:lineRule="auto"/>
        <w:jc w:val="both"/>
        <w:rPr/>
      </w:pPr>
      <w:r>
        <w:rPr>
          <w:rFonts w:ascii="Calibri" w:cs="Calibri" w:eastAsia="Calibri" w:hAnsi="Calibri"/>
          <w:b w:val="1"/>
          <w:bCs w:val="1"/>
          <w:color w:val="1f3a5f"/>
          <w:sz w:val="30"/>
          <w:szCs w:val="30"/>
          <w:rtl w:val="0"/>
        </w:rPr>
        <w:t xml:space="preserve">8. Top 10 de assuntos das Dúvidas por vertical (Jira)</w:t>
      </w:r>
    </w:p>
    <w:p>
      <w:pPr>
        <w:spacing w:after="80" w:before="0" w:line="276" w:lineRule="auto"/>
        <w:jc w:val="both"/>
        <w:rPr/>
      </w:pPr>
      <w:r>
        <w:rPr>
          <w:rFonts w:ascii="Calibri" w:cs="Calibri" w:eastAsia="Calibri" w:hAnsi="Calibri"/>
          <w:b w:val="0"/>
          <w:bCs w:val="0"/>
          <w:color w:val="222222"/>
          <w:sz w:val="21"/>
          <w:szCs w:val="21"/>
          <w:rtl w:val="0"/>
        </w:rPr>
        <w:t xml:space="preserve">Em atendimento à recomendação da Seção 7, os chamados foram extraídos diretamente do Jira (tipo Dúvida, Portfólio Pequenas Contas, verticais Arrecadação e Pessoal, criados entre 02 e 08/08/2026) e agrupados por assunto/funcionalidade a partir do resumo do chamado e do sistema de origem. A extração retornou 59 Dúvidas em Arrecadação e 90 em Pessoal — próximas, mas ligeiramente abaixo das 63 e 92 do indicador BI DAS (foto de 09/08), diferença atribuível a movimentações de vertical/portfólio e triagens ocorridas após o fechamento da semana.</w:t>
      </w:r>
    </w:p>
    <w:p>
      <w:pPr>
        <w:pStyle w:val="Heading2"/>
        <w:spacing w:after="80" w:before="200" w:lineRule="auto"/>
        <w:jc w:val="both"/>
        <w:rPr/>
      </w:pPr>
      <w:r>
        <w:rPr>
          <w:rFonts w:ascii="Calibri" w:cs="Calibri" w:eastAsia="Calibri" w:hAnsi="Calibri"/>
          <w:b w:val="1"/>
          <w:bCs w:val="1"/>
          <w:color w:val="1f3a5f"/>
          <w:sz w:val="24"/>
          <w:szCs w:val="24"/>
          <w:rtl w:val="0"/>
        </w:rPr>
        <w:t xml:space="preserve">Top 10 assuntos — Arrecadação</w:t>
      </w:r>
    </w:p>
    <w:p>
      <w:pPr>
        <w:spacing w:after="80" w:before="0" w:line="276" w:lineRule="auto"/>
        <w:jc w:val="both"/>
        <w:rPr/>
      </w:pPr>
      <w:r>
        <w:rPr>
          <w:rFonts w:ascii="Calibri" w:cs="Calibri" w:eastAsia="Calibri" w:hAnsi="Calibri"/>
          <w:b w:val="0"/>
          <w:bCs w:val="0"/>
          <w:color w:val="222222"/>
          <w:sz w:val="21"/>
          <w:szCs w:val="21"/>
          <w:rtl w:val="0"/>
        </w:rPr>
        <w:t xml:space="preserve">Entre as 59 Dúvidas de Arrecadação, o tema dominante é o cumprimento de obrigações com o TCE — e-Sfinge, validação de CONs e prestação de contas —, que sozinho responde por quase um terço dos chamados (18; 30,5%). Na sequência vêm as rotinas tributárias do período: lançamentos/IPTU (8; 13,6%) e cadastro/validação de imóveis (6; 10,2%), além de integração contábil (6; 10,2%). O padrão reforça a hipótese de virada de competência: a maior parte das dúvidas gira em torno do envio de julho/2026 ao TCE e das rotinas de lançamento do mês.</w:t>
      </w:r>
    </w:p>
    <w:tbl>
      <w:tblPr>
        <w:tblStyle w:val="Table1"/>
        <w:tblW w:w="9200.0" w:type="dxa"/>
        <w:jc w:val="left"/>
        <w:tblBorders>
          <w:top w:color="c9d3d9" w:space="0" w:sz="4" w:val="single"/>
          <w:left w:color="c9d3d9" w:space="0" w:sz="4" w:val="single"/>
          <w:bottom w:color="c9d3d9" w:space="0" w:sz="4" w:val="single"/>
          <w:right w:color="c9d3d9" w:space="0" w:sz="4" w:val="single"/>
          <w:insideH w:color="c9d3d9" w:space="0" w:sz="4" w:val="single"/>
          <w:insideV w:color="c9d3d9" w:space="0" w:sz="4" w:val="single"/>
        </w:tblBorders>
        <w:tblLayout w:type="fixed"/>
        <w:tblLook w:val="0000"/>
      </w:tblPr>
      <w:tblGrid>
        <w:gridCol w:w="6200"/>
        <w:gridCol w:w="1500"/>
        <w:gridCol w:w="1500"/>
      </w:tblGrid>
      <w:tr>
        <w:trPr>
          <w:cantSplit w:val="0"/>
          <w:tblHeader w:val="1"/>
        </w:trPr>
        <w:tc>
          <w:tcPr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Assunto / funcionalidade</w:t>
            </w:r>
          </w:p>
        </w:tc>
        <w:tc>
          <w:tcPr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Qtde</w:t>
            </w:r>
          </w:p>
        </w:tc>
        <w:tc>
          <w:tcPr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% da vertical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e-Sfinge / TCE / validação de CONs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center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center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30,5%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Lançamentos / IPTU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center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center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13,6%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Cadastro imobiliário / validação de imóveis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center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center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10,2%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Integração contábil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center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center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10,2%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Baixa de pagamentos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center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center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6,8%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Integrações e obrigações externas (SINTER, Receita, Bombeiros)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center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center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6,8%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Dívida ativa / parcelamentos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center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center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5,1%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NFS-e / guias / PIX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center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center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3,4%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Relatórios / isenção / convênios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center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center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3,4%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Outros (acesso, cadastro econômico, geração de dados, apoio)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center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center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10,2%</w:t>
            </w:r>
          </w:p>
        </w:tc>
      </w:tr>
      <w:tr>
        <w:trPr>
          <w:cantSplit w:val="0"/>
          <w:tblHeader w:val="0"/>
        </w:trPr>
        <w:tc>
          <w:tcPr>
            <w:shd w:fill="eef2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Total Arrecadação</w:t>
            </w:r>
          </w:p>
        </w:tc>
        <w:tc>
          <w:tcPr>
            <w:shd w:fill="eef2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59</w:t>
            </w:r>
          </w:p>
        </w:tc>
        <w:tc>
          <w:tcPr>
            <w:shd w:fill="eef2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100%</w:t>
            </w:r>
          </w:p>
        </w:tc>
      </w:tr>
    </w:tbl>
    <w:p>
      <w:pPr>
        <w:spacing w:after="0" w:before="0"/>
        <w:rPr/>
      </w:pPr>
    </w:p>
    <w:p>
      <w:pPr>
        <w:spacing w:after="120" w:before="0" w:line="276" w:lineRule="auto"/>
        <w:jc w:val="both"/>
        <w:rPr/>
      </w:pPr>
      <w:r>
        <w:rPr>
          <w:rFonts w:ascii="Calibri" w:cs="Calibri" w:eastAsia="Calibri" w:hAnsi="Calibri"/>
          <w:i w:val="1"/>
          <w:iCs w:val="1"/>
          <w:color w:val="5a6b75"/>
          <w:sz w:val="18"/>
          <w:szCs w:val="18"/>
          <w:rtl w:val="0"/>
        </w:rPr>
        <w:t xml:space="preserve">Tabela 8.1 — Top 10 assuntos das Dúvidas de Arrecadação (02–08/08/2026). Fonte: Jira, extração direta.</w:t>
      </w:r>
    </w:p>
    <w:p>
      <w:pPr>
        <w:pStyle w:val="Heading2"/>
        <w:spacing w:after="80" w:before="200" w:lineRule="auto"/>
        <w:jc w:val="both"/>
        <w:rPr/>
      </w:pPr>
      <w:r>
        <w:rPr>
          <w:rFonts w:ascii="Calibri" w:cs="Calibri" w:eastAsia="Calibri" w:hAnsi="Calibri"/>
          <w:b w:val="1"/>
          <w:bCs w:val="1"/>
          <w:color w:val="1f3a5f"/>
          <w:sz w:val="24"/>
          <w:szCs w:val="24"/>
          <w:rtl w:val="0"/>
        </w:rPr>
        <w:t xml:space="preserve">Top 10 assuntos — Pessoal</w:t>
      </w:r>
    </w:p>
    <w:p>
      <w:pPr>
        <w:spacing w:after="80" w:before="0" w:line="276" w:lineRule="auto"/>
        <w:jc w:val="both"/>
        <w:rPr/>
      </w:pPr>
      <w:r>
        <w:rPr>
          <w:rFonts w:ascii="Calibri" w:cs="Calibri" w:eastAsia="Calibri" w:hAnsi="Calibri"/>
          <w:b w:val="0"/>
          <w:bCs w:val="0"/>
          <w:color w:val="222222"/>
          <w:sz w:val="21"/>
          <w:szCs w:val="21"/>
          <w:rtl w:val="0"/>
        </w:rPr>
        <w:t xml:space="preserve">Nas 90 Dúvidas de Pessoal o quadro é semelhante e igualmente concentrado em obrigações legais: e-Sfinge/TCE (24; 26,7%) e eSocial (17; 18,9%) somam quase metade dos chamados. A folha propriamente dita — férias, rescisão, 13º e cálculos (14; 15,6%) — e os encargos e tributos INSS/FGTS/IR (10; 11,1%) completam o núcleo. Também aqui o gatilho é o fechamento da competência 07/2026 e os envios aos órgãos de controle, mais do que falhas de produto.</w:t>
      </w:r>
    </w:p>
    <w:tbl>
      <w:tblPr>
        <w:tblStyle w:val="Table1"/>
        <w:tblW w:w="9200.0" w:type="dxa"/>
        <w:jc w:val="left"/>
        <w:tblBorders>
          <w:top w:color="c9d3d9" w:space="0" w:sz="4" w:val="single"/>
          <w:left w:color="c9d3d9" w:space="0" w:sz="4" w:val="single"/>
          <w:bottom w:color="c9d3d9" w:space="0" w:sz="4" w:val="single"/>
          <w:right w:color="c9d3d9" w:space="0" w:sz="4" w:val="single"/>
          <w:insideH w:color="c9d3d9" w:space="0" w:sz="4" w:val="single"/>
          <w:insideV w:color="c9d3d9" w:space="0" w:sz="4" w:val="single"/>
        </w:tblBorders>
        <w:tblLayout w:type="fixed"/>
        <w:tblLook w:val="0000"/>
      </w:tblPr>
      <w:tblGrid>
        <w:gridCol w:w="6200"/>
        <w:gridCol w:w="1500"/>
        <w:gridCol w:w="1500"/>
      </w:tblGrid>
      <w:tr>
        <w:trPr>
          <w:cantSplit w:val="0"/>
          <w:tblHeader w:val="1"/>
        </w:trPr>
        <w:tc>
          <w:tcPr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Assunto / funcionalidade</w:t>
            </w:r>
          </w:p>
        </w:tc>
        <w:tc>
          <w:tcPr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Qtde</w:t>
            </w:r>
          </w:p>
        </w:tc>
        <w:tc>
          <w:tcPr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% da vertical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e-Sfinge / TCE (CONs, restrições, ingressos)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center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center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26,7%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eSocial (eventos, remuneração, domínios, rubricas)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center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center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18,9%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Folha (férias, rescisão, 13º, cálculos, afastamentos)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center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center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15,6%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Encargos e tributos (INSS / FGTS / IR)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center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center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11,1%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RH (admissão, concurso, tempo de serviço, vínculos)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center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center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7,8%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Ponto / Pontual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center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center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6,7%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Integração contábil / SIOPE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center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center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6,7%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Outros (token, documentos, apoio)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center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center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6,7%</w:t>
            </w:r>
          </w:p>
        </w:tc>
      </w:tr>
      <w:tr>
        <w:trPr>
          <w:cantSplit w:val="0"/>
          <w:tblHeader w:val="0"/>
        </w:trPr>
        <w:tc>
          <w:tcPr>
            <w:shd w:fill="eef2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both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Total Pessoal</w:t>
            </w:r>
          </w:p>
        </w:tc>
        <w:tc>
          <w:tcPr>
            <w:shd w:fill="eef2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shd w:fill="eef2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0" w:line="25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100%</w:t>
            </w:r>
          </w:p>
        </w:tc>
      </w:tr>
    </w:tbl>
    <w:p>
      <w:pPr>
        <w:spacing w:after="0" w:before="0"/>
        <w:rPr/>
      </w:pPr>
    </w:p>
    <w:p>
      <w:pPr>
        <w:spacing w:after="120" w:before="0" w:line="276" w:lineRule="auto"/>
        <w:jc w:val="both"/>
        <w:rPr/>
      </w:pPr>
      <w:r>
        <w:rPr>
          <w:rFonts w:ascii="Calibri" w:cs="Calibri" w:eastAsia="Calibri" w:hAnsi="Calibri"/>
          <w:i w:val="1"/>
          <w:iCs w:val="1"/>
          <w:color w:val="5a6b75"/>
          <w:sz w:val="18"/>
          <w:szCs w:val="18"/>
          <w:rtl w:val="0"/>
        </w:rPr>
        <w:t xml:space="preserve">Tabela 8.2 — Top 10 assuntos das Dúvidas de Pessoal (02–08/08/2026). Fonte: Jira, extração direta.</w:t>
      </w:r>
    </w:p>
    <w:p>
      <w:pPr>
        <w:spacing w:after="80" w:before="0" w:line="276" w:lineRule="auto"/>
        <w:jc w:val="both"/>
        <w:rPr/>
      </w:pPr>
      <w:r>
        <w:rPr>
          <w:rFonts w:ascii="Calibri" w:cs="Calibri" w:eastAsia="Calibri" w:hAnsi="Calibri"/>
          <w:b w:val="0"/>
          <w:bCs w:val="0"/>
          <w:color w:val="222222"/>
          <w:sz w:val="21"/>
          <w:szCs w:val="21"/>
          <w:rtl w:val="0"/>
        </w:rPr>
        <w:t xml:space="preserve">Leitura conjunta: em ambas as verticais, cerca de 4 em cada 10 dúvidas se referem a e-Sfinge/TCE, o que aponta o envio da competência 07/2026 aos órgãos de controle como principal gatilho do pico da semana. Uma ação preventiva de autoatendimento (FAQ e comunicado de fechamento) focada nesses temas tende a conter boa parte da reincidência nas próximas viradas de mês.</w:t>
      </w:r>
    </w:p>
    <w:sectPr>
      <w:pgSz w:h="15840" w:w="12240" w:orient="portrait"/>
      <w:pgMar w:bottom="1000" w:top="10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