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5A6B75"/>
          <w:sz w:val="18"/>
          <w:szCs w:val="18"/>
        </w:rPr>
        <w:t xml:space="preserve">BETHA SISTEMAS — DAS · COORDENAÇÃO DE PORTFÓLIO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4"/>
          <w:szCs w:val="34"/>
        </w:rPr>
        <w:t xml:space="preserve">Investigação do Crescimento de Dúvidas — Semana 02 a 08/08/2026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2"/>
          <w:szCs w:val="22"/>
        </w:rPr>
        <w:t xml:space="preserve">Comparativo com a semana anterior (26/07 a 01/08/2026) · Portfólios Pequenas Contas, Médias Contas, SC/SP e SC/MG · foco em Arrecadação, Pessoal e Contábil</w:t>
      </w:r>
    </w:p>
    <w:p>
      <w:pPr>
        <w:spacing w:after="12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Fonte: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extração direta no Jira (jira-atendimento), tipo Dúvida, campo Portfólio de Atendimento. </w:t>
      </w: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Escopo (alinhado ao BI DAS):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os quatro portfólios acima; exceto a equipe Residente; exceto as verticais Educação e Saúde. Totais ancorados no BI DAS.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19"/>
          <w:szCs w:val="19"/>
        </w:rPr>
        <w:t xml:space="preserve">Elaborado em 10/08/2026.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1. Resumo executivo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Aplicado o mesmo recorte do BI DAS (exceto a equipe Residente; exceto as verticais Educação e Saúde), as Dúvidas abertas nos quatro portfólios passaram de 726 para 1.000 de uma semana para a outra — alta de 274 chamados (+38%), conforme o indicador oficial. A extração no Jira com esse mesmo filtro soma 736 → 1.008 (cerca de 1% acima), diferença que corresponde apenas à variação natural dos dados entre a foto do BI (09/08) e a extração (10/08); a composição a seguir usa os dados do Jira.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 crescimento não foi generalizado: três verticais — Contábil (+90), Arrecadação (+86) e Pessoal (+73) — respondem por cerca de 91% de todo o aumento. Contratos ficou estável (na verdade recuou levemente) e as demais verticais tiveram peso pequeno.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Nas duas verticais que o Diretor pediu para aprofundar, um mesmo tema explica a maior parte do salto: e-Sfinge / TCE / validação de CONs cresceu +36 em Arrecadação e +37 em Pessoal (de 14 para ~50 em cada). Somados, esses +73 equivalem a cerca de 46% do crescimento conjunto das duas verticais. Em segundo plano aparecem, em Pessoal, o eSocial (+25) e os encargos INSS/FGTS/IR (+12); em Arrecadação, integração contábil (+9), baixa de pagamentos (+7), dívida ativa (+7) e lançamentos/IPTU (+7). O padrão aponta um gatilho comum e sazonal: o fechamento e o envio da competência 07/2026 aos órgãos de controle (TCE via e-Sfinge e eSocial), e não uma falha de produto.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2. Panorama dos quatro portfólios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O aumento concentra-se nos portfólios de contas diretas: Pequenas praticamente dobrou (+102%) e Médias cresceu quase pela metade (+45%). SC/MG subiu pouco (+20%) e SC/SP até recuou (−11%), indicando que o fenômeno é sobretudo do atendimento direto das filiais, e não das revendas. Os totais estão ancorados no BI (726 → 1.000); a extração Jira com o mesmo filtro soma 736 → 1.008 (≈1% de drift de foto), base da composição abaixo.</w:t>
      </w:r>
    </w:p>
    <w:p>
      <w:pPr>
        <w:spacing w:after="40" w:before="40"/>
        <w:jc w:val="center"/>
      </w:pPr>
      <w:r>
        <w:drawing>
          <wp:inline distT="0" distB="0" distL="0" distR="0">
            <wp:extent cx="5715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Gráfico 1 — Dúvidas por portfólio: semana anterior vs. semana do pico.</w:t>
      </w:r>
    </w:p>
    <w:tbl>
      <w:tblPr>
        <w:tblW w:type="dxa" w:w="9600"/>
        <w:tblBorders>
          <w:top w:val="single" w:color="C9D3D9" w:sz="4"/>
          <w:left w:val="single" w:color="C9D3D9" w:sz="4"/>
          <w:bottom w:val="single" w:color="C9D3D9" w:sz="4"/>
          <w:right w:val="single" w:color="C9D3D9" w:sz="4"/>
          <w:insideH w:val="single" w:color="auto" w:sz="4"/>
          <w:insideV w:val="single" w:color="auto" w:sz="4"/>
        </w:tblBorders>
        <w:tblLayout w:type="fixed"/>
      </w:tblPr>
      <w:tblGrid>
        <w:gridCol w:w="40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40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Portfólio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ant.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pico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Δ%</w:t>
            </w:r>
          </w:p>
        </w:tc>
      </w:tr>
      <w:tr>
        <w:tc>
          <w:tcPr>
            <w:tcW w:type="dxa" w:w="40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Pequenas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141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285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+144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+102%</w:t>
            </w:r>
          </w:p>
        </w:tc>
      </w:tr>
      <w:tr>
        <w:tc>
          <w:tcPr>
            <w:tcW w:type="dxa" w:w="40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Médias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253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368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+115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+45%</w:t>
            </w:r>
          </w:p>
        </w:tc>
      </w:tr>
      <w:tr>
        <w:tc>
          <w:tcPr>
            <w:tcW w:type="dxa" w:w="40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SC/MG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164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196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+32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+20%</w:t>
            </w:r>
          </w:p>
        </w:tc>
      </w:tr>
      <w:tr>
        <w:tc>
          <w:tcPr>
            <w:tcW w:type="dxa" w:w="40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SC/SP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178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159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-19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-11%</w:t>
            </w:r>
          </w:p>
        </w:tc>
      </w:tr>
      <w:tr>
        <w:tc>
          <w:tcPr>
            <w:tcW w:type="dxa" w:w="40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Total Jira (filtro BI)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736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1008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+272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+37%</w:t>
            </w:r>
          </w:p>
        </w:tc>
      </w:tr>
      <w:tr>
        <w:tc>
          <w:tcPr>
            <w:tcW w:type="dxa" w:w="40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Referência BI DAS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726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1.000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+274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+38%</w:t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Tabela 1 — Dúvidas por portfólio (composição Jira). Total ancorado no BI DAS; diferença de ~1% é drift de foto (09/08 vs. 10/08).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3. Onde o crescimento se concentrou: por vertical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Distribuindo o aumento (+272 no Jira; +274 no BI) pelas verticais, três áreas explicam cerca de 91% do salto: Contábil (+90), Arrecadação (+86) e Pessoal (+73). Arrecadação e Pessoal — foco desta análise — somam 58% do crescimento; Contábil, de peso equivalente, é o maior vetor isolado e está detalhada na Seção 6. As demais verticais tiveram participação pequena, e Contratos recuou.</w:t>
      </w:r>
    </w:p>
    <w:p>
      <w:pPr>
        <w:spacing w:after="40" w:before="40"/>
        <w:jc w:val="center"/>
      </w:pPr>
      <w:r>
        <w:drawing>
          <wp:inline distT="0" distB="0" distL="0" distR="0">
            <wp:extent cx="5715000" cy="2390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9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Gráfico 2 — Contribuição de cada vertical ao crescimento (Δ). Em destaque, Arrecadação e Pessoal.</w:t>
      </w:r>
    </w:p>
    <w:tbl>
      <w:tblPr>
        <w:tblW w:type="dxa" w:w="9600"/>
        <w:tblBorders>
          <w:top w:val="single" w:color="C9D3D9" w:sz="4"/>
          <w:left w:val="single" w:color="C9D3D9" w:sz="4"/>
          <w:bottom w:val="single" w:color="C9D3D9" w:sz="4"/>
          <w:right w:val="single" w:color="C9D3D9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1500"/>
        <w:gridCol w:w="1500"/>
        <w:gridCol w:w="1400"/>
        <w:gridCol w:w="1600"/>
      </w:tblGrid>
      <w:tr>
        <w:trPr>
          <w:tblHeader/>
        </w:trPr>
        <w:tc>
          <w:tcPr>
            <w:tcW w:type="dxa" w:w="3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Vertical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ant.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pico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</w:t>
            </w:r>
          </w:p>
        </w:tc>
        <w:tc>
          <w:tcPr>
            <w:tcW w:type="dxa" w:w="1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% do Δ total</w:t>
            </w:r>
          </w:p>
        </w:tc>
      </w:tr>
      <w:tr>
        <w:tc>
          <w:tcPr>
            <w:tcW w:type="dxa" w:w="3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Contábil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128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218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+90</w:t>
            </w:r>
          </w:p>
        </w:tc>
        <w:tc>
          <w:tcPr>
            <w:tcW w:type="dxa" w:w="1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33%</w:t>
            </w:r>
          </w:p>
        </w:tc>
      </w:tr>
      <w:tr>
        <w:tc>
          <w:tcPr>
            <w:tcW w:type="dxa" w:w="3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Arrecadação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113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199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+86</w:t>
            </w:r>
          </w:p>
        </w:tc>
        <w:tc>
          <w:tcPr>
            <w:tcW w:type="dxa" w:w="1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32%</w:t>
            </w:r>
          </w:p>
        </w:tc>
      </w:tr>
      <w:tr>
        <w:tc>
          <w:tcPr>
            <w:tcW w:type="dxa" w:w="3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Pessoal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224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297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+73</w:t>
            </w:r>
          </w:p>
        </w:tc>
        <w:tc>
          <w:tcPr>
            <w:tcW w:type="dxa" w:w="1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27%</w:t>
            </w:r>
          </w:p>
        </w:tc>
      </w:tr>
      <w:tr>
        <w:tc>
          <w:tcPr>
            <w:tcW w:type="dxa" w:w="3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ISS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52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68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+16</w:t>
            </w:r>
          </w:p>
        </w:tc>
        <w:tc>
          <w:tcPr>
            <w:tcW w:type="dxa" w:w="1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6%</w:t>
            </w:r>
          </w:p>
        </w:tc>
      </w:tr>
      <w:tr>
        <w:tc>
          <w:tcPr>
            <w:tcW w:type="dxa" w:w="3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Atendimento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+6</w:t>
            </w:r>
          </w:p>
        </w:tc>
        <w:tc>
          <w:tcPr>
            <w:tcW w:type="dxa" w:w="1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3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Contratos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175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170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-5</w:t>
            </w:r>
          </w:p>
        </w:tc>
        <w:tc>
          <w:tcPr>
            <w:tcW w:type="dxa" w:w="1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-2%</w:t>
            </w:r>
          </w:p>
        </w:tc>
      </w:tr>
      <w:tr>
        <w:tc>
          <w:tcPr>
            <w:tcW w:type="dxa" w:w="3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Demais verticais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+6</w:t>
            </w:r>
          </w:p>
        </w:tc>
        <w:tc>
          <w:tcPr>
            <w:tcW w:type="dxa" w:w="1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2%</w:t>
            </w:r>
          </w:p>
        </w:tc>
      </w:tr>
      <w:tr>
        <w:tc>
          <w:tcPr>
            <w:tcW w:type="dxa" w:w="3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Total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736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1008</w:t>
            </w:r>
          </w:p>
        </w:tc>
        <w:tc>
          <w:tcPr>
            <w:tcW w:type="dxa" w:w="14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+272</w:t>
            </w:r>
          </w:p>
        </w:tc>
        <w:tc>
          <w:tcPr>
            <w:tcW w:type="dxa" w:w="16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100%</w:t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Tabela 2 — Aumento de Dúvidas por vertical e participação no crescimento total.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4. Arrecadação a fundo (+86; +76%)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Arrecadação passou de 113 para 199 Dúvidas. Praticamente todo o volume está no sistema Tributos (Cloud), que cresceu de 104 para 189 (+85) — ou seja, o aumento da vertical é o aumento do Tributos. Por portfólio, o crescimento veio de Médias (+42) e Pequenas (+36); SC/SP (+6) e SC/MG (+2) contribuíram pouco.</w:t>
      </w:r>
    </w:p>
    <w:p>
      <w:pPr>
        <w:spacing w:after="40" w:before="40"/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Gráfico 3 — Arrecadação: temas que mais cresceram (Δ de Dúvidas).</w:t>
      </w:r>
    </w:p>
    <w:tbl>
      <w:tblPr>
        <w:tblW w:type="dxa" w:w="9600"/>
        <w:tblBorders>
          <w:top w:val="single" w:color="C9D3D9" w:sz="4"/>
          <w:left w:val="single" w:color="C9D3D9" w:sz="4"/>
          <w:bottom w:val="single" w:color="C9D3D9" w:sz="4"/>
          <w:right w:val="single" w:color="C9D3D9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800"/>
        <w:gridCol w:w="1800"/>
        <w:gridCol w:w="1800"/>
      </w:tblGrid>
      <w:tr>
        <w:trPr>
          <w:tblHeader/>
        </w:trP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Portfólio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ant.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pico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Médias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51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93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+42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Pequenas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58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+36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SC/SP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18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SC/MG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28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Total Arrecadação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113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199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+86</w:t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Tabela 3 — Arrecadação por portfólio.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Pelos temas dos chamados, o motor do crescimento é o cumprimento de obrigações com o TCE (e-Sfinge e validação de CONs), que saltou de 14 para 50 (+36) — sozinho, mais de 40% do aumento da vertical. Em seguida vêm integração contábil (+9), baixa de pagamentos (+7), dívida ativa/parcelamentos (+7) e lançamentos/IPTU (+7). O bloco de dúvidas de rotina (diversas orientações de uso) manteve-se praticamente estável (+9), reforçando que o salto veio de temas específicos, e não de um aumento difuso.</w:t>
      </w:r>
    </w:p>
    <w:tbl>
      <w:tblPr>
        <w:tblW w:type="dxa" w:w="9600"/>
        <w:tblBorders>
          <w:top w:val="single" w:color="C9D3D9" w:sz="4"/>
          <w:left w:val="single" w:color="C9D3D9" w:sz="4"/>
          <w:bottom w:val="single" w:color="C9D3D9" w:sz="4"/>
          <w:right w:val="single" w:color="C9D3D9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1500"/>
        <w:gridCol w:w="1500"/>
        <w:gridCol w:w="1800"/>
      </w:tblGrid>
      <w:tr>
        <w:trPr>
          <w:tblHeader/>
        </w:trP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Tema / funcionalidade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ant.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pico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e-Sfinge / TCE / CONs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+36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Integração contábil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+9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Baixa de pagamentos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+7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Dívida ativa / parcelamentos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+7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Lançamentos / IPTU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+7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Integrações externas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+5</w:t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Tabela 4 — Arrecadação: principais temas por crescimento (exclui rotina/diversos).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5. Pessoal a fundo (+73; +33%)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Pessoal foi de 224 para 297 Dúvidas. Por sistema, o crescimento está em Folha (Cloud) (159 → 193; +34), eSocial (40 → 61; +21) e Ponto (Cloud) (5 → 13; +8). Por portfólio, novamente Médias (+40) e Pequenas (+38) puxam o aumento; SC/MG cresceu pouco (+7) e SC/SP recuou (−12).</w:t>
      </w:r>
    </w:p>
    <w:p>
      <w:pPr>
        <w:spacing w:after="40" w:before="40"/>
        <w:jc w:val="center"/>
      </w:pPr>
      <w:r>
        <w:drawing>
          <wp:inline distT="0" distB="0" distL="0" distR="0">
            <wp:extent cx="57150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Gráfico 4 — Pessoal: temas que mais cresceram (Δ de Dúvidas).</w:t>
      </w:r>
    </w:p>
    <w:tbl>
      <w:tblPr>
        <w:tblW w:type="dxa" w:w="9600"/>
        <w:tblBorders>
          <w:top w:val="single" w:color="C9D3D9" w:sz="4"/>
          <w:left w:val="single" w:color="C9D3D9" w:sz="4"/>
          <w:bottom w:val="single" w:color="C9D3D9" w:sz="4"/>
          <w:right w:val="single" w:color="C9D3D9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800"/>
        <w:gridCol w:w="1800"/>
        <w:gridCol w:w="1800"/>
      </w:tblGrid>
      <w:tr>
        <w:trPr>
          <w:tblHeader/>
        </w:trP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Portfólio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ant.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pico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Médias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73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113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+40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Pequenas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52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90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+38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SC/MG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46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53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+7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SC/SP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53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41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-12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Total Pessoal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224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297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+73</w:t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Tabela 5 — Pessoal por portfólio.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No detalhe por tema, o quadro espelha Arrecadação: e-Sfinge/TCE lidera o crescimento (14 → 51; +37), seguido de perto pelo eSocial (25 → 50; +25) — juntos, mais de 80% do aumento da vertical. Encargos INSS/FGTS/IR (+12), Ponto/Pontual (+6), RH/admissões (+6) e integração contábil/SIOPE (+5) completam os vetores. As dúvidas de folha propriamente ditas (férias, rescisão, 13º, cálculos) permaneceram estáveis (na verdade recuaram), ou seja, o salto veio das obrigações legais e de fechamento, não da operação corrente da folha.</w:t>
      </w:r>
    </w:p>
    <w:tbl>
      <w:tblPr>
        <w:tblW w:type="dxa" w:w="9600"/>
        <w:tblBorders>
          <w:top w:val="single" w:color="C9D3D9" w:sz="4"/>
          <w:left w:val="single" w:color="C9D3D9" w:sz="4"/>
          <w:bottom w:val="single" w:color="C9D3D9" w:sz="4"/>
          <w:right w:val="single" w:color="C9D3D9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1500"/>
        <w:gridCol w:w="1500"/>
        <w:gridCol w:w="1800"/>
      </w:tblGrid>
      <w:tr>
        <w:trPr>
          <w:tblHeader/>
        </w:trP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Tema / funcionalidade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ant.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pico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e-Sfinge / TCE / CONs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51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+37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eSocial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50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+25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Encargos (INSS/FGTS/IR)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+12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Ponto / Pontual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RH (admissão/concurso)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Integração contábil / SIOPE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+5</w:t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Tabela 6 — Pessoal: principais temas por crescimento (exclui rotina/diversos).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6. Contábil a fundo (+90; +70%)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Contábil foi de 128 para 218 Dúvidas — o maior aumento absoluto entre todas as verticais. Quase tudo está em Contabilidade (Cloud) (104 → 180; +76), com Tesouraria (Cloud) também em alta (4 → 15; +11). Por portfólio, Pequenas (+40) e Médias (+33) lideram; SC/MG (+11) e SC/SP (+6) contribuíram menos.</w:t>
      </w:r>
    </w:p>
    <w:p>
      <w:pPr>
        <w:spacing w:after="40" w:before="40"/>
        <w:jc w:val="center"/>
      </w:pPr>
      <w:r>
        <w:drawing>
          <wp:inline distT="0" distB="0" distL="0" distR="0">
            <wp:extent cx="5715000" cy="2400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Gráfico 5 — Contábil: temas que mais cresceram (Δ de Dúvidas).</w:t>
      </w:r>
    </w:p>
    <w:tbl>
      <w:tblPr>
        <w:tblW w:type="dxa" w:w="9600"/>
        <w:tblBorders>
          <w:top w:val="single" w:color="C9D3D9" w:sz="4"/>
          <w:left w:val="single" w:color="C9D3D9" w:sz="4"/>
          <w:bottom w:val="single" w:color="C9D3D9" w:sz="4"/>
          <w:right w:val="single" w:color="C9D3D9" w:sz="4"/>
          <w:insideH w:val="single" w:color="auto" w:sz="4"/>
          <w:insideV w:val="single" w:color="auto" w:sz="4"/>
        </w:tblBorders>
        <w:tblLayout w:type="fixed"/>
      </w:tblPr>
      <w:tblGrid>
        <w:gridCol w:w="4200"/>
        <w:gridCol w:w="1800"/>
        <w:gridCol w:w="1800"/>
        <w:gridCol w:w="1800"/>
      </w:tblGrid>
      <w:tr>
        <w:trPr>
          <w:tblHeader/>
        </w:trP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Portfólio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ant.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pico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Pequenas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30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70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+40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Médias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41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74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+33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SC/MG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25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36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+11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SC/SP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38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+6</w:t>
            </w:r>
          </w:p>
        </w:tc>
      </w:tr>
      <w:tr>
        <w:tc>
          <w:tcPr>
            <w:tcW w:type="dxa" w:w="42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Total Contábil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128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218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EEF2F5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222222"/>
                <w:sz w:val="20"/>
                <w:szCs w:val="20"/>
              </w:rPr>
              <w:t xml:space="preserve">+90</w:t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Tabela 7 — Contábil por portfólio.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Diferente de Arrecadação e Pessoal, o crescimento em Contábil é mais distribuído — mas todos os vetores apontam para o fechamento da competência: conciliação de saldos e contas (+22), e-Sfinge/TCE/CONs (+21), EFD-Reinf/retenções (+15) e encerramento de período (+11) somam mais de três quartos do aumento da vertical. Empenho/dotação/despesa (+7) e planejamento/LOA-LDO (+5) completam o quadro. É o retrato de uma vertical inteiramente mobilizada pelo encerramento contábil de julho e pelas obrigações acessórias associadas.</w:t>
      </w:r>
    </w:p>
    <w:tbl>
      <w:tblPr>
        <w:tblW w:type="dxa" w:w="9600"/>
        <w:tblBorders>
          <w:top w:val="single" w:color="C9D3D9" w:sz="4"/>
          <w:left w:val="single" w:color="C9D3D9" w:sz="4"/>
          <w:bottom w:val="single" w:color="C9D3D9" w:sz="4"/>
          <w:right w:val="single" w:color="C9D3D9" w:sz="4"/>
          <w:insideH w:val="single" w:color="auto" w:sz="4"/>
          <w:insideV w:val="single" w:color="auto" w:sz="4"/>
        </w:tblBorders>
        <w:tblLayout w:type="fixed"/>
      </w:tblPr>
      <w:tblGrid>
        <w:gridCol w:w="4800"/>
        <w:gridCol w:w="1500"/>
        <w:gridCol w:w="1500"/>
        <w:gridCol w:w="1800"/>
      </w:tblGrid>
      <w:tr>
        <w:trPr>
          <w:tblHeader/>
        </w:trP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Tema / funcionalidade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ant.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Sem. pico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shd w:fill="1F3A5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Δ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Saldos / conciliação / contas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+22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e-Sfinge / TCE / CONs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15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36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+21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EFD-Reinf / retenções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17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+15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Encerramento de período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+11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Empenho / dotação / despesa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22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29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+7</w:t>
            </w:r>
          </w:p>
        </w:tc>
      </w:tr>
      <w:tr>
        <w:tc>
          <w:tcPr>
            <w:tcW w:type="dxa" w:w="4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Planejamento / LOA / LDO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9D3D9" w:sz="4"/>
              <w:left w:val="single" w:color="C9D3D9" w:sz="4"/>
              <w:bottom w:val="single" w:color="C9D3D9" w:sz="4"/>
              <w:right w:val="single" w:color="C9D3D9" w:sz="4"/>
            </w:tcBorders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222222"/>
                <w:sz w:val="20"/>
                <w:szCs w:val="20"/>
              </w:rPr>
              <w:t xml:space="preserve">+5</w:t>
            </w:r>
          </w:p>
        </w:tc>
      </w:tr>
    </w:tbl>
    <w:p>
      <w:pPr>
        <w:spacing w:after="12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5A6B75"/>
          <w:sz w:val="18"/>
          <w:szCs w:val="18"/>
        </w:rPr>
        <w:t xml:space="preserve">Tabela 8 — Contábil: principais temas por crescimento (exclui rotina/diversos).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7. Leitura de causa-raiz</w:t>
      </w:r>
    </w:p>
    <w:p>
      <w:pPr>
        <w:spacing w:after="8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As evidências convergem para um gatilho comum e sazonal, ligado ao calendário de obrigações da competência 07/2026, mais do que a qualquer falha de produto:</w:t>
      </w:r>
    </w:p>
    <w:p>
      <w:pPr>
        <w:pStyle w:val="ListParagraph"/>
        <w:numPr>
          <w:ilvl w:val="0"/>
          <w:numId w:val="1"/>
        </w:numPr>
        <w:spacing w:after="7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Fechamento/envio ao TCE (e-Sfinge):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é o maior driver isolado em Arrecadação e Pessoal (+36 e +37) e um dos maiores em Contábil (+21). O pico coincide com o prazo de envio da competência de julho, que mobiliza Arrecadação (Tributos), Pessoal (Folha) e Contábil (conciliação, EFD-Reinf e encerramento) simultaneamente.</w:t>
      </w:r>
    </w:p>
    <w:p>
      <w:pPr>
        <w:pStyle w:val="ListParagraph"/>
        <w:numPr>
          <w:ilvl w:val="0"/>
          <w:numId w:val="1"/>
        </w:numPr>
        <w:spacing w:after="7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Obrigações do eSocial: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segundo maior vetor em Pessoal (+25). Eventos de remuneração, domínios e rubricas concentram dúvidas na virada de mês.</w:t>
      </w:r>
    </w:p>
    <w:p>
      <w:pPr>
        <w:pStyle w:val="ListParagraph"/>
        <w:numPr>
          <w:ilvl w:val="0"/>
          <w:numId w:val="1"/>
        </w:numPr>
        <w:spacing w:after="7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Retomada pós-recesso: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a semana anterior (26/07–01/08) foi de férias/recesso e menor volume; o início de agosto represa e concentra dúvidas, amplificando a variação.</w:t>
      </w:r>
    </w:p>
    <w:p>
      <w:pPr>
        <w:pStyle w:val="ListParagraph"/>
        <w:numPr>
          <w:ilvl w:val="0"/>
          <w:numId w:val="1"/>
        </w:numPr>
        <w:spacing w:after="7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Concentração em contas diretas: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Pequenas e Médias explicam quase todo o aumento das duas verticais, sugerindo demanda de entidades atendidas diretamente pela filial — e não pelas revendas (SC/SP, SC/MG).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8. Recomendações</w:t>
      </w:r>
    </w:p>
    <w:p>
      <w:pPr>
        <w:pStyle w:val="ListParagraph"/>
        <w:numPr>
          <w:ilvl w:val="0"/>
          <w:numId w:val="1"/>
        </w:numPr>
        <w:spacing w:after="7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Ação preventiva de fechamento: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publicar FAQ e comunicado de virada de competência (checklist e-Sfinge/TCE e eSocial) para Tributos e Folha, antecipando as dúvidas recorrentes que puxaram o pico.</w:t>
      </w:r>
    </w:p>
    <w:p>
      <w:pPr>
        <w:pStyle w:val="ListParagraph"/>
        <w:numPr>
          <w:ilvl w:val="0"/>
          <w:numId w:val="1"/>
        </w:numPr>
        <w:spacing w:after="7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Reforço direcionado a Pequenas e Médias: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concentrar capacidade nesses dois portfólios e nas verticais Arrecadação e Pessoal durante a janela de fechamento mensal, evitando formação de backlog.</w:t>
      </w:r>
    </w:p>
    <w:p>
      <w:pPr>
        <w:pStyle w:val="ListParagraph"/>
        <w:numPr>
          <w:ilvl w:val="0"/>
          <w:numId w:val="1"/>
        </w:numPr>
        <w:spacing w:after="7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Mutirão temático de e-Sfinge/TCE: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força-tarefa específica no tema que mais cresceu (+73 nas duas verticais), com material de apoio e roteiro padrão de atendimento.</w:t>
      </w:r>
    </w:p>
    <w:p>
      <w:pPr>
        <w:pStyle w:val="ListParagraph"/>
        <w:numPr>
          <w:ilvl w:val="0"/>
          <w:numId w:val="1"/>
        </w:numPr>
        <w:spacing w:after="7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Estender o preventivo à Contábil: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maior vetor isolado de crescimento (+90), com o mesmo perfil de fechamento — priorizar checklist e comunicado para conciliação de saldos, EFD-Reinf, encerramento de período e e-Sfinge da competência.</w:t>
      </w:r>
    </w:p>
    <w:p>
      <w:pPr>
        <w:pStyle w:val="ListParagraph"/>
        <w:numPr>
          <w:ilvl w:val="0"/>
          <w:numId w:val="1"/>
        </w:numPr>
        <w:spacing w:after="7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21"/>
          <w:szCs w:val="21"/>
        </w:rPr>
        <w:t xml:space="preserve">Instrumentar o acompanhamento: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22222"/>
          <w:sz w:val="21"/>
          <w:szCs w:val="21"/>
        </w:rPr>
        <w:t xml:space="preserve">padronizar a extração semanal (Jira) por tema/sistema para monitorar a reincidência e medir o efeito das ações preventivas.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A5F"/>
          <w:sz w:val="30"/>
          <w:szCs w:val="30"/>
        </w:rPr>
        <w:t xml:space="preserve">9. Nota metodológica e limitações</w:t>
      </w:r>
    </w:p>
    <w:p>
      <w:pPr>
        <w:spacing w:after="6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Fonte e escopo.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5"/>
          <w:sz w:val="19"/>
          <w:szCs w:val="19"/>
        </w:rPr>
        <w:t xml:space="preserve">Dados extraídos do Jira (jira-atendimento) em 10/08/2026: issuetype = Dúvida; Portfólio de Atendimento ∈ {Pequenas Contas, Médias Contas, SC/SP, SC/MG}; exceto a equipe Residente (campo Equipe responsável); exceto as verticais Educação e Saúde; criados em cada janela semanal. Totais Jira: 736 (26/07–01/08) e 1.008 (02–08/08).</w:t>
      </w:r>
    </w:p>
    <w:p>
      <w:pPr>
        <w:spacing w:after="6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Reconciliação com o BI.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5"/>
          <w:sz w:val="19"/>
          <w:szCs w:val="19"/>
        </w:rPr>
        <w:t xml:space="preserve">Este recorte replica os filtros do painel BI DAS. O BI aponta 726 → 1.000 Dúvidas; a extração no Jira com os mesmos filtros aponta 736 → 1.008 — diferença de cerca de 1%, compatível com a variação natural dos dados entre a foto do painel (09/08) e a extração (10/08). Por isso os totais deste relatório foram ancorados nos valores oficiais do BI (726 → 1.000), enquanto as tabelas de composição por portfólio, vertical e tema usam os números do Jira. O filtro 'Status do Backlog' do painel refere-se ao visual de backlog (itens em aberto no momento) e não à contagem de aberturas da semana; por isso não se aplica a esta análise de aberturas.</w:t>
      </w:r>
    </w:p>
    <w:p>
      <w:pPr>
        <w:spacing w:after="6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Classificação por tema.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5"/>
          <w:sz w:val="19"/>
          <w:szCs w:val="19"/>
        </w:rPr>
        <w:t xml:space="preserve">Os temas foram derivados por palavras-chave do resumo do chamado (o campo Característica não estava preenchido). É uma aproximação: chamados sem palavra-chave clara caem em 'rotina/diversos', que não foi o motor do crescimento. As tabelas de temas excluem esse bloco e mostram apenas os vetores de aumento.</w:t>
      </w:r>
    </w:p>
    <w:p>
      <w:pPr>
        <w:spacing w:after="60" w:before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222222"/>
          <w:sz w:val="19"/>
          <w:szCs w:val="19"/>
        </w:rPr>
        <w:t xml:space="preserve">Observação.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B75"/>
          <w:sz w:val="19"/>
          <w:szCs w:val="19"/>
        </w:rPr>
        <w:t xml:space="preserve">Números referem-se a chamados abertos (criados) na semana, não ao backlog. 'Δ' = pico − anterior.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1a0208ffb97012c22d3e22584fb74d46ab48570.png"/><Relationship Id="rId8" Type="http://schemas.openxmlformats.org/officeDocument/2006/relationships/image" Target="media/1f84bd121f6afe041d37c370a9cc80cf726b8802.png"/><Relationship Id="rId9" Type="http://schemas.openxmlformats.org/officeDocument/2006/relationships/image" Target="media/4b175ea161c1a0df89fba81ea6b924b3ca91ed52.png"/><Relationship Id="rId10" Type="http://schemas.openxmlformats.org/officeDocument/2006/relationships/image" Target="media/3d74c3f46057eed054928e1666fe44b59d807a97.png"/><Relationship Id="rId11" Type="http://schemas.openxmlformats.org/officeDocument/2006/relationships/image" Target="media/fc0d07c2737ec0ee6e2c7ea35d2ef28f17c9734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2026-08-11T11:59:44.258Z</dcterms:created>
  <dcterms:modified xsi:type="dcterms:W3CDTF">2026-08-11T11:59:44.258Z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