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AlgoFight — MITS Server Deployment Analysis</w:t>
      </w:r>
    </w:p>
    <w:p>
      <w:pPr>
        <w:jc w:val="center"/>
      </w:pPr>
      <w:r>
        <w:rPr>
          <w:i/>
        </w:rPr>
        <w:t>Architecture, repository constraints, deployment blockers, and validation plan</w:t>
      </w:r>
    </w:p>
    <w:p>
      <w:pPr>
        <w:jc w:val="center"/>
      </w:pPr>
      <w:r>
        <w:rPr>
          <w:sz w:val="18"/>
        </w:rPr>
        <w:t>Based on the inspected AlgoFight repository and MITS-Web-2 server state</w:t>
      </w:r>
    </w:p>
    <w:tbl>
      <w:tblPr>
        <w:tblW w:type="auto" w:w="0"/>
        <w:tblLook w:firstColumn="1" w:firstRow="1" w:lastColumn="0" w:lastRow="0" w:noHBand="0" w:noVBand="1" w:val="04A0"/>
      </w:tblPr>
      <w:tblGrid>
        <w:gridCol w:w="10080"/>
      </w:tblGrid>
      <w:tr>
        <w:tc>
          <w:tcPr>
            <w:tcW w:type="dxa" w:w="10080"/>
            <w:shd w:fill="EEF3F8"/>
          </w:tcPr>
          <w:p>
            <w:r>
              <w:rPr>
                <w:b/>
              </w:rPr>
              <w:t>Core rule</w:t>
              <w:br/>
            </w:r>
            <w:r>
              <w:t>Do not modify the MITS server or repository blindly. First establish the real dependency graph and runtime behavior; then make only the smallest changes proven necessary.</w:t>
            </w:r>
          </w:p>
        </w:tc>
      </w:tr>
    </w:tbl>
    <w:p/>
    <w:p>
      <w:pPr>
        <w:pStyle w:val="Heading1"/>
      </w:pPr>
      <w:r>
        <w:t>1. Executive Summary</w:t>
      </w:r>
    </w:p>
    <w:p>
      <w:r>
        <w:t>AlgoFight is a pnpm/Turbo TypeScript monorepo containing API, worker, scheduler, WebSocket, application, queue, database, configuration and telemetry packages. MITS-Web-2 already runs several Docker workloads, so AlgoFight must be deployed as an isolated stack without stopping, replacing, pruning or reconfiguring existing services.</w:t>
      </w:r>
    </w:p>
    <w:p>
      <w:r>
        <w:t>The major blockers found so far are application-level deployment assumptions: Dockerode is actually instantiated; several submission paths build localhost-based Piston URLs; the runtime pool expects baseline Piston ports 2001/2002 and PISTON_HOST; and the Piston adapter currently includes the public emkc.org endpoint as a fallback. The public fallback conflicts directly with the requirement that execution stay on MITS.</w:t>
      </w:r>
    </w:p>
    <w:p>
      <w:pPr>
        <w:pStyle w:val="Heading1"/>
      </w:pPr>
      <w:r>
        <w:t>2. Confirmed Server Environment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
              <w:rPr>
                <w:b/>
                <w:sz w:val="18"/>
              </w:rPr>
              <w:t>Item</w:t>
            </w:r>
          </w:p>
        </w:tc>
        <w:tc>
          <w:tcPr>
            <w:tcW w:type="dxa" w:w="5040"/>
            <w:vAlign w:val="center"/>
            <w:shd w:fill="D9E2F3"/>
          </w:tcPr>
          <w:p>
            <w:r/>
            <w:r>
              <w:rPr>
                <w:b/>
                <w:sz w:val="18"/>
              </w:rPr>
              <w:t>Observed</w:t>
            </w:r>
          </w:p>
        </w:tc>
      </w:tr>
      <w:tr>
        <w:tc>
          <w:tcPr>
            <w:tcW w:type="dxa" w:w="5040"/>
            <w:vAlign w:val="center"/>
          </w:tcPr>
          <w:p>
            <w:r/>
            <w:r>
              <w:rPr>
                <w:b w:val="0"/>
                <w:sz w:val="18"/>
              </w:rPr>
              <w:t>Host</w:t>
            </w:r>
          </w:p>
        </w:tc>
        <w:tc>
          <w:tcPr>
            <w:tcW w:type="dxa" w:w="5040"/>
            <w:vAlign w:val="center"/>
          </w:tcPr>
          <w:p>
            <w:r/>
            <w:r>
              <w:rPr>
                <w:b w:val="0"/>
                <w:sz w:val="18"/>
              </w:rPr>
              <w:t>MITS-Web-2</w:t>
            </w:r>
          </w:p>
        </w:tc>
      </w:tr>
      <w:tr>
        <w:tc>
          <w:tcPr>
            <w:tcW w:type="dxa" w:w="5040"/>
            <w:vAlign w:val="center"/>
          </w:tcPr>
          <w:p>
            <w:r/>
            <w:r>
              <w:rPr>
                <w:b w:val="0"/>
                <w:sz w:val="18"/>
              </w:rPr>
              <w:t>OS</w:t>
            </w:r>
          </w:p>
        </w:tc>
        <w:tc>
          <w:tcPr>
            <w:tcW w:type="dxa" w:w="5040"/>
            <w:vAlign w:val="center"/>
          </w:tcPr>
          <w:p>
            <w:r/>
            <w:r>
              <w:rPr>
                <w:b w:val="0"/>
                <w:sz w:val="18"/>
              </w:rPr>
              <w:t>Ubuntu 22.04.2 LTS</w:t>
            </w:r>
          </w:p>
        </w:tc>
      </w:tr>
      <w:tr>
        <w:tc>
          <w:tcPr>
            <w:tcW w:type="dxa" w:w="5040"/>
            <w:vAlign w:val="center"/>
          </w:tcPr>
          <w:p>
            <w:r/>
            <w:r>
              <w:rPr>
                <w:b w:val="0"/>
                <w:sz w:val="18"/>
              </w:rPr>
              <w:t>CPU / RAM</w:t>
            </w:r>
          </w:p>
        </w:tc>
        <w:tc>
          <w:tcPr>
            <w:tcW w:type="dxa" w:w="5040"/>
            <w:vAlign w:val="center"/>
          </w:tcPr>
          <w:p>
            <w:r/>
            <w:r>
              <w:rPr>
                <w:b w:val="0"/>
                <w:sz w:val="18"/>
              </w:rPr>
              <w:t>8 CPUs / 15.61 GiB</w:t>
            </w:r>
          </w:p>
        </w:tc>
      </w:tr>
      <w:tr>
        <w:tc>
          <w:tcPr>
            <w:tcW w:type="dxa" w:w="5040"/>
            <w:vAlign w:val="center"/>
          </w:tcPr>
          <w:p>
            <w:r/>
            <w:r>
              <w:rPr>
                <w:b w:val="0"/>
                <w:sz w:val="18"/>
              </w:rPr>
              <w:t>Docker Engine</w:t>
            </w:r>
          </w:p>
        </w:tc>
        <w:tc>
          <w:tcPr>
            <w:tcW w:type="dxa" w:w="5040"/>
            <w:vAlign w:val="center"/>
          </w:tcPr>
          <w:p>
            <w:r/>
            <w:r>
              <w:rPr>
                <w:b w:val="0"/>
                <w:sz w:val="18"/>
              </w:rPr>
              <w:t>24.0.7</w:t>
            </w:r>
          </w:p>
        </w:tc>
      </w:tr>
      <w:tr>
        <w:tc>
          <w:tcPr>
            <w:tcW w:type="dxa" w:w="5040"/>
            <w:vAlign w:val="center"/>
          </w:tcPr>
          <w:p>
            <w:r/>
            <w:r>
              <w:rPr>
                <w:b w:val="0"/>
                <w:sz w:val="18"/>
              </w:rPr>
              <w:t>Docker Compose</w:t>
            </w:r>
          </w:p>
        </w:tc>
        <w:tc>
          <w:tcPr>
            <w:tcW w:type="dxa" w:w="5040"/>
            <w:vAlign w:val="center"/>
          </w:tcPr>
          <w:p>
            <w:r/>
            <w:r>
              <w:rPr>
                <w:b w:val="0"/>
                <w:sz w:val="18"/>
              </w:rPr>
              <w:t>v2.21.0</w:t>
            </w:r>
          </w:p>
        </w:tc>
      </w:tr>
      <w:tr>
        <w:tc>
          <w:tcPr>
            <w:tcW w:type="dxa" w:w="5040"/>
            <w:vAlign w:val="center"/>
          </w:tcPr>
          <w:p>
            <w:r/>
            <w:r>
              <w:rPr>
                <w:b w:val="0"/>
                <w:sz w:val="18"/>
              </w:rPr>
              <w:t>cgroups</w:t>
            </w:r>
          </w:p>
        </w:tc>
        <w:tc>
          <w:tcPr>
            <w:tcW w:type="dxa" w:w="5040"/>
            <w:vAlign w:val="center"/>
          </w:tcPr>
          <w:p>
            <w:r/>
            <w:r>
              <w:rPr>
                <w:b w:val="0"/>
                <w:sz w:val="18"/>
              </w:rPr>
              <w:t>v2</w:t>
            </w:r>
          </w:p>
        </w:tc>
      </w:tr>
      <w:tr>
        <w:tc>
          <w:tcPr>
            <w:tcW w:type="dxa" w:w="5040"/>
            <w:vAlign w:val="center"/>
          </w:tcPr>
          <w:p>
            <w:r/>
            <w:r>
              <w:rPr>
                <w:b w:val="0"/>
                <w:sz w:val="18"/>
              </w:rPr>
              <w:t>Host Node.js</w:t>
            </w:r>
          </w:p>
        </w:tc>
        <w:tc>
          <w:tcPr>
            <w:tcW w:type="dxa" w:w="5040"/>
            <w:vAlign w:val="center"/>
          </w:tcPr>
          <w:p>
            <w:r/>
            <w:r>
              <w:rPr>
                <w:b w:val="0"/>
                <w:sz w:val="18"/>
              </w:rPr>
              <w:t>v12.22.9; should not be assumed as the production runtime for this repository</w:t>
            </w:r>
          </w:p>
        </w:tc>
      </w:tr>
    </w:tbl>
    <w:p/>
    <w:p>
      <w:pPr>
        <w:pStyle w:val="Heading1"/>
      </w:pPr>
      <w:r>
        <w:t>3. Existing Services and Protected Resources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
              <w:rPr>
                <w:b/>
                <w:sz w:val="18"/>
              </w:rPr>
              <w:t>Existing service</w:t>
            </w:r>
          </w:p>
        </w:tc>
        <w:tc>
          <w:tcPr>
            <w:tcW w:type="dxa" w:w="5040"/>
            <w:vAlign w:val="center"/>
            <w:shd w:fill="D9E2F3"/>
          </w:tcPr>
          <w:p>
            <w:r/>
            <w:r>
              <w:rPr>
                <w:b/>
                <w:sz w:val="18"/>
              </w:rPr>
              <w:t>Observed mapping / role</w:t>
            </w:r>
          </w:p>
        </w:tc>
      </w:tr>
      <w:tr>
        <w:tc>
          <w:tcPr>
            <w:tcW w:type="dxa" w:w="5040"/>
            <w:vAlign w:val="center"/>
          </w:tcPr>
          <w:p>
            <w:r/>
            <w:r>
              <w:rPr>
                <w:b w:val="0"/>
                <w:sz w:val="18"/>
              </w:rPr>
              <w:t>evolution_frontend</w:t>
            </w:r>
          </w:p>
        </w:tc>
        <w:tc>
          <w:tcPr>
            <w:tcW w:type="dxa" w:w="5040"/>
            <w:vAlign w:val="center"/>
          </w:tcPr>
          <w:p>
            <w:r/>
            <w:r>
              <w:rPr>
                <w:b w:val="0"/>
                <w:sz w:val="18"/>
              </w:rPr>
              <w:t>0.0.0.0:3000 → 80</w:t>
            </w:r>
          </w:p>
        </w:tc>
      </w:tr>
      <w:tr>
        <w:tc>
          <w:tcPr>
            <w:tcW w:type="dxa" w:w="5040"/>
            <w:vAlign w:val="center"/>
          </w:tcPr>
          <w:p>
            <w:r/>
            <w:r>
              <w:rPr>
                <w:b w:val="0"/>
                <w:sz w:val="18"/>
              </w:rPr>
              <w:t>evolution_api</w:t>
            </w:r>
          </w:p>
        </w:tc>
        <w:tc>
          <w:tcPr>
            <w:tcW w:type="dxa" w:w="5040"/>
            <w:vAlign w:val="center"/>
          </w:tcPr>
          <w:p>
            <w:r/>
            <w:r>
              <w:rPr>
                <w:b w:val="0"/>
                <w:sz w:val="18"/>
              </w:rPr>
              <w:t>127.0.0.1:8081 → 8080</w:t>
            </w:r>
          </w:p>
        </w:tc>
      </w:tr>
      <w:tr>
        <w:tc>
          <w:tcPr>
            <w:tcW w:type="dxa" w:w="5040"/>
            <w:vAlign w:val="center"/>
          </w:tcPr>
          <w:p>
            <w:r/>
            <w:r>
              <w:rPr>
                <w:b w:val="0"/>
                <w:sz w:val="18"/>
              </w:rPr>
              <w:t>evolution_postgres</w:t>
            </w:r>
          </w:p>
        </w:tc>
        <w:tc>
          <w:tcPr>
            <w:tcW w:type="dxa" w:w="5040"/>
            <w:vAlign w:val="center"/>
          </w:tcPr>
          <w:p>
            <w:r/>
            <w:r>
              <w:rPr>
                <w:b w:val="0"/>
                <w:sz w:val="18"/>
              </w:rPr>
              <w:t>internal PostgreSQL</w:t>
            </w:r>
          </w:p>
        </w:tc>
      </w:tr>
      <w:tr>
        <w:tc>
          <w:tcPr>
            <w:tcW w:type="dxa" w:w="5040"/>
            <w:vAlign w:val="center"/>
          </w:tcPr>
          <w:p>
            <w:r/>
            <w:r>
              <w:rPr>
                <w:b w:val="0"/>
                <w:sz w:val="18"/>
              </w:rPr>
              <w:t>evolution_redis</w:t>
            </w:r>
          </w:p>
        </w:tc>
        <w:tc>
          <w:tcPr>
            <w:tcW w:type="dxa" w:w="5040"/>
            <w:vAlign w:val="center"/>
          </w:tcPr>
          <w:p>
            <w:r/>
            <w:r>
              <w:rPr>
                <w:b w:val="0"/>
                <w:sz w:val="18"/>
              </w:rPr>
              <w:t>internal Redis</w:t>
            </w:r>
          </w:p>
        </w:tc>
      </w:tr>
      <w:tr>
        <w:tc>
          <w:tcPr>
            <w:tcW w:type="dxa" w:w="5040"/>
            <w:vAlign w:val="center"/>
          </w:tcPr>
          <w:p>
            <w:r/>
            <w:r>
              <w:rPr>
                <w:b w:val="0"/>
                <w:sz w:val="18"/>
              </w:rPr>
              <w:t>storage</w:t>
            </w:r>
          </w:p>
        </w:tc>
        <w:tc>
          <w:tcPr>
            <w:tcW w:type="dxa" w:w="5040"/>
            <w:vAlign w:val="center"/>
          </w:tcPr>
          <w:p>
            <w:r/>
            <w:r>
              <w:rPr>
                <w:b w:val="0"/>
                <w:sz w:val="18"/>
              </w:rPr>
              <w:t>0.0.0.0:4249 → 80</w:t>
            </w:r>
          </w:p>
        </w:tc>
      </w:tr>
      <w:tr>
        <w:tc>
          <w:tcPr>
            <w:tcW w:type="dxa" w:w="5040"/>
            <w:vAlign w:val="center"/>
          </w:tcPr>
          <w:p>
            <w:r/>
            <w:r>
              <w:rPr>
                <w:b w:val="0"/>
                <w:sz w:val="18"/>
              </w:rPr>
              <w:t>postgres</w:t>
            </w:r>
          </w:p>
        </w:tc>
        <w:tc>
          <w:tcPr>
            <w:tcW w:type="dxa" w:w="5040"/>
            <w:vAlign w:val="center"/>
          </w:tcPr>
          <w:p>
            <w:r/>
            <w:r>
              <w:rPr>
                <w:b w:val="0"/>
                <w:sz w:val="18"/>
              </w:rPr>
              <w:t>0.0.0.0:4248 → 5432</w:t>
            </w:r>
          </w:p>
        </w:tc>
      </w:tr>
      <w:tr>
        <w:tc>
          <w:tcPr>
            <w:tcW w:type="dxa" w:w="5040"/>
            <w:vAlign w:val="center"/>
          </w:tcPr>
          <w:p>
            <w:r/>
            <w:r>
              <w:rPr>
                <w:b w:val="0"/>
                <w:sz w:val="18"/>
              </w:rPr>
              <w:t>frontend</w:t>
            </w:r>
          </w:p>
        </w:tc>
        <w:tc>
          <w:tcPr>
            <w:tcW w:type="dxa" w:w="5040"/>
            <w:vAlign w:val="center"/>
          </w:tcPr>
          <w:p>
            <w:r/>
            <w:r>
              <w:rPr>
                <w:b w:val="0"/>
                <w:sz w:val="18"/>
              </w:rPr>
              <w:t>0.0.0.0:4247 → 5173</w:t>
            </w:r>
          </w:p>
        </w:tc>
      </w:tr>
      <w:tr>
        <w:tc>
          <w:tcPr>
            <w:tcW w:type="dxa" w:w="5040"/>
            <w:vAlign w:val="center"/>
          </w:tcPr>
          <w:p>
            <w:r/>
            <w:r>
              <w:rPr>
                <w:b w:val="0"/>
                <w:sz w:val="18"/>
              </w:rPr>
              <w:t>noc_sql</w:t>
            </w:r>
          </w:p>
        </w:tc>
        <w:tc>
          <w:tcPr>
            <w:tcW w:type="dxa" w:w="5040"/>
            <w:vAlign w:val="center"/>
          </w:tcPr>
          <w:p>
            <w:r/>
            <w:r>
              <w:rPr>
                <w:b w:val="0"/>
                <w:sz w:val="18"/>
              </w:rPr>
              <w:t>0.0.0.0:3305 → 3306</w:t>
            </w:r>
          </w:p>
        </w:tc>
      </w:tr>
    </w:tbl>
    <w:p/>
    <w:p>
      <w:r>
        <w:t>Ports 2000, 2001, 2002, 3001, 4001 and 5432 were observed free at the time of inspection. Availability must be rechecked immediately before deployment; it is not a permanent reservation.</w:t>
      </w:r>
    </w:p>
    <w:p>
      <w:r>
        <w:t>Docker networks and volumes already exist for other workloads. Existing networks/volumes must not be pruned, removed or reused without a proven requirement.</w:t>
      </w:r>
    </w:p>
    <w:p>
      <w:pPr>
        <w:pStyle w:val="Heading1"/>
      </w:pPr>
      <w:r>
        <w:t>4. Repository Architecture</w:t>
      </w:r>
    </w:p>
    <w:p>
      <w:pPr>
        <w:pStyle w:val="ListBullet"/>
      </w:pPr>
      <w:r>
        <w:t>apps/api — Fastify API</w:t>
      </w:r>
    </w:p>
    <w:p>
      <w:pPr>
        <w:pStyle w:val="ListBullet"/>
      </w:pPr>
      <w:r>
        <w:t>apps/worker — BullMQ worker</w:t>
      </w:r>
    </w:p>
    <w:p>
      <w:pPr>
        <w:pStyle w:val="ListBullet"/>
      </w:pPr>
      <w:r>
        <w:t>apps/websocket — WebSocket service</w:t>
      </w:r>
    </w:p>
    <w:p>
      <w:pPr>
        <w:pStyle w:val="ListBullet"/>
      </w:pPr>
      <w:r>
        <w:t>apps/scheduler — scheduled/recovery jobs</w:t>
      </w:r>
    </w:p>
    <w:p>
      <w:pPr>
        <w:pStyle w:val="ListBullet"/>
      </w:pPr>
      <w:r>
        <w:t>packages/application — execution/application services</w:t>
      </w:r>
    </w:p>
    <w:p>
      <w:pPr>
        <w:pStyle w:val="ListBullet"/>
      </w:pPr>
      <w:r>
        <w:t>packages/config — Zod configuration</w:t>
      </w:r>
    </w:p>
    <w:p>
      <w:pPr>
        <w:pStyle w:val="ListBullet"/>
      </w:pPr>
      <w:r>
        <w:t>packages/database — Prisma 7.8 + PostgreSQL</w:t>
      </w:r>
    </w:p>
    <w:p>
      <w:pPr>
        <w:pStyle w:val="ListBullet"/>
      </w:pPr>
      <w:r>
        <w:t>packages/queue — BullMQ + ioredis</w:t>
      </w:r>
    </w:p>
    <w:p>
      <w:pPr>
        <w:pStyle w:val="ListBullet"/>
      </w:pPr>
      <w:r>
        <w:t>packages/telemetry, logger, events, types, state-machine, institutional-identity, error-handling</w:t>
      </w:r>
    </w:p>
    <w:p>
      <w:pPr>
        <w:pStyle w:val="Heading1"/>
      </w:pPr>
      <w:r>
        <w:t>5. Confirmed Technical Dependencies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
              <w:rPr>
                <w:b/>
                <w:sz w:val="18"/>
              </w:rPr>
              <w:t>Component</w:t>
            </w:r>
          </w:p>
        </w:tc>
        <w:tc>
          <w:tcPr>
            <w:tcW w:type="dxa" w:w="5040"/>
            <w:vAlign w:val="center"/>
            <w:shd w:fill="D9E2F3"/>
          </w:tcPr>
          <w:p>
            <w:r/>
            <w:r>
              <w:rPr>
                <w:b/>
                <w:sz w:val="18"/>
              </w:rPr>
              <w:t>Confirmed dependency</w:t>
            </w:r>
          </w:p>
        </w:tc>
      </w:tr>
      <w:tr>
        <w:tc>
          <w:tcPr>
            <w:tcW w:type="dxa" w:w="5040"/>
            <w:vAlign w:val="center"/>
          </w:tcPr>
          <w:p>
            <w:r/>
            <w:r>
              <w:rPr>
                <w:b w:val="0"/>
                <w:sz w:val="18"/>
              </w:rPr>
              <w:t>API</w:t>
            </w:r>
          </w:p>
        </w:tc>
        <w:tc>
          <w:tcPr>
            <w:tcW w:type="dxa" w:w="5040"/>
            <w:vAlign w:val="center"/>
          </w:tcPr>
          <w:p>
            <w:r/>
            <w:r>
              <w:rPr>
                <w:b w:val="0"/>
                <w:sz w:val="18"/>
              </w:rPr>
              <w:t>Application, config, database, queue, telemetry, Fastify, ioredis, WebSocket</w:t>
            </w:r>
          </w:p>
        </w:tc>
      </w:tr>
      <w:tr>
        <w:tc>
          <w:tcPr>
            <w:tcW w:type="dxa" w:w="5040"/>
            <w:vAlign w:val="center"/>
          </w:tcPr>
          <w:p>
            <w:r/>
            <w:r>
              <w:rPr>
                <w:b w:val="0"/>
                <w:sz w:val="18"/>
              </w:rPr>
              <w:t>Worker</w:t>
            </w:r>
          </w:p>
        </w:tc>
        <w:tc>
          <w:tcPr>
            <w:tcW w:type="dxa" w:w="5040"/>
            <w:vAlign w:val="center"/>
          </w:tcPr>
          <w:p>
            <w:r/>
            <w:r>
              <w:rPr>
                <w:b w:val="0"/>
                <w:sz w:val="18"/>
              </w:rPr>
              <w:t>Application, database, queue, BullMQ</w:t>
            </w:r>
          </w:p>
        </w:tc>
      </w:tr>
      <w:tr>
        <w:tc>
          <w:tcPr>
            <w:tcW w:type="dxa" w:w="5040"/>
            <w:vAlign w:val="center"/>
          </w:tcPr>
          <w:p>
            <w:r/>
            <w:r>
              <w:rPr>
                <w:b w:val="0"/>
                <w:sz w:val="18"/>
              </w:rPr>
              <w:t>WebSocket</w:t>
            </w:r>
          </w:p>
        </w:tc>
        <w:tc>
          <w:tcPr>
            <w:tcW w:type="dxa" w:w="5040"/>
            <w:vAlign w:val="center"/>
          </w:tcPr>
          <w:p>
            <w:r/>
            <w:r>
              <w:rPr>
                <w:b w:val="0"/>
                <w:sz w:val="18"/>
              </w:rPr>
              <w:t>Application, database, queue, ioredis</w:t>
            </w:r>
          </w:p>
        </w:tc>
      </w:tr>
      <w:tr>
        <w:tc>
          <w:tcPr>
            <w:tcW w:type="dxa" w:w="5040"/>
            <w:vAlign w:val="center"/>
          </w:tcPr>
          <w:p>
            <w:r/>
            <w:r>
              <w:rPr>
                <w:b w:val="0"/>
                <w:sz w:val="18"/>
              </w:rPr>
              <w:t>Scheduler</w:t>
            </w:r>
          </w:p>
        </w:tc>
        <w:tc>
          <w:tcPr>
            <w:tcW w:type="dxa" w:w="5040"/>
            <w:vAlign w:val="center"/>
          </w:tcPr>
          <w:p>
            <w:r/>
            <w:r>
              <w:rPr>
                <w:b w:val="0"/>
                <w:sz w:val="18"/>
              </w:rPr>
              <w:t>Application, database, queue, BullMQ</w:t>
            </w:r>
          </w:p>
        </w:tc>
      </w:tr>
      <w:tr>
        <w:tc>
          <w:tcPr>
            <w:tcW w:type="dxa" w:w="5040"/>
            <w:vAlign w:val="center"/>
          </w:tcPr>
          <w:p>
            <w:r/>
            <w:r>
              <w:rPr>
                <w:b w:val="0"/>
                <w:sz w:val="18"/>
              </w:rPr>
              <w:t>Database</w:t>
            </w:r>
          </w:p>
        </w:tc>
        <w:tc>
          <w:tcPr>
            <w:tcW w:type="dxa" w:w="5040"/>
            <w:vAlign w:val="center"/>
          </w:tcPr>
          <w:p>
            <w:r/>
            <w:r>
              <w:rPr>
                <w:b w:val="0"/>
                <w:sz w:val="18"/>
              </w:rPr>
              <w:t>Prisma 7.8, @prisma/adapter-pg, @prisma/client, pg</w:t>
            </w:r>
          </w:p>
        </w:tc>
      </w:tr>
      <w:tr>
        <w:tc>
          <w:tcPr>
            <w:tcW w:type="dxa" w:w="5040"/>
            <w:vAlign w:val="center"/>
          </w:tcPr>
          <w:p>
            <w:r/>
            <w:r>
              <w:rPr>
                <w:b w:val="0"/>
                <w:sz w:val="18"/>
              </w:rPr>
              <w:t>Queue</w:t>
            </w:r>
          </w:p>
        </w:tc>
        <w:tc>
          <w:tcPr>
            <w:tcW w:type="dxa" w:w="5040"/>
            <w:vAlign w:val="center"/>
          </w:tcPr>
          <w:p>
            <w:r/>
            <w:r>
              <w:rPr>
                <w:b w:val="0"/>
                <w:sz w:val="18"/>
              </w:rPr>
              <w:t>BullMQ + ioredis</w:t>
            </w:r>
          </w:p>
        </w:tc>
      </w:tr>
      <w:tr>
        <w:tc>
          <w:tcPr>
            <w:tcW w:type="dxa" w:w="5040"/>
            <w:vAlign w:val="center"/>
          </w:tcPr>
          <w:p>
            <w:r/>
            <w:r>
              <w:rPr>
                <w:b w:val="0"/>
                <w:sz w:val="18"/>
              </w:rPr>
              <w:t>Application</w:t>
            </w:r>
          </w:p>
        </w:tc>
        <w:tc>
          <w:tcPr>
            <w:tcW w:type="dxa" w:w="5040"/>
            <w:vAlign w:val="center"/>
          </w:tcPr>
          <w:p>
            <w:r/>
            <w:r>
              <w:rPr>
                <w:b w:val="0"/>
                <w:sz w:val="18"/>
              </w:rPr>
              <w:t>Dockerode + ioredis</w:t>
            </w:r>
          </w:p>
        </w:tc>
      </w:tr>
    </w:tbl>
    <w:p/>
    <w:p>
      <w:pPr>
        <w:pStyle w:val="Heading1"/>
      </w:pPr>
      <w:r>
        <w:t>6. Deployment Blockers and Design Issues</w:t>
      </w:r>
    </w:p>
    <w:p>
      <w:pPr>
        <w:pStyle w:val="Heading2"/>
      </w:pPr>
      <w:r>
        <w:t>6.1 Dockerode / Docker daemon access</w:t>
      </w:r>
    </w:p>
    <w:p>
      <w:r>
        <w:t>The repository contains an actual Docker client, not merely an unused dependency:</w:t>
      </w:r>
    </w:p>
    <w:p>
      <w:pPr>
        <w:ind w:left="360" w:right="360"/>
      </w:pPr>
      <w:r>
        <w:rPr>
          <w:rFonts w:ascii="Consolas" w:hAnsi="Consolas"/>
          <w:sz w:val="18"/>
        </w:rPr>
        <w:t>packages/application/src/docker/docker-client.ts</w:t>
        <w:br/>
        <w:t>import Docker from "dockerode";</w:t>
        <w:br/>
        <w:t>export const docker = new Docker();</w:t>
      </w:r>
    </w:p>
    <w:p>
      <w:r>
        <w:t>This means we must inspect every meaningful use of this client before deciding whether API/worker containers need access to the Docker daemon/socket. Giving a container /var/run/docker.sock is a privileged host-level capability and must never be added by assumption. The supplied inspection confirms the initialization at lines 55–60. fileciteturn1file0L52-L60</w:t>
      </w:r>
    </w:p>
    <w:p>
      <w:pPr>
        <w:pStyle w:val="Heading2"/>
      </w:pPr>
      <w:r>
        <w:t>6.2 localhost-based runtime addressing</w:t>
      </w:r>
    </w:p>
    <w:p>
      <w:r>
        <w:t>The submission controller contains multiple constructions of http://localhost:&lt;runtimePort&gt;. In a container, localhost means that container itself. It does not mean the MITS host or another Piston container. This is therefore a concrete networking compatibility issue. fileciteturn1file0L147-L166</w:t>
      </w:r>
    </w:p>
    <w:p>
      <w:pPr>
        <w:ind w:left="360" w:right="360"/>
      </w:pPr>
      <w:r>
        <w:rPr>
          <w:rFonts w:ascii="Consolas" w:hAnsi="Consolas"/>
          <w:sz w:val="18"/>
        </w:rPr>
        <w:t>http://localhost:${body.runtimePort}</w:t>
      </w:r>
    </w:p>
    <w:p>
      <w:pPr>
        <w:pStyle w:val="Heading2"/>
      </w:pPr>
      <w:r>
        <w:t>6.3 Runtime pool contract</w:t>
      </w:r>
    </w:p>
    <w:p>
      <w:r>
        <w:t>The inspected runtime pool uses baseline ports 2001 and 2002 and derives runtime URLs using PISTON_HOST; it can also use PISTON_URL. This means the deployment must preserve or deliberately replace this contract rather than arbitrarily changing Piston ports. fileciteturn0file0L59-L83</w:t>
      </w:r>
    </w:p>
    <w:p>
      <w:pPr>
        <w:pStyle w:val="Heading2"/>
      </w:pPr>
      <w:r>
        <w:t>6.4 Public Piston fallback — MUST be resolved</w:t>
      </w:r>
    </w:p>
    <w:p>
      <w:r>
        <w:t>The Piston adapter currently includes https://emkc.org/api/v2/piston among execution candidates. This is incompatible with the requirement to avoid public Piston rate limits and keep execution on MITS. fileciteturn0file0L396-L432</w:t>
      </w:r>
    </w:p>
    <w:p>
      <w:pPr>
        <w:ind w:left="360" w:right="360"/>
      </w:pPr>
      <w:r>
        <w:rPr>
          <w:rFonts w:ascii="Consolas" w:hAnsi="Consolas"/>
          <w:sz w:val="18"/>
        </w:rPr>
        <w:t>Required policy:</w:t>
        <w:br/>
        <w:t>Local Piston 1 → Local Piston 2 → local failure</w:t>
        <w:br/>
        <w:t>Never → public emkc.org</w:t>
      </w:r>
    </w:p>
    <w:p>
      <w:r>
        <w:t>Configuration alone must not be assumed to guarantee this. The fallback logic itself should be reviewed and, if necessary, minimally changed so that local runtime failure cannot silently trigger a public request.</w:t>
      </w:r>
    </w:p>
    <w:p>
      <w:pPr>
        <w:pStyle w:val="Heading2"/>
      </w:pPr>
      <w:r>
        <w:t>6.5 Production build/start strategy</w:t>
      </w:r>
    </w:p>
    <w:p>
      <w:r>
        <w:t>The application manifests use TypeScript builds but do not define conventional production start scripts, and no application Dockerfiles were found under apps/packages. Several tsconfigs emit to dist while others inherit the root configuration. A production image strategy must therefore be derived from the actual root tsconfig, workspace configuration and package resolution rather than copied from a generic Node template.</w:t>
      </w:r>
    </w:p>
    <w:p>
      <w:pPr>
        <w:pStyle w:val="Heading2"/>
      </w:pPr>
      <w:r>
        <w:t>6.6 PostgreSQL / Prisma risk</w:t>
      </w:r>
    </w:p>
    <w:p>
      <w:r>
        <w:t>Prisma is configured for PostgreSQL. The root build script was previously identified as containing a prisma db push --accept-data-loss step. Such a command must never be pointed at an existing MITS or Render production database without explicit verification. The safest design is a dedicated AlgoFight PostgreSQL target.</w:t>
      </w:r>
    </w:p>
    <w:tbl>
      <w:tblPr>
        <w:tblW w:type="auto" w:w="0"/>
        <w:tblLook w:firstColumn="1" w:firstRow="1" w:lastColumn="0" w:lastRow="0" w:noHBand="0" w:noVBand="1" w:val="04A0"/>
      </w:tblPr>
      <w:tblGrid>
        <w:gridCol w:w="10080"/>
      </w:tblGrid>
      <w:tr>
        <w:tc>
          <w:tcPr>
            <w:tcW w:type="dxa" w:w="10080"/>
            <w:shd w:fill="EEF3F8"/>
          </w:tcPr>
          <w:p>
            <w:r>
              <w:rPr>
                <w:b/>
              </w:rPr>
              <w:t>Database safety</w:t>
              <w:br/>
            </w:r>
            <w:r>
              <w:t>No data-loss-capable Prisma operation should be executed until the exact target database is identified and isolated.</w:t>
            </w:r>
          </w:p>
        </w:tc>
      </w:tr>
    </w:tbl>
    <w:p/>
    <w:p>
      <w:pPr>
        <w:pStyle w:val="Heading2"/>
      </w:pPr>
      <w:r>
        <w:t>6.7 Redis isolation</w:t>
      </w:r>
    </w:p>
    <w:p>
      <w:r>
        <w:t>The server already has Redis infrastructure, including a host Redis on 127.0.0.1:6379 and existing Docker Redis workloads. Reusing it blindly can create key collisions and operational coupling. The preferred target is a dedicated AlgoFight Redis service on an isolated Docker network, with no unnecessary host publication.</w:t>
      </w:r>
    </w:p>
    <w:p>
      <w:pPr>
        <w:pStyle w:val="Heading2"/>
      </w:pPr>
      <w:r>
        <w:t>6.8 Port conflicts</w:t>
      </w:r>
    </w:p>
    <w:p>
      <w:r>
        <w:t>Host port 3000 is already used by the Evolution frontend. AlgoFight must therefore not blindly publish its API on host port 3000. Any selected public/API/WebSocket/Piston port must be revalidated immediately before deployment.</w:t>
      </w:r>
    </w:p>
    <w:p>
      <w:pPr>
        <w:pStyle w:val="Heading1"/>
      </w:pPr>
      <w:r>
        <w:t>7. Target Architecture (Pending Final Validation)</w:t>
      </w:r>
    </w:p>
    <w:p>
      <w:pPr>
        <w:ind w:left="360" w:right="360"/>
      </w:pPr>
      <w:r>
        <w:rPr>
          <w:rFonts w:ascii="Consolas" w:hAnsi="Consolas"/>
          <w:sz w:val="18"/>
        </w:rPr>
        <w:t>MITS-Web-2</w:t>
        <w:br/>
        <w:t>│</w:t>
        <w:br/>
        <w:t>├── Existing MITS services</w:t>
        <w:br/>
        <w:t>│   └── untouched</w:t>
        <w:br/>
        <w:t>│</w:t>
        <w:br/>
        <w:t>└── Isolated AlgoFight Docker stack</w:t>
        <w:br/>
        <w:t xml:space="preserve">    ├── API</w:t>
        <w:br/>
        <w:t xml:space="preserve">    ├── Worker</w:t>
        <w:br/>
        <w:t xml:space="preserve">    ├── Scheduler</w:t>
        <w:br/>
        <w:t xml:space="preserve">    ├── WebSocket</w:t>
        <w:br/>
        <w:t xml:space="preserve">    ├── PostgreSQL (dedicated)</w:t>
        <w:br/>
        <w:t xml:space="preserve">    ├── Redis (dedicated)</w:t>
        <w:br/>
        <w:t xml:space="preserve">    ├── Piston-1</w:t>
        <w:br/>
        <w:t xml:space="preserve">    └── Piston-2</w:t>
        <w:br/>
        <w:br/>
        <w:t>Execution:</w:t>
        <w:br/>
        <w:t>AlgoFight → local Piston-1 / Piston-2</w:t>
        <w:br/>
        <w:t xml:space="preserve">                     │</w:t>
        <w:br/>
        <w:t xml:space="preserve">                     └── NO public emkc.org fallback</w:t>
      </w:r>
    </w:p>
    <w:p>
      <w:r>
        <w:t>This is a design target, not an instruction to deploy. The exact API-to-Piston networking model remains pending Dockerode/runtime-factory inspection.</w:t>
      </w:r>
    </w:p>
    <w:p>
      <w:pPr>
        <w:pStyle w:val="Heading1"/>
      </w:pPr>
      <w:r>
        <w:t>8. Environment Design Direction</w:t>
      </w:r>
    </w:p>
    <w:p>
      <w:pPr>
        <w:ind w:left="360" w:right="360"/>
      </w:pPr>
      <w:r>
        <w:rPr>
          <w:rFonts w:ascii="Consolas" w:hAnsi="Consolas"/>
          <w:sz w:val="18"/>
        </w:rPr>
        <w:t>DATABASE_URL=</w:t>
        <w:br/>
        <w:t>REDIS_HOST=</w:t>
        <w:br/>
        <w:t>REDIS_PORT=</w:t>
        <w:br/>
        <w:t>PORT=</w:t>
        <w:br/>
        <w:t>WS_PORT=</w:t>
        <w:br/>
        <w:t>ADMIN_SECRET_KEY=</w:t>
        <w:br/>
        <w:t>GATEWAY_CLUSTER_SECRET=</w:t>
      </w:r>
    </w:p>
    <w:p>
      <w:r>
        <w:t>The repository's environment example establishes these concepts. For Docker, internal services will likely be addressed by Compose service names rather than localhost. Exact variables must be taken from the actual configuration source before creating production configuration.</w:t>
      </w:r>
    </w:p>
    <w:p>
      <w:r>
        <w:t>Never place actual passwords, database URLs, OAuth secrets, admin secrets, gateway secrets or tokens in this document.</w:t>
      </w:r>
    </w:p>
    <w:p>
      <w:pPr>
        <w:pStyle w:val="Heading1"/>
      </w:pPr>
      <w:r>
        <w:t>9. Piston Deployment Policy</w:t>
      </w:r>
    </w:p>
    <w:p>
      <w:pPr>
        <w:pStyle w:val="ListBullet"/>
      </w:pPr>
      <w:r>
        <w:t>All code execution remains on MITS.</w:t>
      </w:r>
    </w:p>
    <w:p>
      <w:pPr>
        <w:pStyle w:val="ListBullet"/>
      </w:pPr>
      <w:r>
        <w:t>Piston-1 and Piston-2 provide the baseline local execution capacity.</w:t>
      </w:r>
    </w:p>
    <w:p>
      <w:pPr>
        <w:pStyle w:val="ListBullet"/>
      </w:pPr>
      <w:r>
        <w:t>The public Piston endpoint is not an allowed fallback.</w:t>
      </w:r>
    </w:p>
    <w:p>
      <w:pPr>
        <w:pStyle w:val="ListBullet"/>
      </w:pPr>
      <w:r>
        <w:t>If both local runtimes fail, AlgoFight reports local execution/availability failure.</w:t>
      </w:r>
    </w:p>
    <w:p>
      <w:pPr>
        <w:pStyle w:val="ListBullet"/>
      </w:pPr>
      <w:r>
        <w:t>Any Dockerode-based runtime creation/scaling must be reconciled with the static Piston deployment.</w:t>
      </w:r>
    </w:p>
    <w:p>
      <w:pPr>
        <w:pStyle w:val="ListBullet"/>
      </w:pPr>
      <w:r>
        <w:t>All localhost-based execution paths must be reconciled with the final container/network topology.</w:t>
      </w:r>
    </w:p>
    <w:p>
      <w:pPr>
        <w:pStyle w:val="Heading1"/>
      </w:pPr>
      <w:r>
        <w:t>10. Security and Operational Guardrails</w:t>
      </w:r>
    </w:p>
    <w:p>
      <w:pPr>
        <w:pStyle w:val="ListBullet"/>
      </w:pPr>
      <w:r>
        <w:t>Do not expose .env contents, database passwords, OAuth secrets, admin secrets or tokens.</w:t>
      </w:r>
    </w:p>
    <w:p>
      <w:pPr>
        <w:pStyle w:val="ListBullet"/>
      </w:pPr>
      <w:r>
        <w:t>Do not grant Docker socket access until Dockerode usage proves it is required.</w:t>
      </w:r>
    </w:p>
    <w:p>
      <w:pPr>
        <w:pStyle w:val="ListBullet"/>
      </w:pPr>
      <w:r>
        <w:t>Do not reuse existing MITS volumes for AlgoFight.</w:t>
      </w:r>
    </w:p>
    <w:p>
      <w:pPr>
        <w:pStyle w:val="ListBullet"/>
      </w:pPr>
      <w:r>
        <w:t>Use a dedicated AlgoFight Docker network.</w:t>
      </w:r>
    </w:p>
    <w:p>
      <w:pPr>
        <w:pStyle w:val="ListBullet"/>
      </w:pPr>
      <w:r>
        <w:t>Do not connect to existing MITS networks unless a concrete dependency requires it.</w:t>
      </w:r>
    </w:p>
    <w:p>
      <w:pPr>
        <w:pStyle w:val="ListBullet"/>
      </w:pPr>
      <w:r>
        <w:t>Do not stop or restart unrelated MITS containers.</w:t>
      </w:r>
    </w:p>
    <w:p>
      <w:pPr>
        <w:pStyle w:val="ListBullet"/>
      </w:pPr>
      <w:r>
        <w:t>Do not run docker system prune, docker volume prune or docker network prune.</w:t>
      </w:r>
    </w:p>
    <w:p>
      <w:pPr>
        <w:pStyle w:val="ListBullet"/>
      </w:pPr>
      <w:r>
        <w:t>Do not remove existing Docker volumes.</w:t>
      </w:r>
    </w:p>
    <w:p>
      <w:pPr>
        <w:pStyle w:val="ListBullet"/>
      </w:pPr>
      <w:r>
        <w:t>Do not use sudo, consistent with the administrator's instruction.</w:t>
      </w:r>
    </w:p>
    <w:p>
      <w:pPr>
        <w:pStyle w:val="ListBullet"/>
      </w:pPr>
      <w:r>
        <w:t>Do not run Prisma --accept-data-loss against an unverified target.</w:t>
      </w:r>
    </w:p>
    <w:p>
      <w:pPr>
        <w:pStyle w:val="Heading1"/>
      </w:pPr>
      <w:r>
        <w:t>11. Read-Only Validation Still Required</w:t>
      </w:r>
    </w:p>
    <w:p>
      <w:pPr>
        <w:pStyle w:val="ListNumber"/>
      </w:pPr>
      <w:r>
        <w:t>Inspect packages/application/src/docker/docker-client.ts.</w:t>
      </w:r>
    </w:p>
    <w:p>
      <w:pPr>
        <w:pStyle w:val="ListNumber"/>
      </w:pPr>
      <w:r>
        <w:t>Find every meaningful use of the Dockerode client.</w:t>
      </w:r>
    </w:p>
    <w:p>
      <w:pPr>
        <w:pStyle w:val="ListNumber"/>
      </w:pPr>
      <w:r>
        <w:t>Inspect the Piston runtime factory and runtime creation/scaling logic.</w:t>
      </w:r>
    </w:p>
    <w:p>
      <w:pPr>
        <w:pStyle w:val="ListNumber"/>
      </w:pPr>
      <w:r>
        <w:t>Inspect packages/config/src/index.ts for the real environment contract.</w:t>
      </w:r>
    </w:p>
    <w:p>
      <w:pPr>
        <w:pStyle w:val="ListNumber"/>
      </w:pPr>
      <w:r>
        <w:t>Inspect packages/queue/src/client/redis.ts for Redis connection behavior.</w:t>
      </w:r>
    </w:p>
    <w:p>
      <w:pPr>
        <w:pStyle w:val="ListNumber"/>
      </w:pPr>
      <w:r>
        <w:t>Inspect root tsconfig.base.json and workspace/package-manager configuration.</w:t>
      </w:r>
    </w:p>
    <w:p>
      <w:pPr>
        <w:pStyle w:val="ListNumber"/>
      </w:pPr>
      <w:r>
        <w:t>Inspect Prisma schema and migration structure.</w:t>
      </w:r>
    </w:p>
    <w:p>
      <w:pPr>
        <w:pStyle w:val="ListNumber"/>
      </w:pPr>
      <w:r>
        <w:t>Inspect docker/docker-compose.dev.yml and the existing Piston Compose file.</w:t>
      </w:r>
    </w:p>
    <w:p>
      <w:pPr>
        <w:pStyle w:val="ListNumber"/>
      </w:pPr>
      <w:r>
        <w:t>Determine whether API/worker need host Docker socket access.</w:t>
      </w:r>
    </w:p>
    <w:p>
      <w:pPr>
        <w:pStyle w:val="ListNumber"/>
      </w:pPr>
      <w:r>
        <w:t>Determine whether Piston should be reached through host ports, Docker service names, or another controlled route.</w:t>
      </w:r>
    </w:p>
    <w:p>
      <w:pPr>
        <w:pStyle w:val="ListNumber"/>
      </w:pPr>
      <w:r>
        <w:t>Determine the minimum source changes needed to guarantee no public Piston fallback.</w:t>
      </w:r>
    </w:p>
    <w:p>
      <w:pPr>
        <w:pStyle w:val="Heading1"/>
      </w:pPr>
      <w:r>
        <w:t>12. Implementation Order — After Validation</w:t>
      </w:r>
    </w:p>
    <w:p>
      <w:pPr>
        <w:pStyle w:val="ListNumber"/>
      </w:pPr>
      <w:r>
        <w:t>Create or modify only the required Docker build/Compose files.</w:t>
      </w:r>
    </w:p>
    <w:p>
      <w:pPr>
        <w:pStyle w:val="ListNumber"/>
      </w:pPr>
      <w:r>
        <w:t>Build images without touching existing MITS containers.</w:t>
      </w:r>
    </w:p>
    <w:p>
      <w:pPr>
        <w:pStyle w:val="ListNumber"/>
      </w:pPr>
      <w:r>
        <w:t>Create only dedicated AlgoFight network/volumes.</w:t>
      </w:r>
    </w:p>
    <w:p>
      <w:pPr>
        <w:pStyle w:val="ListNumber"/>
      </w:pPr>
      <w:r>
        <w:t>Start and validate dedicated PostgreSQL.</w:t>
      </w:r>
    </w:p>
    <w:p>
      <w:pPr>
        <w:pStyle w:val="ListNumber"/>
      </w:pPr>
      <w:r>
        <w:t>Start and validate dedicated Redis.</w:t>
      </w:r>
    </w:p>
    <w:p>
      <w:pPr>
        <w:pStyle w:val="ListNumber"/>
      </w:pPr>
      <w:r>
        <w:t>Start Piston instances and test local execution directly.</w:t>
      </w:r>
    </w:p>
    <w:p>
      <w:pPr>
        <w:pStyle w:val="ListNumber"/>
      </w:pPr>
      <w:r>
        <w:t>Start API, worker, scheduler and WebSocket services.</w:t>
      </w:r>
    </w:p>
    <w:p>
      <w:pPr>
        <w:pStyle w:val="ListNumber"/>
      </w:pPr>
      <w:r>
        <w:t>Validate internal connectivity and database/queue behavior.</w:t>
      </w:r>
    </w:p>
    <w:p>
      <w:pPr>
        <w:pStyle w:val="ListNumber"/>
      </w:pPr>
      <w:r>
        <w:t>Test normal code execution.</w:t>
      </w:r>
    </w:p>
    <w:p>
      <w:pPr>
        <w:pStyle w:val="ListNumber"/>
      </w:pPr>
      <w:r>
        <w:t>Test local Piston failure behavior and confirm there is no public fallback.</w:t>
      </w:r>
    </w:p>
    <w:p>
      <w:pPr>
        <w:pStyle w:val="ListNumber"/>
      </w:pPr>
      <w:r>
        <w:t>Expose only the required external ports after internal validation.</w:t>
      </w:r>
    </w:p>
    <w:p>
      <w:pPr>
        <w:pStyle w:val="Heading1"/>
      </w:pPr>
      <w:r>
        <w:t>13. Acceptance Criteria</w:t>
      </w:r>
    </w:p>
    <w:p>
      <w:pPr>
        <w:pStyle w:val="ListBullet"/>
      </w:pPr>
      <w:r>
        <w:t>Existing MITS services remain running and unchanged.</w:t>
      </w:r>
    </w:p>
    <w:p>
      <w:pPr>
        <w:pStyle w:val="ListBullet"/>
      </w:pPr>
      <w:r>
        <w:t>AlgoFight has an isolated Docker network.</w:t>
      </w:r>
    </w:p>
    <w:p>
      <w:pPr>
        <w:pStyle w:val="ListBullet"/>
      </w:pPr>
      <w:r>
        <w:t>AlgoFight PostgreSQL is dedicated and persistent.</w:t>
      </w:r>
    </w:p>
    <w:p>
      <w:pPr>
        <w:pStyle w:val="ListBullet"/>
      </w:pPr>
      <w:r>
        <w:t>AlgoFight Redis is dedicated and isolated.</w:t>
      </w:r>
    </w:p>
    <w:p>
      <w:pPr>
        <w:pStyle w:val="ListBullet"/>
      </w:pPr>
      <w:r>
        <w:t>API starts with the intended environment.</w:t>
      </w:r>
    </w:p>
    <w:p>
      <w:pPr>
        <w:pStyle w:val="ListBullet"/>
      </w:pPr>
      <w:r>
        <w:t>Worker consumes BullMQ jobs.</w:t>
      </w:r>
    </w:p>
    <w:p>
      <w:pPr>
        <w:pStyle w:val="ListBullet"/>
      </w:pPr>
      <w:r>
        <w:t>Scheduler runs its jobs.</w:t>
      </w:r>
    </w:p>
    <w:p>
      <w:pPr>
        <w:pStyle w:val="ListBullet"/>
      </w:pPr>
      <w:r>
        <w:t>WebSocket accepts connections.</w:t>
      </w:r>
    </w:p>
    <w:p>
      <w:pPr>
        <w:pStyle w:val="ListBullet"/>
      </w:pPr>
      <w:r>
        <w:t>Piston-1 and Piston-2 execute supported languages locally.</w:t>
      </w:r>
    </w:p>
    <w:p>
      <w:pPr>
        <w:pStyle w:val="ListBullet"/>
      </w:pPr>
      <w:r>
        <w:t>No execution request reaches emkc.org.</w:t>
      </w:r>
    </w:p>
    <w:p>
      <w:pPr>
        <w:pStyle w:val="ListBullet"/>
      </w:pPr>
      <w:r>
        <w:t>No production path depends on Render-internal Redis.</w:t>
      </w:r>
    </w:p>
    <w:p>
      <w:pPr>
        <w:pStyle w:val="ListBullet"/>
      </w:pPr>
      <w:r>
        <w:t>No production path depends on the existing MITS host Redis unless explicitly chosen and verified.</w:t>
      </w:r>
    </w:p>
    <w:p>
      <w:pPr>
        <w:pStyle w:val="ListBullet"/>
      </w:pPr>
      <w:r>
        <w:t>Production does not depend on host Node.js 12.</w:t>
      </w:r>
    </w:p>
    <w:p>
      <w:pPr>
        <w:pStyle w:val="ListBullet"/>
      </w:pPr>
      <w:r>
        <w:t>No secrets appear in logs, Compose output or documentation.</w:t>
      </w:r>
    </w:p>
    <w:p>
      <w:pPr>
        <w:pStyle w:val="Heading1"/>
      </w:pPr>
      <w:r>
        <w:t>14. Current Status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8"/>
              </w:rPr>
              <w:t>Area</w:t>
            </w:r>
          </w:p>
        </w:tc>
        <w:tc>
          <w:tcPr>
            <w:tcW w:type="dxa" w:w="3360"/>
            <w:vAlign w:val="center"/>
            <w:shd w:fill="D9E2F3"/>
          </w:tcPr>
          <w:p>
            <w:r/>
            <w:r>
              <w:rPr>
                <w:b/>
                <w:sz w:val="18"/>
              </w:rPr>
              <w:t>Status</w:t>
            </w:r>
          </w:p>
        </w:tc>
        <w:tc>
          <w:tcPr>
            <w:tcW w:type="dxa" w:w="3360"/>
            <w:vAlign w:val="center"/>
            <w:shd w:fill="D9E2F3"/>
          </w:tcPr>
          <w:p>
            <w:r/>
            <w:r>
              <w:rPr>
                <w:b/>
                <w:sz w:val="18"/>
              </w:rPr>
              <w:t>Meaning</w:t>
            </w:r>
          </w:p>
        </w:tc>
      </w:tr>
      <w:tr>
        <w:tc>
          <w:tcPr>
            <w:tcW w:type="dxa" w:w="3360"/>
            <w:vAlign w:val="center"/>
          </w:tcPr>
          <w:p>
            <w:r/>
            <w:r>
              <w:rPr>
                <w:b w:val="0"/>
                <w:sz w:val="18"/>
              </w:rPr>
              <w:t>Repository architecture</w:t>
            </w:r>
          </w:p>
        </w:tc>
        <w:tc>
          <w:tcPr>
            <w:tcW w:type="dxa" w:w="3360"/>
            <w:vAlign w:val="center"/>
          </w:tcPr>
          <w:p>
            <w:r/>
            <w:r>
              <w:rPr>
                <w:b w:val="0"/>
                <w:sz w:val="18"/>
              </w:rPr>
              <w:t>Partially validated</w:t>
            </w:r>
          </w:p>
        </w:tc>
        <w:tc>
          <w:tcPr>
            <w:tcW w:type="dxa" w:w="3360"/>
            <w:vAlign w:val="center"/>
          </w:tcPr>
          <w:p>
            <w:r/>
            <w:r>
              <w:rPr>
                <w:b w:val="0"/>
                <w:sz w:val="18"/>
              </w:rPr>
              <w:t>Core packages and manifests inspected.</w:t>
            </w:r>
          </w:p>
        </w:tc>
      </w:tr>
      <w:tr>
        <w:tc>
          <w:tcPr>
            <w:tcW w:type="dxa" w:w="3360"/>
            <w:vAlign w:val="center"/>
          </w:tcPr>
          <w:p>
            <w:r/>
            <w:r>
              <w:rPr>
                <w:b w:val="0"/>
                <w:sz w:val="18"/>
              </w:rPr>
              <w:t>MITS Docker state</w:t>
            </w:r>
          </w:p>
        </w:tc>
        <w:tc>
          <w:tcPr>
            <w:tcW w:type="dxa" w:w="3360"/>
            <w:vAlign w:val="center"/>
          </w:tcPr>
          <w:p>
            <w:r/>
            <w:r>
              <w:rPr>
                <w:b w:val="0"/>
                <w:sz w:val="18"/>
              </w:rPr>
              <w:t>Validated at inspection time</w:t>
            </w:r>
          </w:p>
        </w:tc>
        <w:tc>
          <w:tcPr>
            <w:tcW w:type="dxa" w:w="3360"/>
            <w:vAlign w:val="center"/>
          </w:tcPr>
          <w:p>
            <w:r/>
            <w:r>
              <w:rPr>
                <w:b w:val="0"/>
                <w:sz w:val="18"/>
              </w:rPr>
              <w:t>Existing containers/ports/resources observed.</w:t>
            </w:r>
          </w:p>
        </w:tc>
      </w:tr>
      <w:tr>
        <w:tc>
          <w:tcPr>
            <w:tcW w:type="dxa" w:w="3360"/>
            <w:vAlign w:val="center"/>
          </w:tcPr>
          <w:p>
            <w:r/>
            <w:r>
              <w:rPr>
                <w:b w:val="0"/>
                <w:sz w:val="18"/>
              </w:rPr>
              <w:t>PostgreSQL</w:t>
            </w:r>
          </w:p>
        </w:tc>
        <w:tc>
          <w:tcPr>
            <w:tcW w:type="dxa" w:w="3360"/>
            <w:vAlign w:val="center"/>
          </w:tcPr>
          <w:p>
            <w:r/>
            <w:r>
              <w:rPr>
                <w:b w:val="0"/>
                <w:sz w:val="18"/>
              </w:rPr>
              <w:t>Confirmed</w:t>
            </w:r>
          </w:p>
        </w:tc>
        <w:tc>
          <w:tcPr>
            <w:tcW w:type="dxa" w:w="3360"/>
            <w:vAlign w:val="center"/>
          </w:tcPr>
          <w:p>
            <w:r/>
            <w:r>
              <w:rPr>
                <w:b w:val="0"/>
                <w:sz w:val="18"/>
              </w:rPr>
              <w:t>Prisma + PostgreSQL driver.</w:t>
            </w:r>
          </w:p>
        </w:tc>
      </w:tr>
      <w:tr>
        <w:tc>
          <w:tcPr>
            <w:tcW w:type="dxa" w:w="3360"/>
            <w:vAlign w:val="center"/>
          </w:tcPr>
          <w:p>
            <w:r/>
            <w:r>
              <w:rPr>
                <w:b w:val="0"/>
                <w:sz w:val="18"/>
              </w:rPr>
              <w:t>Redis/BullMQ</w:t>
            </w:r>
          </w:p>
        </w:tc>
        <w:tc>
          <w:tcPr>
            <w:tcW w:type="dxa" w:w="3360"/>
            <w:vAlign w:val="center"/>
          </w:tcPr>
          <w:p>
            <w:r/>
            <w:r>
              <w:rPr>
                <w:b w:val="0"/>
                <w:sz w:val="18"/>
              </w:rPr>
              <w:t>Confirmed</w:t>
            </w:r>
          </w:p>
        </w:tc>
        <w:tc>
          <w:tcPr>
            <w:tcW w:type="dxa" w:w="3360"/>
            <w:vAlign w:val="center"/>
          </w:tcPr>
          <w:p>
            <w:r/>
            <w:r>
              <w:rPr>
                <w:b w:val="0"/>
                <w:sz w:val="18"/>
              </w:rPr>
              <w:t>BullMQ + ioredis.</w:t>
            </w:r>
          </w:p>
        </w:tc>
      </w:tr>
      <w:tr>
        <w:tc>
          <w:tcPr>
            <w:tcW w:type="dxa" w:w="3360"/>
            <w:vAlign w:val="center"/>
          </w:tcPr>
          <w:p>
            <w:r/>
            <w:r>
              <w:rPr>
                <w:b w:val="0"/>
                <w:sz w:val="18"/>
              </w:rPr>
              <w:t>Dockerode</w:t>
            </w:r>
          </w:p>
        </w:tc>
        <w:tc>
          <w:tcPr>
            <w:tcW w:type="dxa" w:w="3360"/>
            <w:vAlign w:val="center"/>
          </w:tcPr>
          <w:p>
            <w:r/>
            <w:r>
              <w:rPr>
                <w:b w:val="0"/>
                <w:sz w:val="18"/>
              </w:rPr>
              <w:t>Confirmed</w:t>
            </w:r>
          </w:p>
        </w:tc>
        <w:tc>
          <w:tcPr>
            <w:tcW w:type="dxa" w:w="3360"/>
            <w:vAlign w:val="center"/>
          </w:tcPr>
          <w:p>
            <w:r/>
            <w:r>
              <w:rPr>
                <w:b w:val="0"/>
                <w:sz w:val="18"/>
              </w:rPr>
              <w:t>Actual Docker client initialization found.</w:t>
            </w:r>
          </w:p>
        </w:tc>
      </w:tr>
      <w:tr>
        <w:tc>
          <w:tcPr>
            <w:tcW w:type="dxa" w:w="3360"/>
            <w:vAlign w:val="center"/>
          </w:tcPr>
          <w:p>
            <w:r/>
            <w:r>
              <w:rPr>
                <w:b w:val="0"/>
                <w:sz w:val="18"/>
              </w:rPr>
              <w:t>localhost runtime assumptions</w:t>
            </w:r>
          </w:p>
        </w:tc>
        <w:tc>
          <w:tcPr>
            <w:tcW w:type="dxa" w:w="3360"/>
            <w:vAlign w:val="center"/>
          </w:tcPr>
          <w:p>
            <w:r/>
            <w:r>
              <w:rPr>
                <w:b w:val="0"/>
                <w:sz w:val="18"/>
              </w:rPr>
              <w:t>Confirmed</w:t>
            </w:r>
          </w:p>
        </w:tc>
        <w:tc>
          <w:tcPr>
            <w:tcW w:type="dxa" w:w="3360"/>
            <w:vAlign w:val="center"/>
          </w:tcPr>
          <w:p>
            <w:r/>
            <w:r>
              <w:rPr>
                <w:b w:val="0"/>
                <w:sz w:val="18"/>
              </w:rPr>
              <w:t>Submission controller constructs localhost runtime URLs.</w:t>
            </w:r>
          </w:p>
        </w:tc>
      </w:tr>
      <w:tr>
        <w:tc>
          <w:tcPr>
            <w:tcW w:type="dxa" w:w="3360"/>
            <w:vAlign w:val="center"/>
          </w:tcPr>
          <w:p>
            <w:r/>
            <w:r>
              <w:rPr>
                <w:b w:val="0"/>
                <w:sz w:val="18"/>
              </w:rPr>
              <w:t>Piston baseline ports</w:t>
            </w:r>
          </w:p>
        </w:tc>
        <w:tc>
          <w:tcPr>
            <w:tcW w:type="dxa" w:w="3360"/>
            <w:vAlign w:val="center"/>
          </w:tcPr>
          <w:p>
            <w:r/>
            <w:r>
              <w:rPr>
                <w:b w:val="0"/>
                <w:sz w:val="18"/>
              </w:rPr>
              <w:t>Confirmed</w:t>
            </w:r>
          </w:p>
        </w:tc>
        <w:tc>
          <w:tcPr>
            <w:tcW w:type="dxa" w:w="3360"/>
            <w:vAlign w:val="center"/>
          </w:tcPr>
          <w:p>
            <w:r/>
            <w:r>
              <w:rPr>
                <w:b w:val="0"/>
                <w:sz w:val="18"/>
              </w:rPr>
              <w:t>Runtime pool uses 2001/2002.</w:t>
            </w:r>
          </w:p>
        </w:tc>
      </w:tr>
      <w:tr>
        <w:tc>
          <w:tcPr>
            <w:tcW w:type="dxa" w:w="3360"/>
            <w:vAlign w:val="center"/>
          </w:tcPr>
          <w:p>
            <w:r/>
            <w:r>
              <w:rPr>
                <w:b w:val="0"/>
                <w:sz w:val="18"/>
              </w:rPr>
              <w:t>Public Piston fallback</w:t>
            </w:r>
          </w:p>
        </w:tc>
        <w:tc>
          <w:tcPr>
            <w:tcW w:type="dxa" w:w="3360"/>
            <w:vAlign w:val="center"/>
          </w:tcPr>
          <w:p>
            <w:r/>
            <w:r>
              <w:rPr>
                <w:b w:val="0"/>
                <w:sz w:val="18"/>
              </w:rPr>
              <w:t>Confirmed</w:t>
            </w:r>
          </w:p>
        </w:tc>
        <w:tc>
          <w:tcPr>
            <w:tcW w:type="dxa" w:w="3360"/>
            <w:vAlign w:val="center"/>
          </w:tcPr>
          <w:p>
            <w:r/>
            <w:r>
              <w:rPr>
                <w:b w:val="0"/>
                <w:sz w:val="18"/>
              </w:rPr>
              <w:t>Adapter contains emkc.org fallback.</w:t>
            </w:r>
          </w:p>
        </w:tc>
      </w:tr>
      <w:tr>
        <w:tc>
          <w:tcPr>
            <w:tcW w:type="dxa" w:w="3360"/>
            <w:vAlign w:val="center"/>
          </w:tcPr>
          <w:p>
            <w:r/>
            <w:r>
              <w:rPr>
                <w:b w:val="0"/>
                <w:sz w:val="18"/>
              </w:rPr>
              <w:t>Final Compose topology</w:t>
            </w:r>
          </w:p>
        </w:tc>
        <w:tc>
          <w:tcPr>
            <w:tcW w:type="dxa" w:w="3360"/>
            <w:vAlign w:val="center"/>
          </w:tcPr>
          <w:p>
            <w:r/>
            <w:r>
              <w:rPr>
                <w:b w:val="0"/>
                <w:sz w:val="18"/>
              </w:rPr>
              <w:t>Pending</w:t>
            </w:r>
          </w:p>
        </w:tc>
        <w:tc>
          <w:tcPr>
            <w:tcW w:type="dxa" w:w="3360"/>
            <w:vAlign w:val="center"/>
          </w:tcPr>
          <w:p>
            <w:r/>
            <w:r>
              <w:rPr>
                <w:b w:val="0"/>
                <w:sz w:val="18"/>
              </w:rPr>
              <w:t>Requires remaining runtime/Docker source inspection.</w:t>
            </w:r>
          </w:p>
        </w:tc>
      </w:tr>
      <w:tr>
        <w:tc>
          <w:tcPr>
            <w:tcW w:type="dxa" w:w="3360"/>
            <w:vAlign w:val="center"/>
          </w:tcPr>
          <w:p>
            <w:r/>
            <w:r>
              <w:rPr>
                <w:b w:val="0"/>
                <w:sz w:val="18"/>
              </w:rPr>
              <w:t>Exact source changes</w:t>
            </w:r>
          </w:p>
        </w:tc>
        <w:tc>
          <w:tcPr>
            <w:tcW w:type="dxa" w:w="3360"/>
            <w:vAlign w:val="center"/>
          </w:tcPr>
          <w:p>
            <w:r/>
            <w:r>
              <w:rPr>
                <w:b w:val="0"/>
                <w:sz w:val="18"/>
              </w:rPr>
              <w:t>Pending</w:t>
            </w:r>
          </w:p>
        </w:tc>
        <w:tc>
          <w:tcPr>
            <w:tcW w:type="dxa" w:w="3360"/>
            <w:vAlign w:val="center"/>
          </w:tcPr>
          <w:p>
            <w:r/>
            <w:r>
              <w:rPr>
                <w:b w:val="0"/>
                <w:sz w:val="18"/>
              </w:rPr>
              <w:t>Must be determined from the remaining code.</w:t>
            </w:r>
          </w:p>
        </w:tc>
      </w:tr>
    </w:tbl>
    <w:p/>
    <w:p>
      <w:pPr>
        <w:pStyle w:val="Heading1"/>
      </w:pPr>
      <w:r>
        <w:t>15. Copy-Ready Deployment Rule</w:t>
      </w:r>
    </w:p>
    <w:p>
      <w:pPr>
        <w:ind w:left="360" w:right="360"/>
      </w:pPr>
      <w:r>
        <w:rPr>
          <w:rFonts w:ascii="Consolas" w:hAnsi="Consolas"/>
          <w:sz w:val="18"/>
        </w:rPr>
        <w:t>DO NOT MODIFY THE MITS SERVER BLINDLY.</w:t>
        <w:br/>
        <w:br/>
        <w:t>1. Inspect repository and server state.</w:t>
        <w:br/>
        <w:t>2. Map all AlgoFight dependencies.</w:t>
        <w:br/>
        <w:t>3. Identify conflicts with existing MITS services.</w:t>
        <w:br/>
        <w:t>4. Design an isolated AlgoFight Docker topology.</w:t>
        <w:br/>
        <w:t>5. Validate Dockerode and Piston runtime behavior.</w:t>
        <w:br/>
        <w:t>6. Guarantee that public Piston fallback is disabled.</w:t>
        <w:br/>
        <w:t>7. Resolve localhost/runtime addressing.</w:t>
        <w:br/>
        <w:t>8. Deploy dedicated PostgreSQL and Redis.</w:t>
        <w:br/>
        <w:t>9. Deploy application services.</w:t>
        <w:br/>
        <w:t>10. Test local code execution.</w:t>
        <w:br/>
        <w:t>11. Test local-runtime failure behavior.</w:t>
        <w:br/>
        <w:t>12. Confirm no public Piston requests.</w:t>
        <w:br/>
        <w:t>13. Only then expose required external ports.</w:t>
        <w:br/>
        <w:br/>
        <w:t>Never use destructive Docker cleanup commands or data-loss database commands against unverified resources.</w:t>
      </w:r>
    </w:p>
    <w:tbl>
      <w:tblPr>
        <w:tblW w:type="auto" w:w="0"/>
        <w:tblLook w:firstColumn="1" w:firstRow="1" w:lastColumn="0" w:lastRow="0" w:noHBand="0" w:noVBand="1" w:val="04A0"/>
      </w:tblPr>
      <w:tblGrid>
        <w:gridCol w:w="10080"/>
      </w:tblGrid>
      <w:tr>
        <w:tc>
          <w:tcPr>
            <w:tcW w:type="dxa" w:w="10080"/>
            <w:shd w:fill="EEF3F8"/>
          </w:tcPr>
          <w:p>
            <w:r>
              <w:rPr>
                <w:b/>
              </w:rPr>
              <w:t>Status</w:t>
              <w:br/>
            </w:r>
            <w:r>
              <w:t>This document deliberately separates confirmed findings from proposed architecture. The target architecture is not a command to execute. Remaining read-only inspection must be completed before implementation.</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AlgoFight • MITS Server Deployment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