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&lt;title&gt;3000 Years&lt;/title&gt;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href="https://fonts.googleapis.com/css2?family=Playfair+Display:ital,wght@0,500;1,600&amp;display=swap"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font-family: 'Playfair Display', 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background-color: #fdfaf7;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color: #2e2e2e;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min-height: 100vh;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max-width: 700px;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padding: 40px;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background-color: #ffffff;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box-shadow: 0 10px 30px rgba(0, 0, 0, 0.1);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line-height: 1.8;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white-space: pre-wrap;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font-style: italic;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margin-bottom: 30px;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.audio-player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margin-top: 40px;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font-size: 14px;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font-style: italic;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color: #888;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&lt;h1&gt;3000 Years&lt;/h1&gt;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&lt;div class="poem"&gt;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was promised of your heart 3000 years ago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you were promised of my gentle soul of the same years ago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are the odds that 4 years later after leaving a place of heartbreak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will meet someone that makes my heart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sound familiar in the most specific ways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feel home in the most definitive ways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you weren’t meant for me to hold in the books of God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you weren’t meant for me to be in love with in the words of a pious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Will you at least have my arms and poems on your worst days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have my ears and my warmth on your defeated, beaten hours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will you have me again sayang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when my heart is beating your 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&lt;footer&gt;— a poem by Arina&lt;/footer&gt;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&lt;!-- Hidden YouTube autoplay of "Cincin" by Hindia --&gt;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&lt;div class="audio-player"&gt;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&lt;iframe width="0" height="0" src="https://www.youtube.com/embed/S0Kez6MERGE?autoplay=1&amp;loop=1&amp;playlist=S0Kez6MERGE"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frameborder="0" allow="autoplay; encrypted-media" allowfullscreen&gt;&lt;/iframe&gt;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