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32"/>
          <w:szCs w:val="32"/>
        </w:rPr>
      </w:pPr>
      <w:bookmarkStart w:name="_gjdgxs" w:id="0"/>
      <w:bookmarkEnd w:id="0"/>
      <w:r>
        <w:rPr>
          <w:sz w:val="32"/>
          <w:szCs w:val="32"/>
          <w:rtl w:val="0"/>
          <w:lang w:val="en-US"/>
        </w:rPr>
        <w:t>T</w:t>
      </w:r>
      <w:r>
        <w:rPr>
          <w:sz w:val="32"/>
          <w:szCs w:val="32"/>
          <w:rtl w:val="0"/>
          <w:lang w:val="en-US"/>
        </w:rPr>
        <w:t>elehealth as a means of enabling health equity: results of a modified Delphi process</w:t>
      </w:r>
    </w:p>
    <w:p>
      <w:pPr>
        <w:pStyle w:val="Body"/>
      </w:pPr>
    </w:p>
    <w:p>
      <w:pPr>
        <w:pStyle w:val="Body"/>
      </w:pPr>
      <w:r>
        <w:rPr>
          <w:rtl w:val="0"/>
        </w:rPr>
        <w:t>C Kuziemsky, MacEwan University, Edmonton, Alberta, Canada</w:t>
      </w:r>
      <w:r>
        <w:rPr>
          <w:rtl w:val="0"/>
          <w:lang w:val="en-US"/>
        </w:rPr>
        <w:t>,</w:t>
      </w:r>
      <w:r>
        <w:rPr>
          <w:rtl w:val="0"/>
        </w:rPr>
        <w:t xml:space="preserve"> kuziemskyc@macewan.ca</w:t>
      </w:r>
    </w:p>
    <w:p>
      <w:pPr>
        <w:pStyle w:val="Body"/>
      </w:pPr>
    </w:p>
    <w:p>
      <w:pPr>
        <w:pStyle w:val="Body"/>
      </w:pPr>
      <w:r>
        <w:rPr>
          <w:rtl w:val="0"/>
          <w:lang w:val="en-US"/>
        </w:rPr>
        <w:t xml:space="preserve">I Hunter, Massey University, </w:t>
      </w:r>
      <w:r>
        <w:rPr>
          <w:rStyle w:val="Hyperlink.0"/>
        </w:rPr>
        <w:fldChar w:fldCharType="begin" w:fldLock="0"/>
      </w:r>
      <w:r>
        <w:rPr>
          <w:rStyle w:val="Hyperlink.0"/>
        </w:rPr>
        <w:instrText xml:space="preserve"> HYPERLINK "mailto:I.Hunter@massey.ac.nz"</w:instrText>
      </w:r>
      <w:r>
        <w:rPr>
          <w:rStyle w:val="Hyperlink.0"/>
        </w:rPr>
        <w:fldChar w:fldCharType="separate" w:fldLock="0"/>
      </w:r>
      <w:r>
        <w:rPr>
          <w:rStyle w:val="Hyperlink.0"/>
          <w:rtl w:val="0"/>
          <w:lang w:val="it-IT"/>
        </w:rPr>
        <w:t>I.Hunter@massey.ac.nz</w:t>
      </w:r>
      <w:r>
        <w:rPr/>
        <w:fldChar w:fldCharType="end" w:fldLock="0"/>
      </w:r>
    </w:p>
    <w:p>
      <w:pPr>
        <w:pStyle w:val="Body"/>
      </w:pPr>
    </w:p>
    <w:p>
      <w:pPr>
        <w:pStyle w:val="Body"/>
      </w:pPr>
      <w:r>
        <w:rPr>
          <w:rtl w:val="0"/>
          <w:lang w:val="en-US"/>
        </w:rPr>
        <w:t xml:space="preserve">A Taylor, </w:t>
      </w:r>
      <w:r>
        <w:rPr>
          <w:rtl w:val="0"/>
          <w:lang w:val="en-US"/>
        </w:rPr>
        <w:t>Flinders University, South Australia,</w:t>
      </w:r>
      <w:r>
        <w:rPr>
          <w:rtl w:val="0"/>
        </w:rPr>
        <w:t> </w:t>
      </w:r>
      <w:r>
        <w:rPr>
          <w:rStyle w:val="Hyperlink.1"/>
        </w:rPr>
        <w:fldChar w:fldCharType="begin" w:fldLock="0"/>
      </w:r>
      <w:r>
        <w:rPr>
          <w:rStyle w:val="Hyperlink.1"/>
        </w:rPr>
        <w:instrText xml:space="preserve"> HYPERLINK "mailto:alan.taylor@flinders.edu.au"</w:instrText>
      </w:r>
      <w:r>
        <w:rPr>
          <w:rStyle w:val="Hyperlink.1"/>
        </w:rPr>
        <w:fldChar w:fldCharType="separate" w:fldLock="0"/>
      </w:r>
      <w:r>
        <w:rPr>
          <w:rStyle w:val="Hyperlink.1"/>
          <w:rtl w:val="0"/>
        </w:rPr>
        <w:t>alan.taylor@flinders.edu.au</w:t>
      </w:r>
      <w:r>
        <w:rPr/>
        <w:fldChar w:fldCharType="end" w:fldLock="0"/>
      </w:r>
    </w:p>
    <w:p>
      <w:pPr>
        <w:pStyle w:val="Body"/>
      </w:pPr>
    </w:p>
    <w:p>
      <w:pPr>
        <w:pStyle w:val="Body"/>
      </w:pPr>
      <w:r>
        <w:rPr>
          <w:rStyle w:val="None"/>
          <w:rtl w:val="0"/>
        </w:rPr>
        <w:t xml:space="preserve">JG Udayasankaran, Sri Sathya Sai Central Trust, India, au.jaiganesh@gmail.com </w:t>
      </w:r>
    </w:p>
    <w:p>
      <w:pPr>
        <w:pStyle w:val="Body"/>
      </w:pPr>
    </w:p>
    <w:p>
      <w:pPr>
        <w:pStyle w:val="Body"/>
      </w:pPr>
      <w:r>
        <w:rPr>
          <w:rStyle w:val="None"/>
          <w:rtl w:val="0"/>
          <w:lang w:val="en-US"/>
        </w:rPr>
        <w:t>P Ranatunga, Provincial Department of Health Services - North-Western Province - Sri Lanka, ranatunga.lk@gmail.com</w:t>
      </w:r>
    </w:p>
    <w:p>
      <w:pPr>
        <w:pStyle w:val="Body"/>
      </w:pPr>
    </w:p>
    <w:p>
      <w:pPr>
        <w:pStyle w:val="Body"/>
      </w:pPr>
      <w:r>
        <w:rPr>
          <w:rStyle w:val="None"/>
          <w:rtl w:val="0"/>
          <w:lang w:val="en-US"/>
        </w:rPr>
        <w:t>G Kulatunga, Health Information Unit, Ministry of Health, Sri Lanka. gumindu@gmail.com</w:t>
      </w:r>
    </w:p>
    <w:p>
      <w:pPr>
        <w:pStyle w:val="Body"/>
      </w:pPr>
    </w:p>
    <w:p>
      <w:pPr>
        <w:pStyle w:val="Body"/>
      </w:pPr>
      <w:r>
        <w:rPr>
          <w:rStyle w:val="None"/>
          <w:rtl w:val="0"/>
        </w:rPr>
        <w:t>S John ,Sankara Nethralaya</w:t>
      </w:r>
      <w:r>
        <w:rPr>
          <w:rStyle w:val="None"/>
          <w:rtl w:val="0"/>
          <w:lang w:val="en-US"/>
        </w:rPr>
        <w:t xml:space="preserve">, Chennai, </w:t>
      </w:r>
      <w:r>
        <w:rPr>
          <w:rStyle w:val="None"/>
          <w:rtl w:val="0"/>
          <w:lang w:val="it-IT"/>
        </w:rPr>
        <w:t>India</w:t>
      </w:r>
      <w:r>
        <w:rPr>
          <w:rStyle w:val="None"/>
          <w:rtl w:val="0"/>
          <w:lang w:val="en-US"/>
        </w:rPr>
        <w:t>,</w:t>
      </w:r>
      <w:r>
        <w:rPr>
          <w:rStyle w:val="None"/>
          <w:rtl w:val="0"/>
          <w:lang w:val="en-US"/>
        </w:rPr>
        <w:t xml:space="preserve"> sheilajohn999@gmail.com</w:t>
      </w:r>
    </w:p>
    <w:p>
      <w:pPr>
        <w:pStyle w:val="Body"/>
      </w:pPr>
    </w:p>
    <w:p>
      <w:pPr>
        <w:pStyle w:val="Body"/>
      </w:pPr>
      <w:r>
        <w:rPr>
          <w:rStyle w:val="None"/>
          <w:rtl w:val="0"/>
          <w:lang w:val="en-US"/>
        </w:rPr>
        <w:t>O John, George Institute for Global Health, UNSW, New Delhi susheel.john@gmail.com</w:t>
      </w:r>
    </w:p>
    <w:p>
      <w:pPr>
        <w:pStyle w:val="Body"/>
      </w:pPr>
    </w:p>
    <w:p>
      <w:pPr>
        <w:pStyle w:val="Body"/>
      </w:pPr>
      <w:r>
        <w:rPr>
          <w:rStyle w:val="None"/>
          <w:rtl w:val="0"/>
        </w:rPr>
        <w:t>JF Fl</w:t>
      </w:r>
      <w:r>
        <w:rPr>
          <w:rStyle w:val="None"/>
          <w:rtl w:val="0"/>
          <w:lang w:val="es-ES_tradnl"/>
        </w:rPr>
        <w:t>ó</w:t>
      </w:r>
      <w:r>
        <w:rPr>
          <w:rStyle w:val="None"/>
          <w:rtl w:val="0"/>
          <w:lang w:val="en-US"/>
        </w:rPr>
        <w:t>rez-Arango, Department of Epidemiology and Biostatistics, CUNY Graduate School of Public Health, jose.florez-arango@sph.cuny.edu</w:t>
      </w:r>
    </w:p>
    <w:p>
      <w:pPr>
        <w:pStyle w:val="Body"/>
      </w:pPr>
    </w:p>
    <w:p>
      <w:pPr>
        <w:pStyle w:val="Body"/>
      </w:pPr>
      <w:r>
        <w:rPr>
          <w:rStyle w:val="None"/>
          <w:rtl w:val="0"/>
          <w:lang w:val="en-US"/>
        </w:rPr>
        <w:t>M Ito, Professional Master's Program in Productive Systems, Centro Estadual de Educa</w:t>
      </w:r>
      <w:r>
        <w:rPr>
          <w:rStyle w:val="None"/>
          <w:rtl w:val="0"/>
          <w:lang w:val="pt-PT"/>
        </w:rPr>
        <w:t>çã</w:t>
      </w:r>
      <w:r>
        <w:rPr>
          <w:rStyle w:val="None"/>
          <w:rtl w:val="0"/>
          <w:lang w:val="it-IT"/>
        </w:rPr>
        <w:t>o Tecnol</w:t>
      </w:r>
      <w:r>
        <w:rPr>
          <w:rStyle w:val="None"/>
          <w:rtl w:val="0"/>
          <w:lang w:val="es-ES_tradnl"/>
        </w:rPr>
        <w:t>ó</w:t>
      </w:r>
      <w:r>
        <w:rPr>
          <w:rStyle w:val="None"/>
          <w:rtl w:val="0"/>
          <w:lang w:val="it-IT"/>
        </w:rPr>
        <w:t>gica Paula Souza, S</w:t>
      </w:r>
      <w:r>
        <w:rPr>
          <w:rStyle w:val="None"/>
          <w:rtl w:val="0"/>
          <w:lang w:val="pt-PT"/>
        </w:rPr>
        <w:t>ã</w:t>
      </w:r>
      <w:r>
        <w:rPr>
          <w:rStyle w:val="None"/>
          <w:rtl w:val="0"/>
          <w:lang w:val="pt-PT"/>
        </w:rPr>
        <w:t xml:space="preserve">o Paulo, Brazil, marciaito2000@gmail.com </w:t>
      </w:r>
    </w:p>
    <w:p>
      <w:pPr>
        <w:pStyle w:val="Body"/>
      </w:pPr>
    </w:p>
    <w:p>
      <w:pPr>
        <w:pStyle w:val="Body"/>
      </w:pPr>
      <w:r>
        <w:rPr>
          <w:rStyle w:val="None"/>
          <w:rtl w:val="0"/>
          <w:lang w:val="en-US"/>
        </w:rPr>
        <w:t xml:space="preserve">K Ho, Department of Emergency Medicine, Faculty of Medicine, University of British Columbia, Vancouver, BC, Canada. kendall.ho@ubc.ca </w:t>
      </w:r>
    </w:p>
    <w:p>
      <w:pPr>
        <w:pStyle w:val="Body"/>
      </w:pPr>
    </w:p>
    <w:p>
      <w:pPr>
        <w:pStyle w:val="Body"/>
      </w:pPr>
      <w:r>
        <w:rPr>
          <w:rStyle w:val="None"/>
          <w:rtl w:val="0"/>
        </w:rPr>
        <w:t>S</w:t>
      </w:r>
      <w:r>
        <w:rPr>
          <w:rStyle w:val="None"/>
          <w:rtl w:val="0"/>
          <w:lang w:val="en-US"/>
        </w:rPr>
        <w:t xml:space="preserve">B </w:t>
      </w:r>
      <w:r>
        <w:rPr>
          <w:rStyle w:val="None"/>
          <w:rtl w:val="0"/>
          <w:lang w:val="it-IT"/>
        </w:rPr>
        <w:t>Gogia</w:t>
      </w:r>
      <w:r>
        <w:rPr>
          <w:rStyle w:val="None"/>
          <w:rtl w:val="0"/>
          <w:lang w:val="en-US"/>
        </w:rPr>
        <w:t>,</w:t>
      </w:r>
      <w:r>
        <w:rPr>
          <w:rStyle w:val="None"/>
          <w:rtl w:val="0"/>
          <w:lang w:val="en-US"/>
        </w:rPr>
        <w:t xml:space="preserve"> Society for Administration of Telemedicine and Healthcare Informatics (SATHI), New Delhi, India gogia7@gmail.com </w:t>
      </w:r>
    </w:p>
    <w:p>
      <w:pPr>
        <w:pStyle w:val="Body"/>
      </w:pPr>
    </w:p>
    <w:p>
      <w:pPr>
        <w:pStyle w:val="Body"/>
      </w:pPr>
      <w:r>
        <w:rPr>
          <w:rStyle w:val="None"/>
          <w:rtl w:val="0"/>
          <w:lang w:val="fr-FR"/>
        </w:rPr>
        <w:t>K Araujo, NUTES - N</w:t>
      </w:r>
      <w:r>
        <w:rPr>
          <w:rStyle w:val="None"/>
          <w:rtl w:val="0"/>
        </w:rPr>
        <w:t>ú</w:t>
      </w:r>
      <w:r>
        <w:rPr>
          <w:rStyle w:val="None"/>
          <w:rtl w:val="0"/>
          <w:lang w:val="it-IT"/>
        </w:rPr>
        <w:t>cleo de Telessa</w:t>
      </w:r>
      <w:r>
        <w:rPr>
          <w:rStyle w:val="None"/>
          <w:rtl w:val="0"/>
        </w:rPr>
        <w:t>ú</w:t>
      </w:r>
      <w:r>
        <w:rPr>
          <w:rStyle w:val="None"/>
          <w:rtl w:val="0"/>
          <w:lang w:val="pt-PT"/>
        </w:rPr>
        <w:t xml:space="preserve">de, Universidade Federal de Pernambuco, Brazil, klebersaraujo@gmail.com </w:t>
      </w:r>
    </w:p>
    <w:p>
      <w:pPr>
        <w:pStyle w:val="Body"/>
      </w:pPr>
    </w:p>
    <w:p>
      <w:pPr>
        <w:pStyle w:val="Body"/>
      </w:pPr>
      <w:r>
        <w:rPr>
          <w:rStyle w:val="None"/>
          <w:rtl w:val="0"/>
        </w:rPr>
        <w:t>VK Rajput, Keele University, Staffordshire, UK vije@stonydelphmedical.com</w:t>
      </w:r>
    </w:p>
    <w:p>
      <w:pPr>
        <w:pStyle w:val="Body"/>
      </w:pPr>
    </w:p>
    <w:p>
      <w:pPr>
        <w:pStyle w:val="Body"/>
        <w:rPr>
          <w:rStyle w:val="None"/>
        </w:rPr>
      </w:pPr>
      <w:r>
        <w:rPr>
          <w:rStyle w:val="None"/>
          <w:rtl w:val="0"/>
          <w:lang w:val="en-US"/>
        </w:rPr>
        <w:t xml:space="preserve">W Meijer, Quality Assurance eHealth, </w:t>
      </w:r>
      <w:r>
        <w:rPr>
          <w:rStyle w:val="Hyperlink.0"/>
        </w:rPr>
        <w:fldChar w:fldCharType="begin" w:fldLock="0"/>
      </w:r>
      <w:r>
        <w:rPr>
          <w:rStyle w:val="Hyperlink.0"/>
        </w:rPr>
        <w:instrText xml:space="preserve"> HYPERLINK "mailto:woutermeijer@tele2.nl"</w:instrText>
      </w:r>
      <w:r>
        <w:rPr>
          <w:rStyle w:val="Hyperlink.0"/>
        </w:rPr>
        <w:fldChar w:fldCharType="separate" w:fldLock="0"/>
      </w:r>
      <w:r>
        <w:rPr>
          <w:rStyle w:val="Hyperlink.0"/>
          <w:rtl w:val="0"/>
          <w:lang w:val="nl-NL"/>
        </w:rPr>
        <w:t>woutermeijer@tele2.nl</w:t>
      </w:r>
      <w:r>
        <w:rPr/>
        <w:fldChar w:fldCharType="end" w:fldLock="0"/>
      </w:r>
    </w:p>
    <w:p>
      <w:pPr>
        <w:pStyle w:val="Body"/>
        <w:rPr>
          <w:rStyle w:val="None"/>
        </w:rPr>
      </w:pPr>
    </w:p>
    <w:p>
      <w:pPr>
        <w:pStyle w:val="Body"/>
      </w:pPr>
      <w:r>
        <w:rPr>
          <w:rStyle w:val="None"/>
          <w:rtl w:val="0"/>
        </w:rPr>
        <w:t>M</w:t>
      </w:r>
      <w:r>
        <w:rPr>
          <w:rStyle w:val="None"/>
          <w:rtl w:val="0"/>
          <w:lang w:val="en-US"/>
        </w:rPr>
        <w:t>S</w:t>
      </w:r>
      <w:r>
        <w:rPr>
          <w:rStyle w:val="None"/>
          <w:rtl w:val="0"/>
        </w:rPr>
        <w:t xml:space="preserve"> Iyengar</w:t>
      </w:r>
      <w:r>
        <w:rPr>
          <w:rStyle w:val="None"/>
          <w:rtl w:val="0"/>
          <w:lang w:val="en-US"/>
        </w:rPr>
        <w:t xml:space="preserve">, University of Arizona College of Medicine, </w:t>
      </w:r>
      <w:r>
        <w:rPr>
          <w:rStyle w:val="None"/>
          <w:rtl w:val="0"/>
        </w:rPr>
        <w:t>msiyengar@arizona.edu</w:t>
      </w:r>
    </w:p>
    <w:p>
      <w:pPr>
        <w:pStyle w:val="Body"/>
      </w:pPr>
    </w:p>
    <w:p>
      <w:pPr>
        <w:pStyle w:val="Body"/>
      </w:pPr>
      <w:r>
        <w:rPr>
          <w:rStyle w:val="None"/>
          <w:rtl w:val="0"/>
          <w:lang w:val="en-US"/>
        </w:rPr>
        <w:t xml:space="preserve">A Basu, School of Health Sciences, University of Canterbury, arindam.basu@canterbury.ac.nz </w:t>
      </w:r>
    </w:p>
    <w:p>
      <w:pPr>
        <w:pStyle w:val="Body"/>
      </w:pPr>
    </w:p>
    <w:p>
      <w:pPr>
        <w:pStyle w:val="Body"/>
        <w:rPr>
          <w:rStyle w:val="None"/>
          <w:u w:val="single"/>
        </w:rPr>
      </w:pPr>
      <w:r>
        <w:rPr>
          <w:rStyle w:val="None"/>
          <w:u w:val="single"/>
          <w:rtl w:val="0"/>
          <w:lang w:val="en-US"/>
        </w:rPr>
        <w:t>Corresponding author</w:t>
      </w:r>
    </w:p>
    <w:p>
      <w:pPr>
        <w:pStyle w:val="Body"/>
      </w:pPr>
    </w:p>
    <w:p>
      <w:pPr>
        <w:pStyle w:val="Body"/>
      </w:pPr>
      <w:r>
        <w:rPr>
          <w:rStyle w:val="None"/>
          <w:rtl w:val="0"/>
          <w:lang w:val="en-US"/>
        </w:rPr>
        <w:t xml:space="preserve">A Basu, School of Health Sciences, University of Canterbury, </w:t>
      </w:r>
    </w:p>
    <w:p>
      <w:pPr>
        <w:pStyle w:val="Body"/>
      </w:pPr>
      <w:r>
        <w:rPr>
          <w:rStyle w:val="None"/>
          <w:rtl w:val="0"/>
          <w:lang w:val="en-US"/>
        </w:rPr>
        <w:t xml:space="preserve">Room 305, Rehua Building, </w:t>
      </w:r>
    </w:p>
    <w:p>
      <w:pPr>
        <w:pStyle w:val="Body"/>
      </w:pPr>
      <w:r>
        <w:rPr>
          <w:rStyle w:val="None"/>
          <w:rtl w:val="0"/>
          <w:lang w:val="en-US"/>
        </w:rPr>
        <w:t>University of Canterbury, 90 Ilam Road, Christchurch</w:t>
      </w:r>
    </w:p>
    <w:p>
      <w:pPr>
        <w:pStyle w:val="Body"/>
      </w:pPr>
      <w:r>
        <w:rPr>
          <w:rStyle w:val="None"/>
          <w:rtl w:val="0"/>
          <w:lang w:val="it-IT"/>
        </w:rPr>
        <w:t xml:space="preserve">arindam.basu@canterbury.ac.nz </w:t>
      </w:r>
    </w:p>
    <w:p>
      <w:pPr>
        <w:pStyle w:val="Body"/>
      </w:pPr>
      <w:r>
        <w:rPr>
          <w:rStyle w:val="None"/>
          <w:rtl w:val="0"/>
          <w:lang w:val="it-IT"/>
        </w:rPr>
        <w:t>Phone: 006403 369 3509</w:t>
      </w:r>
    </w:p>
    <w:p>
      <w:pPr>
        <w:pStyle w:val="Body"/>
      </w:pPr>
      <w:bookmarkStart w:name="_j0zll" w:id="1"/>
      <w:bookmarkEnd w:id="1"/>
    </w:p>
    <w:p>
      <w:pPr>
        <w:pStyle w:val="Heading 2"/>
      </w:pPr>
      <w:bookmarkStart w:name="_fkmftfbuh2tz" w:id="2"/>
      <w:bookmarkEnd w:id="2"/>
      <w:r>
        <w:rPr>
          <w:rStyle w:val="None"/>
          <w:rFonts w:ascii="Arial Unicode MS" w:cs="Arial Unicode MS" w:hAnsi="Arial Unicode MS" w:eastAsia="Arial Unicode MS"/>
          <w:b w:val="0"/>
          <w:bCs w:val="0"/>
          <w:i w:val="0"/>
          <w:iCs w:val="0"/>
        </w:rPr>
        <w:br w:type="page"/>
      </w:r>
    </w:p>
    <w:p>
      <w:pPr>
        <w:pStyle w:val="Heading 2"/>
      </w:pPr>
      <w:bookmarkStart w:name="_bf83vgt1mpul" w:id="3"/>
      <w:bookmarkEnd w:id="3"/>
      <w:r>
        <w:rPr>
          <w:rStyle w:val="None"/>
          <w:rFonts w:cs="Arial Unicode MS" w:eastAsia="Arial Unicode MS"/>
          <w:rtl w:val="0"/>
        </w:rPr>
        <w:t>S</w:t>
      </w:r>
      <w:r>
        <w:rPr>
          <w:rStyle w:val="None"/>
          <w:rFonts w:cs="Arial Unicode MS" w:eastAsia="Arial Unicode MS"/>
          <w:rtl w:val="0"/>
          <w:lang w:val="en-US"/>
        </w:rPr>
        <w:t>ummary</w:t>
      </w:r>
    </w:p>
    <w:p>
      <w:pPr>
        <w:pStyle w:val="Body"/>
        <w:jc w:val="both"/>
        <w:rPr>
          <w:rStyle w:val="None"/>
          <w:u w:val="single"/>
        </w:rPr>
      </w:pPr>
    </w:p>
    <w:p>
      <w:pPr>
        <w:pStyle w:val="Body"/>
        <w:jc w:val="both"/>
        <w:rPr>
          <w:rStyle w:val="None"/>
          <w:u w:val="single"/>
        </w:rPr>
      </w:pPr>
      <w:r>
        <w:rPr>
          <w:rStyle w:val="None"/>
          <w:u w:val="single"/>
          <w:rtl w:val="0"/>
          <w:lang w:val="fr-FR"/>
        </w:rPr>
        <w:t>Objective</w:t>
      </w:r>
    </w:p>
    <w:p>
      <w:pPr>
        <w:pStyle w:val="Body"/>
        <w:jc w:val="both"/>
      </w:pPr>
      <w:r>
        <w:rPr>
          <w:rStyle w:val="None"/>
          <w:rtl w:val="0"/>
          <w:lang w:val="en-US"/>
        </w:rPr>
        <w:t xml:space="preserve">The goal of this paper is to provide a consensus review on Telehealth delivery prior to and during the COVID-19 pandemic to better understand how telehealth use has evolved and the types of UICs that emerged from its use. We have integrated global case studies and examples to develop a set of recommendations for designing health systems integrating telehealth in order to enable equitable access to health care for all. </w:t>
      </w:r>
    </w:p>
    <w:p>
      <w:pPr>
        <w:pStyle w:val="Body"/>
        <w:jc w:val="both"/>
        <w:rPr>
          <w:rStyle w:val="None"/>
          <w:u w:val="single"/>
        </w:rPr>
      </w:pPr>
      <w:r>
        <w:rPr>
          <w:rStyle w:val="None"/>
          <w:u w:val="single"/>
          <w:rtl w:val="0"/>
          <w:lang w:val="en-US"/>
        </w:rPr>
        <w:t>Methods</w:t>
      </w:r>
    </w:p>
    <w:p>
      <w:pPr>
        <w:pStyle w:val="Body"/>
        <w:jc w:val="both"/>
      </w:pPr>
      <w:r>
        <w:rPr>
          <w:rStyle w:val="None"/>
          <w:rtl w:val="0"/>
          <w:lang w:val="en-US"/>
        </w:rPr>
        <w:t>The IMIA Telehealth WG members conducted a two-step approach to understand the role of telehealth in enabling global health equity. We first conducted a consensus review on the topic followed by a modified Delphi technique to respond to four questions related to the role telehealth can play in developing a resilient and equitable health system.</w:t>
      </w:r>
    </w:p>
    <w:p>
      <w:pPr>
        <w:pStyle w:val="Body"/>
        <w:jc w:val="both"/>
      </w:pPr>
    </w:p>
    <w:p>
      <w:pPr>
        <w:pStyle w:val="Body"/>
        <w:jc w:val="both"/>
        <w:rPr>
          <w:rStyle w:val="None"/>
          <w:u w:val="single"/>
        </w:rPr>
      </w:pPr>
      <w:r>
        <w:rPr>
          <w:rStyle w:val="None"/>
          <w:u w:val="single"/>
          <w:rtl w:val="0"/>
          <w:lang w:val="en-US"/>
        </w:rPr>
        <w:t>Results</w:t>
      </w:r>
    </w:p>
    <w:p>
      <w:pPr>
        <w:pStyle w:val="Body"/>
        <w:jc w:val="both"/>
      </w:pPr>
      <w:r>
        <w:rPr>
          <w:rStyle w:val="None"/>
          <w:rtl w:val="0"/>
          <w:lang w:val="en-US"/>
        </w:rPr>
        <w:t xml:space="preserve">Eight experts from 11 countries participated in the Delphi process to share their views. The experts agreed that while telehealth services before and during COVID-19 pandemic have enhanced the delivery of and access to healthcare services, they were also concerned that global telehealth delivery has not been equal for everyone. The group came to a consensus that health system concepts including technology, financing, access to medical supplies and equipment, and governance capacity can all impact the delivery of telehealth services. On this basis, the group concluded that despite being a key part of telehealth delivery, technology alone will not create a resilient telehealth system, nor will it enable equitable access to the system. </w:t>
      </w:r>
    </w:p>
    <w:p>
      <w:pPr>
        <w:pStyle w:val="Body"/>
        <w:jc w:val="both"/>
        <w:rPr>
          <w:rStyle w:val="None"/>
          <w:u w:val="single"/>
        </w:rPr>
      </w:pPr>
      <w:r>
        <w:rPr>
          <w:rStyle w:val="None"/>
          <w:u w:val="single"/>
          <w:rtl w:val="0"/>
          <w:lang w:val="it-IT"/>
        </w:rPr>
        <w:t>Conclusion</w:t>
      </w:r>
    </w:p>
    <w:p>
      <w:pPr>
        <w:pStyle w:val="Body"/>
        <w:jc w:val="both"/>
      </w:pPr>
      <w:r>
        <w:rPr>
          <w:rStyle w:val="None"/>
          <w:rtl w:val="0"/>
          <w:lang w:val="en-US"/>
        </w:rPr>
        <w:t>Telehealth services became a big part of ability to deliver healthcare services during the pandemic. However, telehealth services have also led to unintended consequences (UICs) including inequity issues and an increase in the digital divide. Telehealth practitioners and professionals therefore need to purposely design for inclusivity as part of broader health system goals.</w:t>
      </w:r>
    </w:p>
    <w:p>
      <w:pPr>
        <w:pStyle w:val="Body"/>
        <w:jc w:val="both"/>
      </w:pPr>
    </w:p>
    <w:p>
      <w:pPr>
        <w:pStyle w:val="Body"/>
        <w:jc w:val="both"/>
      </w:pPr>
      <w:r>
        <w:rPr>
          <w:rStyle w:val="None"/>
          <w:b w:val="1"/>
          <w:bCs w:val="1"/>
          <w:rtl w:val="0"/>
          <w:lang w:val="en-US"/>
        </w:rPr>
        <w:t>Keywords</w:t>
      </w:r>
      <w:r>
        <w:rPr>
          <w:rStyle w:val="None"/>
          <w:rtl w:val="0"/>
        </w:rPr>
        <w:t xml:space="preserve">: </w:t>
      </w:r>
    </w:p>
    <w:p>
      <w:pPr>
        <w:pStyle w:val="Body"/>
        <w:jc w:val="both"/>
      </w:pPr>
      <w:r>
        <w:rPr>
          <w:rStyle w:val="None"/>
          <w:rtl w:val="0"/>
          <w:lang w:val="en-US"/>
        </w:rPr>
        <w:t>telehealth, equity, resilience, health systems, unintended consequences</w:t>
      </w:r>
    </w:p>
    <w:p>
      <w:pPr>
        <w:pStyle w:val="Body"/>
        <w:jc w:val="both"/>
      </w:pPr>
    </w:p>
    <w:p>
      <w:pPr>
        <w:pStyle w:val="Body"/>
        <w:jc w:val="both"/>
      </w:pPr>
    </w:p>
    <w:p>
      <w:pPr>
        <w:pStyle w:val="Body"/>
        <w:jc w:val="both"/>
      </w:pPr>
    </w:p>
    <w:p>
      <w:pPr>
        <w:pStyle w:val="Heading 2"/>
        <w:jc w:val="both"/>
      </w:pPr>
      <w:r>
        <w:rPr>
          <w:rStyle w:val="None"/>
          <w:rFonts w:ascii="Arial Unicode MS" w:cs="Arial Unicode MS" w:hAnsi="Arial Unicode MS" w:eastAsia="Arial Unicode MS"/>
          <w:b w:val="0"/>
          <w:bCs w:val="0"/>
          <w:i w:val="0"/>
          <w:iCs w:val="0"/>
        </w:rPr>
        <w:br w:type="page"/>
      </w:r>
    </w:p>
    <w:p>
      <w:pPr>
        <w:pStyle w:val="Heading 2"/>
        <w:jc w:val="both"/>
      </w:pPr>
      <w:r>
        <w:rPr>
          <w:rStyle w:val="None"/>
          <w:rtl w:val="0"/>
          <w:lang w:val="fr-FR"/>
        </w:rPr>
        <w:t>Introduction</w:t>
      </w:r>
    </w:p>
    <w:p>
      <w:pPr>
        <w:pStyle w:val="Body"/>
        <w:jc w:val="both"/>
      </w:pPr>
    </w:p>
    <w:p>
      <w:pPr>
        <w:pStyle w:val="Body"/>
        <w:jc w:val="both"/>
      </w:pPr>
      <w:r>
        <w:rPr>
          <w:rStyle w:val="None"/>
          <w:rtl w:val="0"/>
          <w:lang w:val="en-US"/>
        </w:rPr>
        <w:t xml:space="preserve">Telehealth -- use of technology to deliver healthcare services across the spectrum of care over distance -- has globally improved access to healthcare services. Telehealth services can include assessment, diagnosis, and management of patients </w:t>
      </w:r>
      <w:r>
        <w:rPr>
          <w:rStyle w:val="Hyperlink.2"/>
        </w:rPr>
        <w:fldChar w:fldCharType="begin" w:fldLock="0"/>
      </w:r>
      <w:r>
        <w:rPr>
          <w:rStyle w:val="Hyperlink.2"/>
        </w:rPr>
        <w:instrText xml:space="preserve"> HYPERLINK "https://paperpile.com/c/SBcV8m/Oflaa"</w:instrText>
      </w:r>
      <w:r>
        <w:rPr>
          <w:rStyle w:val="Hyperlink.2"/>
        </w:rPr>
        <w:fldChar w:fldCharType="separate" w:fldLock="0"/>
      </w:r>
      <w:r>
        <w:rPr>
          <w:rStyle w:val="Hyperlink.2"/>
          <w:rtl w:val="0"/>
          <w:lang w:val="pt-PT"/>
        </w:rPr>
        <w:t>[1]</w:t>
      </w:r>
      <w:r>
        <w:rPr/>
        <w:fldChar w:fldCharType="end" w:fldLock="0"/>
      </w:r>
      <w:r>
        <w:rPr>
          <w:rStyle w:val="None"/>
          <w:rtl w:val="0"/>
          <w:lang w:val="en-US"/>
        </w:rPr>
        <w:t xml:space="preserve">. Telehealth has been particularly beneficial to remote population or those who cannot easily access healthcare services, such as the elderly with chronic diseases and those in geographically isolated locations with limited access to specialist and generalist care </w:t>
      </w:r>
      <w:r>
        <w:rPr>
          <w:rStyle w:val="Hyperlink.2"/>
        </w:rPr>
        <w:fldChar w:fldCharType="begin" w:fldLock="0"/>
      </w:r>
      <w:r>
        <w:rPr>
          <w:rStyle w:val="Hyperlink.2"/>
        </w:rPr>
        <w:instrText xml:space="preserve"> HYPERLINK "https://paperpile.com/c/SBcV8m/RTgvE+WdI60"</w:instrText>
      </w:r>
      <w:r>
        <w:rPr>
          <w:rStyle w:val="Hyperlink.2"/>
        </w:rPr>
        <w:fldChar w:fldCharType="separate" w:fldLock="0"/>
      </w:r>
      <w:r>
        <w:rPr>
          <w:rStyle w:val="Hyperlink.2"/>
          <w:rtl w:val="0"/>
          <w:lang w:val="pt-PT"/>
        </w:rPr>
        <w:t>[2,3]</w:t>
      </w:r>
      <w:r>
        <w:rPr/>
        <w:fldChar w:fldCharType="end" w:fldLock="0"/>
      </w:r>
      <w:r>
        <w:rPr>
          <w:rStyle w:val="None"/>
          <w:rtl w:val="0"/>
        </w:rPr>
        <w:t xml:space="preserve">. </w:t>
      </w:r>
    </w:p>
    <w:p>
      <w:pPr>
        <w:pStyle w:val="Body"/>
        <w:jc w:val="both"/>
      </w:pPr>
    </w:p>
    <w:p>
      <w:pPr>
        <w:pStyle w:val="Body"/>
        <w:jc w:val="both"/>
      </w:pPr>
      <w:r>
        <w:rPr>
          <w:rStyle w:val="None"/>
          <w:rtl w:val="0"/>
          <w:lang w:val="en-US"/>
        </w:rPr>
        <w:t xml:space="preserve">The COVID-19 pandemic was the </w:t>
      </w:r>
      <w:r>
        <w:rPr>
          <w:rStyle w:val="None"/>
          <w:rtl w:val="1"/>
          <w:lang w:val="ar-SA" w:bidi="ar-SA"/>
        </w:rPr>
        <w:t>“</w:t>
      </w:r>
      <w:r>
        <w:rPr>
          <w:rStyle w:val="None"/>
          <w:rtl w:val="0"/>
          <w:lang w:val="en-US"/>
        </w:rPr>
        <w:t>nudge</w:t>
      </w:r>
      <w:r>
        <w:rPr>
          <w:rStyle w:val="None"/>
          <w:rtl w:val="0"/>
        </w:rPr>
        <w:t xml:space="preserve">” </w:t>
      </w:r>
      <w:r>
        <w:rPr>
          <w:rStyle w:val="None"/>
          <w:rtl w:val="0"/>
          <w:lang w:val="en-US"/>
        </w:rPr>
        <w:t xml:space="preserve">for enabling and </w:t>
      </w:r>
      <w:r>
        <w:rPr>
          <w:rStyle w:val="None"/>
          <w:rtl w:val="1"/>
          <w:lang w:val="ar-SA" w:bidi="ar-SA"/>
        </w:rPr>
        <w:t>“</w:t>
      </w:r>
      <w:r>
        <w:rPr>
          <w:rStyle w:val="None"/>
          <w:rtl w:val="0"/>
          <w:lang w:val="en-US"/>
        </w:rPr>
        <w:t>fast-tracking</w:t>
      </w:r>
      <w:r>
        <w:rPr>
          <w:rStyle w:val="None"/>
          <w:rtl w:val="0"/>
        </w:rPr>
        <w:t xml:space="preserve">” </w:t>
      </w:r>
      <w:r>
        <w:rPr>
          <w:rStyle w:val="None"/>
          <w:rtl w:val="0"/>
          <w:lang w:val="en-US"/>
        </w:rPr>
        <w:t xml:space="preserve">technological innovation and adoption in several fields including retail and commerce, education, and healthcare </w:t>
      </w:r>
      <w:r>
        <w:rPr>
          <w:rStyle w:val="Hyperlink.2"/>
        </w:rPr>
        <w:fldChar w:fldCharType="begin" w:fldLock="0"/>
      </w:r>
      <w:r>
        <w:rPr>
          <w:rStyle w:val="Hyperlink.2"/>
        </w:rPr>
        <w:instrText xml:space="preserve"> HYPERLINK "https://paperpile.com/c/SBcV8m/coASM"</w:instrText>
      </w:r>
      <w:r>
        <w:rPr>
          <w:rStyle w:val="Hyperlink.2"/>
        </w:rPr>
        <w:fldChar w:fldCharType="separate" w:fldLock="0"/>
      </w:r>
      <w:r>
        <w:rPr>
          <w:rStyle w:val="Hyperlink.2"/>
          <w:rtl w:val="0"/>
          <w:lang w:val="pt-PT"/>
        </w:rPr>
        <w:t>[4]</w:t>
      </w:r>
      <w:r>
        <w:rPr/>
        <w:fldChar w:fldCharType="end" w:fldLock="0"/>
      </w:r>
      <w:r>
        <w:rPr>
          <w:rStyle w:val="None"/>
          <w:rtl w:val="0"/>
          <w:lang w:val="en-US"/>
        </w:rPr>
        <w:t xml:space="preserve">. COVID-19 resulted in a substantial increase in telehealth delivery worldwide as patients and providers sought to maintain continuity of care to overcome effects of lockdowns, and service delivery and supply chain issues </w:t>
      </w:r>
      <w:r>
        <w:rPr>
          <w:rStyle w:val="Hyperlink.2"/>
        </w:rPr>
        <w:fldChar w:fldCharType="begin" w:fldLock="0"/>
      </w:r>
      <w:r>
        <w:rPr>
          <w:rStyle w:val="Hyperlink.2"/>
        </w:rPr>
        <w:instrText xml:space="preserve"> HYPERLINK "https://paperpile.com/c/SBcV8m/OPWQC+QoQWr+nSvtm"</w:instrText>
      </w:r>
      <w:r>
        <w:rPr>
          <w:rStyle w:val="Hyperlink.2"/>
        </w:rPr>
        <w:fldChar w:fldCharType="separate" w:fldLock="0"/>
      </w:r>
      <w:r>
        <w:rPr>
          <w:rStyle w:val="Hyperlink.2"/>
          <w:rtl w:val="0"/>
          <w:lang w:val="pt-PT"/>
        </w:rPr>
        <w:t>[5</w:t>
      </w:r>
      <w:r>
        <w:rPr>
          <w:rStyle w:val="Hyperlink.2"/>
          <w:rtl w:val="0"/>
        </w:rPr>
        <w:t>–</w:t>
      </w:r>
      <w:r>
        <w:rPr>
          <w:rStyle w:val="Hyperlink.2"/>
          <w:rtl w:val="0"/>
          <w:lang w:val="pt-PT"/>
        </w:rPr>
        <w:t>7]</w:t>
      </w:r>
      <w:r>
        <w:rPr/>
        <w:fldChar w:fldCharType="end" w:fldLock="0"/>
      </w:r>
      <w:r>
        <w:rPr>
          <w:rStyle w:val="None"/>
          <w:rtl w:val="0"/>
          <w:lang w:val="en-US"/>
        </w:rPr>
        <w:t xml:space="preserve">. Aside from support for clinical care, telehealth also supported a broader range of health system tasks including patient education and supply chain management. Preliminary studies have been favorable for the role that telemedicine played in pandemic response including supporting care delivery through video and audio visits </w:t>
      </w:r>
      <w:r>
        <w:rPr>
          <w:rStyle w:val="Hyperlink.2"/>
        </w:rPr>
        <w:fldChar w:fldCharType="begin" w:fldLock="0"/>
      </w:r>
      <w:r>
        <w:rPr>
          <w:rStyle w:val="Hyperlink.2"/>
        </w:rPr>
        <w:instrText xml:space="preserve"> HYPERLINK "https://paperpile.com/c/SBcV8m/N1z39+uIkPJ"</w:instrText>
      </w:r>
      <w:r>
        <w:rPr>
          <w:rStyle w:val="Hyperlink.2"/>
        </w:rPr>
        <w:fldChar w:fldCharType="separate" w:fldLock="0"/>
      </w:r>
      <w:r>
        <w:rPr>
          <w:rStyle w:val="Hyperlink.2"/>
          <w:rtl w:val="0"/>
          <w:lang w:val="pt-PT"/>
        </w:rPr>
        <w:t>[8,9]</w:t>
      </w:r>
      <w:r>
        <w:rPr/>
        <w:fldChar w:fldCharType="end" w:fldLock="0"/>
      </w:r>
      <w:r>
        <w:rPr>
          <w:rStyle w:val="None"/>
          <w:rtl w:val="0"/>
        </w:rPr>
        <w:t xml:space="preserve">. </w:t>
      </w:r>
    </w:p>
    <w:p>
      <w:pPr>
        <w:pStyle w:val="Body"/>
      </w:pPr>
    </w:p>
    <w:p>
      <w:pPr>
        <w:pStyle w:val="Body"/>
      </w:pPr>
      <w:r>
        <w:rPr>
          <w:rStyle w:val="None"/>
          <w:rtl w:val="0"/>
        </w:rPr>
        <w:t>E</w:t>
      </w:r>
      <w:r>
        <w:rPr>
          <w:rStyle w:val="None"/>
          <w:outline w:val="0"/>
          <w:color w:val="222222"/>
          <w:u w:color="222222"/>
          <w:shd w:val="clear" w:color="auto" w:fill="ffffff"/>
          <w:rtl w:val="0"/>
          <w:lang w:val="en-US"/>
          <w14:textFill>
            <w14:solidFill>
              <w14:srgbClr w14:val="222222"/>
            </w14:solidFill>
          </w14:textFill>
        </w:rPr>
        <w:t xml:space="preserve">valuation of telehealth service delivery during the pandemic has also highlighted unintended consequences </w:t>
      </w:r>
      <w:r>
        <w:rPr>
          <w:rStyle w:val="None"/>
          <w:outline w:val="0"/>
          <w:color w:val="222222"/>
          <w:u w:color="222222"/>
          <w:rtl w:val="0"/>
          <w14:textFill>
            <w14:solidFill>
              <w14:srgbClr w14:val="222222"/>
            </w14:solidFill>
          </w14:textFill>
        </w:rPr>
        <w:t xml:space="preserve">(UICs) </w:t>
      </w:r>
      <w:r>
        <w:rPr>
          <w:rStyle w:val="None"/>
          <w:rtl w:val="0"/>
          <w:lang w:val="en-US"/>
        </w:rPr>
        <w:t xml:space="preserve">including equity, literacy, and other limitations </w:t>
      </w:r>
      <w:r>
        <w:rPr>
          <w:rStyle w:val="Hyperlink.2"/>
        </w:rPr>
        <w:fldChar w:fldCharType="begin" w:fldLock="0"/>
      </w:r>
      <w:r>
        <w:rPr>
          <w:rStyle w:val="Hyperlink.2"/>
        </w:rPr>
        <w:instrText xml:space="preserve"> HYPERLINK "https://paperpile.com/c/SBcV8m/geAuD+5Q3Kb+p3553"</w:instrText>
      </w:r>
      <w:r>
        <w:rPr>
          <w:rStyle w:val="Hyperlink.2"/>
        </w:rPr>
        <w:fldChar w:fldCharType="separate" w:fldLock="0"/>
      </w:r>
      <w:r>
        <w:rPr>
          <w:rStyle w:val="Hyperlink.2"/>
          <w:rtl w:val="0"/>
          <w:lang w:val="pt-PT"/>
        </w:rPr>
        <w:t>[10</w:t>
      </w:r>
      <w:r>
        <w:rPr>
          <w:rStyle w:val="Hyperlink.2"/>
          <w:rtl w:val="0"/>
        </w:rPr>
        <w:t>–</w:t>
      </w:r>
      <w:r>
        <w:rPr>
          <w:rStyle w:val="Hyperlink.2"/>
          <w:rtl w:val="0"/>
          <w:lang w:val="pt-PT"/>
        </w:rPr>
        <w:t>12]</w:t>
      </w:r>
      <w:r>
        <w:rPr/>
        <w:fldChar w:fldCharType="end" w:fldLock="0"/>
      </w:r>
      <w:r>
        <w:rPr>
          <w:rStyle w:val="None"/>
          <w:rtl w:val="0"/>
        </w:rPr>
        <w:t xml:space="preserve">. </w:t>
      </w:r>
      <w:r>
        <w:rPr>
          <w:rStyle w:val="None"/>
          <w:outline w:val="0"/>
          <w:color w:val="222222"/>
          <w:u w:color="222222"/>
          <w:shd w:val="clear" w:color="auto" w:fill="ffffff"/>
          <w:rtl w:val="0"/>
          <w:lang w:val="en-US"/>
          <w14:textFill>
            <w14:solidFill>
              <w14:srgbClr w14:val="222222"/>
            </w14:solidFill>
          </w14:textFill>
        </w:rPr>
        <w:t>Several such UICs have been reported during COVID19, where r</w:t>
      </w:r>
      <w:r>
        <w:rPr>
          <w:rStyle w:val="None"/>
          <w:outline w:val="0"/>
          <w:color w:val="222222"/>
          <w:u w:color="222222"/>
          <w:rtl w:val="0"/>
          <w:lang w:val="es-ES_tradnl"/>
          <w14:textFill>
            <w14:solidFill>
              <w14:srgbClr w14:val="222222"/>
            </w14:solidFill>
          </w14:textFill>
        </w:rPr>
        <w:t xml:space="preserve">acial </w:t>
      </w:r>
      <w:r>
        <w:rPr>
          <w:rStyle w:val="None"/>
          <w:outline w:val="0"/>
          <w:color w:val="222222"/>
          <w:u w:color="222222"/>
          <w:shd w:val="clear" w:color="auto" w:fill="ffffff"/>
          <w:rtl w:val="0"/>
          <w:lang w:val="en-US"/>
          <w14:textFill>
            <w14:solidFill>
              <w14:srgbClr w14:val="222222"/>
            </w14:solidFill>
          </w14:textFill>
        </w:rPr>
        <w:t xml:space="preserve">and ethnic minorities and social socially disadvantaged groups experienced more UICs related to access to care (including access to digital care), and subsequently poorer health outcomes during the COVID-19 pandemic </w:t>
      </w:r>
      <w:r>
        <w:rPr>
          <w:rStyle w:val="Hyperlink.3"/>
        </w:rPr>
        <w:fldChar w:fldCharType="begin" w:fldLock="0"/>
      </w:r>
      <w:r>
        <w:rPr>
          <w:rStyle w:val="Hyperlink.3"/>
        </w:rPr>
        <w:instrText xml:space="preserve"> HYPERLINK "https://paperpile.com/c/SBcV8m/yNwzV+Fv4ZS"</w:instrText>
      </w:r>
      <w:r>
        <w:rPr>
          <w:rStyle w:val="Hyperlink.3"/>
        </w:rPr>
        <w:fldChar w:fldCharType="separate" w:fldLock="0"/>
      </w:r>
      <w:r>
        <w:rPr>
          <w:rStyle w:val="Hyperlink.3"/>
          <w:rtl w:val="0"/>
          <w:lang w:val="pt-PT"/>
        </w:rPr>
        <w:t>[13,14]</w:t>
      </w:r>
      <w:r>
        <w:rPr/>
        <w:fldChar w:fldCharType="end" w:fldLock="0"/>
      </w:r>
      <w:r>
        <w:rPr>
          <w:rStyle w:val="None"/>
          <w:outline w:val="0"/>
          <w:color w:val="222222"/>
          <w:u w:color="222222"/>
          <w:shd w:val="clear" w:color="auto" w:fill="ffffff"/>
          <w:rtl w:val="0"/>
          <w14:textFill>
            <w14:solidFill>
              <w14:srgbClr w14:val="222222"/>
            </w14:solidFill>
          </w14:textFill>
        </w:rPr>
        <w:t xml:space="preserve">. </w:t>
      </w:r>
      <w:r>
        <w:rPr>
          <w:rStyle w:val="None"/>
          <w:rtl w:val="0"/>
          <w:lang w:val="en-US"/>
        </w:rPr>
        <w:t xml:space="preserve">Some UICs are clinical as in healthcare processes not transitioning well to digital format, financial or regulatory, and others are due to the complexity of patient conditions such as patients with comorbid conditions </w:t>
      </w:r>
      <w:r>
        <w:rPr>
          <w:rStyle w:val="Hyperlink.2"/>
        </w:rPr>
        <w:fldChar w:fldCharType="begin" w:fldLock="0"/>
      </w:r>
      <w:r>
        <w:rPr>
          <w:rStyle w:val="Hyperlink.2"/>
        </w:rPr>
        <w:instrText xml:space="preserve"> HYPERLINK "https://paperpile.com/c/SBcV8m/uBx6Z"</w:instrText>
      </w:r>
      <w:r>
        <w:rPr>
          <w:rStyle w:val="Hyperlink.2"/>
        </w:rPr>
        <w:fldChar w:fldCharType="separate" w:fldLock="0"/>
      </w:r>
      <w:r>
        <w:rPr>
          <w:rStyle w:val="Hyperlink.2"/>
          <w:rtl w:val="0"/>
          <w:lang w:val="pt-PT"/>
        </w:rPr>
        <w:t>[15]</w:t>
      </w:r>
      <w:r>
        <w:rPr/>
        <w:fldChar w:fldCharType="end" w:fldLock="0"/>
      </w:r>
      <w:r>
        <w:rPr>
          <w:rStyle w:val="None"/>
          <w:rtl w:val="0"/>
          <w:lang w:val="en-US"/>
        </w:rPr>
        <w:t xml:space="preserve">. Widening of the digital divide has been a significant UIC from virtual care delivery during the COVID-19 pandemic </w:t>
      </w:r>
      <w:r>
        <w:rPr>
          <w:rStyle w:val="Hyperlink.2"/>
        </w:rPr>
        <w:fldChar w:fldCharType="begin" w:fldLock="0"/>
      </w:r>
      <w:r>
        <w:rPr>
          <w:rStyle w:val="Hyperlink.2"/>
        </w:rPr>
        <w:instrText xml:space="preserve"> HYPERLINK "https://paperpile.com/c/SBcV8m/EH8xb+Z3Tor"</w:instrText>
      </w:r>
      <w:r>
        <w:rPr>
          <w:rStyle w:val="Hyperlink.2"/>
        </w:rPr>
        <w:fldChar w:fldCharType="separate" w:fldLock="0"/>
      </w:r>
      <w:r>
        <w:rPr>
          <w:rStyle w:val="Hyperlink.2"/>
          <w:rtl w:val="0"/>
          <w:lang w:val="pt-PT"/>
        </w:rPr>
        <w:t>[16,17]</w:t>
      </w:r>
      <w:r>
        <w:rPr/>
        <w:fldChar w:fldCharType="end" w:fldLock="0"/>
      </w:r>
      <w:r>
        <w:rPr>
          <w:rStyle w:val="None"/>
          <w:rtl w:val="0"/>
        </w:rPr>
        <w:t xml:space="preserve">. </w:t>
      </w:r>
    </w:p>
    <w:p>
      <w:pPr>
        <w:pStyle w:val="Body"/>
      </w:pPr>
    </w:p>
    <w:p>
      <w:pPr>
        <w:pStyle w:val="Body"/>
        <w:rPr>
          <w:rStyle w:val="None"/>
          <w:outline w:val="0"/>
          <w:color w:val="222222"/>
          <w:u w:color="222222"/>
          <w:shd w:val="clear" w:color="auto" w:fill="ffffff"/>
          <w14:textFill>
            <w14:solidFill>
              <w14:srgbClr w14:val="222222"/>
            </w14:solidFill>
          </w14:textFill>
        </w:rPr>
      </w:pPr>
      <w:r>
        <w:rPr>
          <w:rStyle w:val="None"/>
          <w:outline w:val="0"/>
          <w:color w:val="222222"/>
          <w:u w:color="222222"/>
          <w:shd w:val="clear" w:color="auto" w:fill="ffffff"/>
          <w:rtl w:val="0"/>
          <w:lang w:val="en-US"/>
          <w14:textFill>
            <w14:solidFill>
              <w14:srgbClr w14:val="222222"/>
            </w14:solidFill>
          </w14:textFill>
        </w:rPr>
        <w:t xml:space="preserve">UICs from telehealth usage might be expected as they are known to occur while implementing complex technology into complex and diverse settings and processes </w:t>
      </w:r>
      <w:r>
        <w:rPr>
          <w:rStyle w:val="Hyperlink.3"/>
        </w:rPr>
        <w:fldChar w:fldCharType="begin" w:fldLock="0"/>
      </w:r>
      <w:r>
        <w:rPr>
          <w:rStyle w:val="Hyperlink.3"/>
        </w:rPr>
        <w:instrText xml:space="preserve"> HYPERLINK "https://paperpile.com/c/SBcV8m/C1IaQ+Suelw"</w:instrText>
      </w:r>
      <w:r>
        <w:rPr>
          <w:rStyle w:val="Hyperlink.3"/>
        </w:rPr>
        <w:fldChar w:fldCharType="separate" w:fldLock="0"/>
      </w:r>
      <w:r>
        <w:rPr>
          <w:rStyle w:val="Hyperlink.3"/>
          <w:rtl w:val="0"/>
          <w:lang w:val="pt-PT"/>
        </w:rPr>
        <w:t>[18,19]</w:t>
      </w:r>
      <w:r>
        <w:rPr/>
        <w:fldChar w:fldCharType="end" w:fldLock="0"/>
      </w:r>
      <w:r>
        <w:rPr>
          <w:rStyle w:val="None"/>
          <w:outline w:val="0"/>
          <w:color w:val="222222"/>
          <w:u w:color="222222"/>
          <w:shd w:val="clear" w:color="auto" w:fill="ffffff"/>
          <w:rtl w:val="0"/>
          <w:lang w:val="en-US"/>
          <w14:textFill>
            <w14:solidFill>
              <w14:srgbClr w14:val="222222"/>
            </w14:solidFill>
          </w14:textFill>
        </w:rPr>
        <w:t xml:space="preserve">. However, the conventional approach to managing UICs is often reactive rather than proactive. COVID-19 telehealth associated UICs do not directly result from the pandemic itself but occur because they are inherent in the design of the health system where the various telehealth tools are being used </w:t>
      </w:r>
      <w:r>
        <w:rPr>
          <w:rStyle w:val="Hyperlink.3"/>
        </w:rPr>
        <w:fldChar w:fldCharType="begin" w:fldLock="0"/>
      </w:r>
      <w:r>
        <w:rPr>
          <w:rStyle w:val="Hyperlink.3"/>
        </w:rPr>
        <w:instrText xml:space="preserve"> HYPERLINK "https://paperpile.com/c/SBcV8m/fn4lH"</w:instrText>
      </w:r>
      <w:r>
        <w:rPr>
          <w:rStyle w:val="Hyperlink.3"/>
        </w:rPr>
        <w:fldChar w:fldCharType="separate" w:fldLock="0"/>
      </w:r>
      <w:r>
        <w:rPr>
          <w:rStyle w:val="Hyperlink.3"/>
          <w:rtl w:val="0"/>
          <w:lang w:val="pt-PT"/>
        </w:rPr>
        <w:t>[20]</w:t>
      </w:r>
      <w:r>
        <w:rPr/>
        <w:fldChar w:fldCharType="end" w:fldLock="0"/>
      </w:r>
      <w:r>
        <w:rPr>
          <w:rStyle w:val="None"/>
          <w:outline w:val="0"/>
          <w:color w:val="222222"/>
          <w:u w:color="222222"/>
          <w:shd w:val="clear" w:color="auto" w:fill="ffffff"/>
          <w:rtl w:val="0"/>
          <w:lang w:val="en-US"/>
          <w14:textFill>
            <w14:solidFill>
              <w14:srgbClr w14:val="222222"/>
            </w14:solidFill>
          </w14:textFill>
        </w:rPr>
        <w:t xml:space="preserve">. Accepting that one cannot eliminate the occurrence of UICs from HIT implementation, we propose instead that health system design must focus on understanding the contexts in which UICs occur so that they can purposely design health systems that account for UICs </w:t>
      </w:r>
      <w:r>
        <w:rPr>
          <w:rStyle w:val="Hyperlink.3"/>
        </w:rPr>
        <w:fldChar w:fldCharType="begin" w:fldLock="0"/>
      </w:r>
      <w:r>
        <w:rPr>
          <w:rStyle w:val="Hyperlink.3"/>
        </w:rPr>
        <w:instrText xml:space="preserve"> HYPERLINK "https://paperpile.com/c/SBcV8m/FXNfY+Suelw"</w:instrText>
      </w:r>
      <w:r>
        <w:rPr>
          <w:rStyle w:val="Hyperlink.3"/>
        </w:rPr>
        <w:fldChar w:fldCharType="separate" w:fldLock="0"/>
      </w:r>
      <w:r>
        <w:rPr>
          <w:rStyle w:val="Hyperlink.3"/>
          <w:rtl w:val="0"/>
          <w:lang w:val="pt-PT"/>
        </w:rPr>
        <w:t>[19,21]</w:t>
      </w:r>
      <w:r>
        <w:rPr/>
        <w:fldChar w:fldCharType="end" w:fldLock="0"/>
      </w:r>
      <w:r>
        <w:rPr>
          <w:rStyle w:val="None"/>
          <w:outline w:val="0"/>
          <w:color w:val="222222"/>
          <w:u w:color="222222"/>
          <w:shd w:val="clear" w:color="auto" w:fill="ffffff"/>
          <w:rtl w:val="0"/>
          <w:lang w:val="en-US"/>
          <w14:textFill>
            <w14:solidFill>
              <w14:srgbClr w14:val="222222"/>
            </w14:solidFill>
          </w14:textFill>
        </w:rPr>
        <w:t xml:space="preserve">. As technology alone is not expected to transform healthcare delivery into a resilient and equitable system, it is myopic to focus on technology without considering other system concepts that influence healthcare delivery </w:t>
      </w:r>
      <w:r>
        <w:rPr>
          <w:rStyle w:val="Hyperlink.3"/>
        </w:rPr>
        <w:fldChar w:fldCharType="begin" w:fldLock="0"/>
      </w:r>
      <w:r>
        <w:rPr>
          <w:rStyle w:val="Hyperlink.3"/>
        </w:rPr>
        <w:instrText xml:space="preserve"> HYPERLINK "https://paperpile.com/c/SBcV8m/OPWQC+yTbPh"</w:instrText>
      </w:r>
      <w:r>
        <w:rPr>
          <w:rStyle w:val="Hyperlink.3"/>
        </w:rPr>
        <w:fldChar w:fldCharType="separate" w:fldLock="0"/>
      </w:r>
      <w:r>
        <w:rPr>
          <w:rStyle w:val="Hyperlink.3"/>
          <w:rtl w:val="0"/>
          <w:lang w:val="pt-PT"/>
        </w:rPr>
        <w:t>[5,22]</w:t>
      </w:r>
      <w:r>
        <w:rPr/>
        <w:fldChar w:fldCharType="end" w:fldLock="0"/>
      </w:r>
      <w:r>
        <w:rPr>
          <w:rStyle w:val="None"/>
          <w:outline w:val="0"/>
          <w:color w:val="222222"/>
          <w:u w:color="222222"/>
          <w:shd w:val="clear" w:color="auto" w:fill="ffffff"/>
          <w:rtl w:val="0"/>
          <w:lang w:val="en-US"/>
          <w14:textFill>
            <w14:solidFill>
              <w14:srgbClr w14:val="222222"/>
            </w14:solidFill>
          </w14:textFill>
        </w:rPr>
        <w:t xml:space="preserve">. As systems function the way they are designed, and health or social systems are no different in that regard; as Coiera (2004) has argued, policies and innovations have political, social, cultural, and other implications </w:t>
      </w:r>
      <w:r>
        <w:rPr>
          <w:rStyle w:val="Hyperlink.3"/>
        </w:rPr>
        <w:fldChar w:fldCharType="begin" w:fldLock="0"/>
      </w:r>
      <w:r>
        <w:rPr>
          <w:rStyle w:val="Hyperlink.3"/>
        </w:rPr>
        <w:instrText xml:space="preserve"> HYPERLINK "https://paperpile.com/c/SBcV8m/wymMO"</w:instrText>
      </w:r>
      <w:r>
        <w:rPr>
          <w:rStyle w:val="Hyperlink.3"/>
        </w:rPr>
        <w:fldChar w:fldCharType="separate" w:fldLock="0"/>
      </w:r>
      <w:r>
        <w:rPr>
          <w:rStyle w:val="Hyperlink.3"/>
          <w:rtl w:val="0"/>
          <w:lang w:val="pt-PT"/>
        </w:rPr>
        <w:t>[23]</w:t>
      </w:r>
      <w:r>
        <w:rPr/>
        <w:fldChar w:fldCharType="end" w:fldLock="0"/>
      </w:r>
      <w:r>
        <w:rPr>
          <w:rStyle w:val="None"/>
          <w:outline w:val="0"/>
          <w:color w:val="222222"/>
          <w:u w:color="222222"/>
          <w:shd w:val="clear" w:color="auto" w:fill="ffffff"/>
          <w:rtl w:val="0"/>
          <w14:textFill>
            <w14:solidFill>
              <w14:srgbClr w14:val="222222"/>
            </w14:solidFill>
          </w14:textFill>
        </w:rPr>
        <w:t xml:space="preserve">. </w:t>
      </w:r>
      <w:r>
        <w:rPr>
          <w:rStyle w:val="None"/>
          <w:rtl w:val="0"/>
          <w:lang w:val="en-US"/>
        </w:rPr>
        <w:t xml:space="preserve">Because of this, </w:t>
      </w:r>
      <w:r>
        <w:rPr>
          <w:rStyle w:val="None"/>
          <w:outline w:val="0"/>
          <w:color w:val="222222"/>
          <w:u w:color="222222"/>
          <w:shd w:val="clear" w:color="auto" w:fill="ffffff"/>
          <w:rtl w:val="0"/>
          <w:lang w:val="en-US"/>
          <w14:textFill>
            <w14:solidFill>
              <w14:srgbClr w14:val="222222"/>
            </w14:solidFill>
          </w14:textFill>
        </w:rPr>
        <w:t xml:space="preserve">addressing UICs such as system inequity cannot happen by addressing individual parts of a system but require a systems-based approach that allows a proactive solution to UICs and other system issues. </w:t>
      </w:r>
    </w:p>
    <w:p>
      <w:pPr>
        <w:pStyle w:val="Body"/>
        <w:rPr>
          <w:rStyle w:val="None"/>
          <w:outline w:val="0"/>
          <w:color w:val="222222"/>
          <w:u w:color="222222"/>
          <w:shd w:val="clear" w:color="auto" w:fill="ffffff"/>
          <w14:textFill>
            <w14:solidFill>
              <w14:srgbClr w14:val="222222"/>
            </w14:solidFill>
          </w14:textFill>
        </w:rPr>
      </w:pPr>
    </w:p>
    <w:p>
      <w:pPr>
        <w:pStyle w:val="Body"/>
        <w:rPr>
          <w:rStyle w:val="None"/>
          <w:outline w:val="0"/>
          <w:color w:val="222222"/>
          <w:u w:color="222222"/>
          <w:shd w:val="clear" w:color="auto" w:fill="ffffff"/>
          <w14:textFill>
            <w14:solidFill>
              <w14:srgbClr w14:val="222222"/>
            </w14:solidFill>
          </w14:textFill>
        </w:rPr>
      </w:pPr>
      <w:r>
        <w:rPr>
          <w:rStyle w:val="None"/>
          <w:outline w:val="0"/>
          <w:color w:val="222222"/>
          <w:u w:color="222222"/>
          <w:shd w:val="clear" w:color="auto" w:fill="ffffff"/>
          <w:rtl w:val="0"/>
          <w:lang w:val="en-US"/>
          <w14:textFill>
            <w14:solidFill>
              <w14:srgbClr w14:val="222222"/>
            </w14:solidFill>
          </w14:textFill>
        </w:rPr>
        <w:t xml:space="preserve">We believe that systems designers of health systems that incorporate telehealth must address system inequity that poses as a </w:t>
      </w:r>
      <w:r>
        <w:rPr>
          <w:rStyle w:val="None"/>
          <w:outline w:val="0"/>
          <w:color w:val="222222"/>
          <w:u w:color="222222"/>
          <w:shd w:val="clear" w:color="auto" w:fill="ffffff"/>
          <w:rtl w:val="1"/>
          <w:lang w:val="ar-SA" w:bidi="ar-SA"/>
          <w14:textFill>
            <w14:solidFill>
              <w14:srgbClr w14:val="222222"/>
            </w14:solidFill>
          </w14:textFill>
        </w:rPr>
        <w:t>“</w:t>
      </w:r>
      <w:r>
        <w:rPr>
          <w:rStyle w:val="None"/>
          <w:outline w:val="0"/>
          <w:color w:val="222222"/>
          <w:u w:color="222222"/>
          <w:shd w:val="clear" w:color="auto" w:fill="ffffff"/>
          <w:rtl w:val="0"/>
          <w:lang w:val="en-US"/>
          <w14:textFill>
            <w14:solidFill>
              <w14:srgbClr w14:val="222222"/>
            </w14:solidFill>
          </w14:textFill>
        </w:rPr>
        <w:t>ghost in the machine</w:t>
      </w:r>
      <w:r>
        <w:rPr>
          <w:rStyle w:val="None"/>
          <w:outline w:val="0"/>
          <w:color w:val="222222"/>
          <w:u w:color="222222"/>
          <w:shd w:val="clear" w:color="auto" w:fill="ffffff"/>
          <w:rtl w:val="0"/>
          <w14:textFill>
            <w14:solidFill>
              <w14:srgbClr w14:val="222222"/>
            </w14:solidFill>
          </w14:textFill>
        </w:rPr>
        <w:t>”</w:t>
      </w:r>
      <w:r>
        <w:rPr>
          <w:rStyle w:val="None"/>
          <w:outline w:val="0"/>
          <w:color w:val="222222"/>
          <w:u w:color="222222"/>
          <w:shd w:val="clear" w:color="auto" w:fill="ffffff"/>
          <w:rtl w:val="0"/>
          <w:lang w:val="en-US"/>
          <w14:textFill>
            <w14:solidFill>
              <w14:srgbClr w14:val="222222"/>
            </w14:solidFill>
          </w14:textFill>
        </w:rPr>
        <w:t xml:space="preserve">. To do so, they must address two related issues. Firstly, they need to proactively manage UICs as part of systems planning and design a systematic inquiry on the uptake of digital technologies using systems thinking approaches to account for the range of factors that can impact HIT implementation is in order </w:t>
      </w:r>
      <w:r>
        <w:rPr>
          <w:rStyle w:val="Hyperlink.3"/>
        </w:rPr>
        <w:fldChar w:fldCharType="begin" w:fldLock="0"/>
      </w:r>
      <w:r>
        <w:rPr>
          <w:rStyle w:val="Hyperlink.3"/>
        </w:rPr>
        <w:instrText xml:space="preserve"> HYPERLINK "https://paperpile.com/c/SBcV8m/kEEc6+m77W3"</w:instrText>
      </w:r>
      <w:r>
        <w:rPr>
          <w:rStyle w:val="Hyperlink.3"/>
        </w:rPr>
        <w:fldChar w:fldCharType="separate" w:fldLock="0"/>
      </w:r>
      <w:r>
        <w:rPr>
          <w:rStyle w:val="Hyperlink.3"/>
          <w:rtl w:val="0"/>
          <w:lang w:val="pt-PT"/>
        </w:rPr>
        <w:t>[24,25]</w:t>
      </w:r>
      <w:r>
        <w:rPr/>
        <w:fldChar w:fldCharType="end" w:fldLock="0"/>
      </w:r>
      <w:r>
        <w:rPr>
          <w:rStyle w:val="None"/>
          <w:outline w:val="0"/>
          <w:color w:val="222222"/>
          <w:u w:color="222222"/>
          <w:shd w:val="clear" w:color="auto" w:fill="ffffff"/>
          <w:rtl w:val="0"/>
          <w:lang w:val="en-US"/>
          <w14:textFill>
            <w14:solidFill>
              <w14:srgbClr w14:val="222222"/>
            </w14:solidFill>
          </w14:textFill>
        </w:rPr>
        <w:t xml:space="preserve">. Secondly, they need to account for how technology such as telehealth influences and is influenced by the broader underpinnings of an equitable healthcare system, including consideration of the </w:t>
      </w:r>
      <w:r>
        <w:rPr>
          <w:rStyle w:val="None"/>
          <w:rtl w:val="0"/>
          <w:lang w:val="en-US"/>
        </w:rPr>
        <w:t xml:space="preserve">social determinants of health that will influence how an individual agent interacts with a health system and the services and resources within it. </w:t>
      </w:r>
    </w:p>
    <w:p>
      <w:pPr>
        <w:pStyle w:val="Body"/>
        <w:rPr>
          <w:rStyle w:val="None"/>
          <w:outline w:val="0"/>
          <w:color w:val="222222"/>
          <w:u w:color="222222"/>
          <w:shd w:val="clear" w:color="auto" w:fill="ffffff"/>
          <w14:textFill>
            <w14:solidFill>
              <w14:srgbClr w14:val="222222"/>
            </w14:solidFill>
          </w14:textFill>
        </w:rPr>
      </w:pPr>
    </w:p>
    <w:p>
      <w:pPr>
        <w:pStyle w:val="Body"/>
      </w:pPr>
      <w:r>
        <w:rPr>
          <w:rStyle w:val="None"/>
          <w:rtl w:val="0"/>
          <w:lang w:val="en-US"/>
        </w:rPr>
        <w:t>This paper provides an initial critical insight into system design of an equitable telehealth system from the health provider and manager stakeholders</w:t>
      </w:r>
      <w:r>
        <w:rPr>
          <w:rStyle w:val="None"/>
          <w:rtl w:val="1"/>
        </w:rPr>
        <w:t xml:space="preserve">’ </w:t>
      </w:r>
      <w:r>
        <w:rPr>
          <w:rStyle w:val="None"/>
          <w:rtl w:val="0"/>
          <w:lang w:val="en-US"/>
        </w:rPr>
        <w:t xml:space="preserve">perspective. With the IMIA-THWG members, we have conducted a two-step approach to understand the role of telehealth in enabling health equity. We first conducted a consensus review on the topic followed by a modified Delphi technique to respond to four questions related to the role telehealth can play in developing a resilient and equitable health system. </w:t>
      </w:r>
    </w:p>
    <w:p>
      <w:pPr>
        <w:pStyle w:val="Body"/>
      </w:pPr>
    </w:p>
    <w:p>
      <w:pPr>
        <w:pStyle w:val="Heading 2"/>
      </w:pPr>
      <w:bookmarkStart w:name="_qugxeoxqwj9m" w:id="4"/>
      <w:bookmarkEnd w:id="4"/>
      <w:r>
        <w:rPr>
          <w:rStyle w:val="None"/>
          <w:rFonts w:cs="Arial Unicode MS" w:eastAsia="Arial Unicode MS"/>
          <w:rtl w:val="0"/>
        </w:rPr>
        <w:t>M</w:t>
      </w:r>
      <w:r>
        <w:rPr>
          <w:rStyle w:val="None"/>
          <w:rFonts w:cs="Arial Unicode MS" w:eastAsia="Arial Unicode MS"/>
          <w:rtl w:val="0"/>
          <w:lang w:val="en-US"/>
        </w:rPr>
        <w:t>ethods</w:t>
      </w:r>
    </w:p>
    <w:p>
      <w:pPr>
        <w:pStyle w:val="Body"/>
        <w:spacing w:before="240" w:after="240"/>
      </w:pPr>
      <w:r>
        <w:rPr>
          <w:rStyle w:val="None"/>
          <w:rtl w:val="0"/>
          <w:lang w:val="en-US"/>
        </w:rPr>
        <w:t xml:space="preserve">We conducted a modified Delphi process to capture experiences and insights of the international community that comprises the IMIA-THWG on systems designing with telehealth to reduce unintended consequences of telehealth implementation. We also incorporate our previous IMIA YB submissions </w:t>
      </w:r>
      <w:r>
        <w:rPr>
          <w:rStyle w:val="Hyperlink.2"/>
        </w:rPr>
        <w:fldChar w:fldCharType="begin" w:fldLock="0"/>
      </w:r>
      <w:r>
        <w:rPr>
          <w:rStyle w:val="Hyperlink.2"/>
        </w:rPr>
        <w:instrText xml:space="preserve"> HYPERLINK "https://paperpile.com/c/SBcV8m/LvfkT"</w:instrText>
      </w:r>
      <w:r>
        <w:rPr>
          <w:rStyle w:val="Hyperlink.2"/>
        </w:rPr>
        <w:fldChar w:fldCharType="separate" w:fldLock="0"/>
      </w:r>
      <w:r>
        <w:rPr>
          <w:rStyle w:val="Hyperlink.2"/>
          <w:rtl w:val="0"/>
          <w:lang w:val="pt-PT"/>
        </w:rPr>
        <w:t>[26]</w:t>
      </w:r>
      <w:r>
        <w:rPr/>
        <w:fldChar w:fldCharType="end" w:fldLock="0"/>
      </w:r>
      <w:r>
        <w:rPr>
          <w:rStyle w:val="None"/>
          <w:rtl w:val="0"/>
          <w:lang w:val="en-US"/>
        </w:rPr>
        <w:t xml:space="preserve"> in order to conduct a multi-country comparison of how telehealth evolved before and during the COVID-19 pandemic. The goal of this process was to capture real world issues facing practitioners, policy makers and researchers to study the </w:t>
      </w:r>
      <w:r>
        <w:rPr>
          <w:rStyle w:val="None"/>
          <w:rtl w:val="1"/>
          <w:lang w:val="ar-SA" w:bidi="ar-SA"/>
        </w:rPr>
        <w:t>“</w:t>
      </w:r>
      <w:r>
        <w:rPr>
          <w:rStyle w:val="None"/>
          <w:rtl w:val="0"/>
          <w:lang w:val="en-US"/>
        </w:rPr>
        <w:t>last mile</w:t>
      </w:r>
      <w:r>
        <w:rPr>
          <w:rStyle w:val="None"/>
          <w:rtl w:val="0"/>
        </w:rPr>
        <w:t xml:space="preserve">” </w:t>
      </w:r>
      <w:r>
        <w:rPr>
          <w:rStyle w:val="None"/>
          <w:rtl w:val="0"/>
          <w:lang w:val="en-US"/>
        </w:rPr>
        <w:t>problem from the perspective of (a) unintended consequences and (b) inequities fostered and mitigated by implementation of telehealth. The steps were as follows:</w:t>
      </w:r>
    </w:p>
    <w:p>
      <w:pPr>
        <w:pStyle w:val="Heading 2"/>
        <w:rPr>
          <w:rStyle w:val="None"/>
          <w:sz w:val="22"/>
          <w:szCs w:val="22"/>
          <w:u w:val="single"/>
        </w:rPr>
      </w:pPr>
      <w:bookmarkStart w:name="_fob9te" w:id="5"/>
      <w:bookmarkEnd w:id="5"/>
      <w:r>
        <w:rPr>
          <w:rStyle w:val="None"/>
          <w:rFonts w:cs="Arial Unicode MS" w:eastAsia="Arial Unicode MS"/>
          <w:sz w:val="22"/>
          <w:szCs w:val="22"/>
          <w:u w:val="single"/>
          <w:rtl w:val="0"/>
        </w:rPr>
        <w:t>S</w:t>
      </w:r>
      <w:r>
        <w:rPr>
          <w:rStyle w:val="None"/>
          <w:rFonts w:cs="Arial Unicode MS" w:eastAsia="Arial Unicode MS"/>
          <w:sz w:val="22"/>
          <w:szCs w:val="22"/>
          <w:u w:val="single"/>
          <w:rtl w:val="0"/>
          <w:lang w:val="en-US"/>
        </w:rPr>
        <w:t xml:space="preserve">tep 1. Develop a consensus review on telehealth as a means of enabling health equity </w:t>
      </w:r>
    </w:p>
    <w:p>
      <w:pPr>
        <w:pStyle w:val="Body"/>
        <w:spacing w:before="240" w:after="240"/>
        <w:jc w:val="both"/>
      </w:pPr>
      <w:r>
        <w:rPr>
          <w:rStyle w:val="None"/>
          <w:rtl w:val="0"/>
          <w:lang w:val="en-US"/>
        </w:rPr>
        <w:t xml:space="preserve">In the first step, we developed a body of consensus statements from a representative group of our international telehealth WG members. We convened an online discussion of WG members and invited everyone to freely contribute to a body of text that would enable a </w:t>
      </w:r>
      <w:r>
        <w:rPr>
          <w:rStyle w:val="None"/>
          <w:rtl w:val="1"/>
          <w:lang w:val="ar-SA" w:bidi="ar-SA"/>
        </w:rPr>
        <w:t>“</w:t>
      </w:r>
      <w:r>
        <w:rPr>
          <w:rStyle w:val="None"/>
          <w:rtl w:val="0"/>
          <w:lang w:val="en-US"/>
        </w:rPr>
        <w:t>systems thinking</w:t>
      </w:r>
      <w:r>
        <w:rPr>
          <w:rStyle w:val="None"/>
          <w:rtl w:val="0"/>
        </w:rPr>
        <w:t xml:space="preserve">” </w:t>
      </w:r>
      <w:r>
        <w:rPr>
          <w:rStyle w:val="None"/>
          <w:rtl w:val="0"/>
          <w:lang w:val="en-US"/>
        </w:rPr>
        <w:t xml:space="preserve">approach to the questions of how telehealth field experience translates to address issues of equitable access to healthcare and resilient health systems. In initiating this discussion, our starting point was three telehealth patterns we defined in our 2018 YB [26] and a summary of negative unintended consequences from telehealth delivery </w:t>
      </w:r>
      <w:r>
        <w:rPr>
          <w:rStyle w:val="Hyperlink.2"/>
        </w:rPr>
        <w:fldChar w:fldCharType="begin" w:fldLock="0"/>
      </w:r>
      <w:r>
        <w:rPr>
          <w:rStyle w:val="Hyperlink.2"/>
        </w:rPr>
        <w:instrText xml:space="preserve"> HYPERLINK "https://paperpile.com/c/SBcV8m/B1jxi+fn4lH"</w:instrText>
      </w:r>
      <w:r>
        <w:rPr>
          <w:rStyle w:val="Hyperlink.2"/>
        </w:rPr>
        <w:fldChar w:fldCharType="separate" w:fldLock="0"/>
      </w:r>
      <w:r>
        <w:rPr>
          <w:rStyle w:val="Hyperlink.2"/>
          <w:rtl w:val="0"/>
          <w:lang w:val="pt-PT"/>
        </w:rPr>
        <w:t>[20,27]</w:t>
      </w:r>
      <w:r>
        <w:rPr/>
        <w:fldChar w:fldCharType="end" w:fldLock="0"/>
      </w:r>
      <w:r>
        <w:rPr>
          <w:rStyle w:val="None"/>
          <w:rtl w:val="0"/>
          <w:lang w:val="en-US"/>
        </w:rPr>
        <w:t>. Fig. 1 shows the analytical framework used for the consensus review.</w:t>
      </w:r>
    </w:p>
    <w:p>
      <w:pPr>
        <w:pStyle w:val="Body"/>
        <w:spacing w:before="240" w:after="240"/>
        <w:jc w:val="both"/>
        <w:rPr>
          <w:rStyle w:val="None"/>
          <w:b w:val="1"/>
          <w:bCs w:val="1"/>
          <w:u w:val="single"/>
        </w:rPr>
      </w:pPr>
      <w:r>
        <w:rPr>
          <w:rStyle w:val="None"/>
          <w:rtl w:val="0"/>
          <w:lang w:val="en-US"/>
        </w:rPr>
        <w:t xml:space="preserve">[insert figure 1 here] </w:t>
      </w:r>
    </w:p>
    <w:p>
      <w:pPr>
        <w:pStyle w:val="Body"/>
        <w:spacing w:before="240" w:after="240"/>
        <w:rPr>
          <w:rStyle w:val="None"/>
          <w:u w:val="single"/>
        </w:rPr>
      </w:pPr>
      <w:r>
        <w:rPr>
          <w:rStyle w:val="None"/>
          <w:u w:val="single"/>
          <w:rtl w:val="0"/>
          <w:lang w:val="en-US"/>
        </w:rPr>
        <w:t xml:space="preserve">Step Two: Use a modified Delphi process to develop themes from different countries </w:t>
      </w:r>
    </w:p>
    <w:p>
      <w:pPr>
        <w:pStyle w:val="Body"/>
        <w:spacing w:before="240" w:after="240"/>
      </w:pPr>
      <w:r>
        <w:rPr>
          <w:rStyle w:val="None"/>
          <w:rtl w:val="0"/>
          <w:lang w:val="en-US"/>
        </w:rPr>
        <w:t xml:space="preserve">Following the development of the consensus statements, the members of the telehealth WG electronically convened a discussion to formalize the findings from the consensus review. With the overarching question, </w:t>
      </w:r>
      <w:r>
        <w:rPr>
          <w:rStyle w:val="None"/>
          <w:rtl w:val="1"/>
          <w:lang w:val="ar-SA" w:bidi="ar-SA"/>
        </w:rPr>
        <w:t>“</w:t>
      </w:r>
      <w:r>
        <w:rPr>
          <w:rStyle w:val="None"/>
          <w:i w:val="1"/>
          <w:iCs w:val="1"/>
          <w:rtl w:val="0"/>
          <w:lang w:val="en-US"/>
        </w:rPr>
        <w:t>How can telehealth help design resilient and equitable global health systems?</w:t>
      </w:r>
      <w:r>
        <w:rPr>
          <w:rStyle w:val="None"/>
          <w:i w:val="1"/>
          <w:iCs w:val="1"/>
          <w:rtl w:val="0"/>
        </w:rPr>
        <w:t>”</w:t>
      </w:r>
      <w:r>
        <w:rPr>
          <w:rStyle w:val="None"/>
          <w:i w:val="1"/>
          <w:iCs w:val="1"/>
          <w:rtl w:val="0"/>
        </w:rPr>
        <w:t xml:space="preserve">, </w:t>
      </w:r>
      <w:r>
        <w:rPr>
          <w:rStyle w:val="None"/>
          <w:rtl w:val="0"/>
          <w:lang w:val="en-US"/>
        </w:rPr>
        <w:t>we organized the discussions into four thematic questions derived from the consensus review:</w:t>
      </w:r>
    </w:p>
    <w:p>
      <w:pPr>
        <w:pStyle w:val="Body"/>
        <w:numPr>
          <w:ilvl w:val="0"/>
          <w:numId w:val="2"/>
        </w:numPr>
        <w:rPr>
          <w:lang w:val="en-US"/>
        </w:rPr>
      </w:pPr>
      <w:r>
        <w:rPr>
          <w:rStyle w:val="None"/>
          <w:rtl w:val="0"/>
          <w:lang w:val="en-US"/>
        </w:rPr>
        <w:t>What is the role of telehealth delivery in enabling health equity?</w:t>
      </w:r>
    </w:p>
    <w:p>
      <w:pPr>
        <w:pStyle w:val="Body"/>
        <w:numPr>
          <w:ilvl w:val="0"/>
          <w:numId w:val="2"/>
        </w:numPr>
        <w:rPr>
          <w:lang w:val="en-US"/>
        </w:rPr>
      </w:pPr>
      <w:r>
        <w:rPr>
          <w:rStyle w:val="None"/>
          <w:rtl w:val="0"/>
          <w:lang w:val="en-US"/>
        </w:rPr>
        <w:t xml:space="preserve">Which factors in a health system influence access to telehealth services? </w:t>
      </w:r>
    </w:p>
    <w:p>
      <w:pPr>
        <w:pStyle w:val="Body"/>
        <w:numPr>
          <w:ilvl w:val="0"/>
          <w:numId w:val="2"/>
        </w:numPr>
        <w:rPr>
          <w:lang w:val="en-US"/>
        </w:rPr>
      </w:pPr>
      <w:r>
        <w:rPr>
          <w:rStyle w:val="None"/>
          <w:rtl w:val="0"/>
          <w:lang w:val="en-US"/>
        </w:rPr>
        <w:t>What is the potential of standards/guidelines for promoting telehealth services?</w:t>
      </w:r>
    </w:p>
    <w:p>
      <w:pPr>
        <w:pStyle w:val="Body"/>
        <w:numPr>
          <w:ilvl w:val="0"/>
          <w:numId w:val="2"/>
        </w:numPr>
        <w:rPr>
          <w:lang w:val="en-US"/>
        </w:rPr>
      </w:pPr>
      <w:r>
        <w:rPr>
          <w:rStyle w:val="None"/>
          <w:rtl w:val="0"/>
          <w:lang w:val="en-US"/>
        </w:rPr>
        <w:t>What are negative unintended consequences of telehealth delivery and how can they be addressed?</w:t>
      </w:r>
    </w:p>
    <w:p>
      <w:pPr>
        <w:pStyle w:val="Body"/>
        <w:spacing w:before="240" w:after="240"/>
      </w:pPr>
      <w:r>
        <w:rPr>
          <w:rStyle w:val="None"/>
          <w:rtl w:val="0"/>
          <w:lang w:val="en-US"/>
        </w:rPr>
        <w:t xml:space="preserve">For the discussion, we used a modified Delphi process to accommodate diverse opinions, experiences, and insights of the experts and their field notes. The experts in the IMIA-THWG were from different countries, dispersed across time zones and thus much of the data collection was asynchronous. Data collection took place over one month between October and November 2021. </w:t>
      </w:r>
    </w:p>
    <w:p>
      <w:pPr>
        <w:pStyle w:val="Body"/>
        <w:spacing w:before="240" w:after="240"/>
      </w:pPr>
      <w:r>
        <w:rPr>
          <w:rStyle w:val="None"/>
          <w:rtl w:val="0"/>
          <w:lang w:val="en-US"/>
        </w:rPr>
        <w:t>We then analyzed the narratives to generate themes related to each question. The names of the respondents are referred to here by their first name, middle name, and last name initials with abbreviations of the country names in parentheses. This was a consultation in a public domain document and all data is from co-authors of the paper. No human participants were involved, and ethics approval was not needed. The responses are paraphrased for brevity.</w:t>
      </w:r>
    </w:p>
    <w:p>
      <w:pPr>
        <w:pStyle w:val="Heading 2"/>
      </w:pPr>
      <w:bookmarkStart w:name="_znysh7" w:id="6"/>
      <w:bookmarkEnd w:id="6"/>
      <w:r>
        <w:rPr>
          <w:rStyle w:val="None"/>
          <w:rFonts w:cs="Arial Unicode MS" w:eastAsia="Arial Unicode MS"/>
          <w:rtl w:val="0"/>
        </w:rPr>
        <w:t>R</w:t>
      </w:r>
      <w:r>
        <w:rPr>
          <w:rStyle w:val="None"/>
          <w:rFonts w:cs="Arial Unicode MS" w:eastAsia="Arial Unicode MS"/>
          <w:rtl w:val="0"/>
          <w:lang w:val="en-US"/>
        </w:rPr>
        <w:t>esults</w:t>
      </w:r>
    </w:p>
    <w:p>
      <w:pPr>
        <w:pStyle w:val="Body"/>
      </w:pPr>
      <w:r>
        <w:rPr>
          <w:rtl w:val="0"/>
          <w:lang w:val="en-US"/>
        </w:rPr>
        <w:t xml:space="preserve">Eight experts from 11 countries participated in the Delphi process to share their views. </w:t>
      </w:r>
      <w:bookmarkStart w:name="_et92p0" w:id="7"/>
      <w:bookmarkEnd w:id="7"/>
      <w:r>
        <w:rPr>
          <w:rStyle w:val="None"/>
          <w:rtl w:val="0"/>
          <w:lang w:val="de-DE"/>
        </w:rPr>
        <w:t>W</w:t>
      </w:r>
      <w:r>
        <w:rPr>
          <w:rStyle w:val="None"/>
          <w:rtl w:val="0"/>
          <w:lang w:val="en-US"/>
        </w:rPr>
        <w:t xml:space="preserve">G member responses to the four questions are provided below. Each response is labeled with the initial and country of the WG member. </w:t>
      </w:r>
    </w:p>
    <w:p>
      <w:pPr>
        <w:pStyle w:val="Body"/>
        <w:rPr>
          <w:rStyle w:val="None"/>
          <w:b w:val="1"/>
          <w:bCs w:val="1"/>
          <w:shd w:val="clear" w:color="auto" w:fill="00ffff"/>
        </w:rPr>
      </w:pPr>
    </w:p>
    <w:p>
      <w:pPr>
        <w:pStyle w:val="Body"/>
        <w:numPr>
          <w:ilvl w:val="0"/>
          <w:numId w:val="4"/>
        </w:numPr>
        <w:bidi w:val="0"/>
        <w:ind w:right="0"/>
        <w:jc w:val="left"/>
        <w:rPr>
          <w:b w:val="1"/>
          <w:bCs w:val="1"/>
          <w:rtl w:val="0"/>
        </w:rPr>
      </w:pPr>
      <w:bookmarkStart w:name="_tyjcwt" w:id="8"/>
      <w:bookmarkEnd w:id="8"/>
      <w:r>
        <w:rPr>
          <w:rStyle w:val="None"/>
          <w:b w:val="1"/>
          <w:bCs w:val="1"/>
          <w:rtl w:val="0"/>
          <w:lang w:val="de-DE"/>
        </w:rPr>
        <w:t>W</w:t>
      </w:r>
      <w:r>
        <w:rPr>
          <w:rStyle w:val="None"/>
          <w:b w:val="1"/>
          <w:bCs w:val="1"/>
          <w:rtl w:val="0"/>
          <w:lang w:val="en-US"/>
        </w:rPr>
        <w:t>hat is the role of telehealth delivery in enabling health equity?</w:t>
      </w:r>
    </w:p>
    <w:p>
      <w:pPr>
        <w:pStyle w:val="Body"/>
      </w:pPr>
    </w:p>
    <w:p>
      <w:pPr>
        <w:pStyle w:val="Body"/>
      </w:pPr>
      <w:r>
        <w:rPr>
          <w:rStyle w:val="None"/>
          <w:rtl w:val="0"/>
          <w:lang w:val="en-US"/>
        </w:rPr>
        <w:t xml:space="preserve">While there was broad agreement that telehealth services enable better access to care delivery and other healthcare services, several concerns were raised about inequity in the access. On one hand, telehealth plays a significant role in providing access healthcare care services for those without direct access to them. This access is particularly important for people in remote or rural setting. SJ (India) noted that teleophthalmology provides comprehensive eye care and reduces the need for travel for the patient from the rural villages. VR (UK) cited a UK NHS technology enabled care program where telehealth technologies can potentially transform the way people control and engage with their own healthcare and empowering them to manage them in a way that is appropriate for their contexts. IH (NZ) also cited evidence from New Zealand on access to, and use of healthcare services, during the Covid-19 lockdown when telehealth was the first and main point of contact with health services. </w:t>
      </w:r>
    </w:p>
    <w:p>
      <w:pPr>
        <w:pStyle w:val="Body"/>
      </w:pPr>
    </w:p>
    <w:p>
      <w:pPr>
        <w:pStyle w:val="Body"/>
      </w:pPr>
      <w:r>
        <w:rPr>
          <w:rStyle w:val="None"/>
          <w:rtl w:val="0"/>
          <w:lang w:val="en-US"/>
        </w:rPr>
        <w:t xml:space="preserve">CK (Can) provided an example from Canada that also described how telehealth played a key role in enabling care access across different patient groups, disease types and neighborhood income groups </w:t>
      </w:r>
      <w:r>
        <w:rPr>
          <w:rStyle w:val="Hyperlink.2"/>
        </w:rPr>
        <w:fldChar w:fldCharType="begin" w:fldLock="0"/>
      </w:r>
      <w:r>
        <w:rPr>
          <w:rStyle w:val="Hyperlink.2"/>
        </w:rPr>
        <w:instrText xml:space="preserve"> HYPERLINK "https://paperpile.com/c/SBcV8m/wJ8Rm"</w:instrText>
      </w:r>
      <w:r>
        <w:rPr>
          <w:rStyle w:val="Hyperlink.2"/>
        </w:rPr>
        <w:fldChar w:fldCharType="separate" w:fldLock="0"/>
      </w:r>
      <w:r>
        <w:rPr>
          <w:rStyle w:val="Hyperlink.2"/>
          <w:rtl w:val="0"/>
          <w:lang w:val="pt-PT"/>
        </w:rPr>
        <w:t>[28]</w:t>
      </w:r>
      <w:r>
        <w:rPr/>
        <w:fldChar w:fldCharType="end" w:fldLock="0"/>
      </w:r>
      <w:r>
        <w:rPr>
          <w:rStyle w:val="None"/>
          <w:rtl w:val="0"/>
          <w:lang w:val="en-US"/>
        </w:rPr>
        <w:t xml:space="preserve">. MI (Brazil) noted that telehealth could increase communication and facilitation of coordination between patients with chronic conditions and their caregivers to support collaboration between them. JGU (India) stated that digtial telepsychiatry services are appropriately helpful for patients during and post-pandemic situations as it can decrease the inflow of regular outpatient consultations, minimize exposure to COVID19 and eliminate transportation and logistics costs for patients and caregivers. </w:t>
      </w:r>
      <w:bookmarkStart w:name="_dy6vkm" w:id="9"/>
      <w:bookmarkEnd w:id="9"/>
      <w:r>
        <w:rPr>
          <w:rStyle w:val="None"/>
          <w:rtl w:val="0"/>
        </w:rPr>
        <w:t>T</w:t>
      </w:r>
      <w:r>
        <w:rPr>
          <w:rStyle w:val="None"/>
          <w:rtl w:val="0"/>
          <w:lang w:val="en-US"/>
        </w:rPr>
        <w:t xml:space="preserve">he consensus of the WG was that Telehealth enables communication and coordination between stakeholders across time and space because it is possible to interact with everyone at any time, bringing more equity when providing appropriate patient-centered care to everyone. </w:t>
      </w:r>
    </w:p>
    <w:p>
      <w:pPr>
        <w:pStyle w:val="Body"/>
      </w:pPr>
    </w:p>
    <w:p>
      <w:pPr>
        <w:pStyle w:val="Body"/>
      </w:pPr>
      <w:r>
        <w:rPr>
          <w:rStyle w:val="None"/>
          <w:rtl w:val="0"/>
          <w:lang w:val="en-US"/>
        </w:rPr>
        <w:t xml:space="preserve">However, WG members provided several examples of where telehealth access was not equitable for everyone. VR (UK) noted that inequitable access can result in groups receiving less care relative to their needs, or inappropriate or sub-optimal care, than others, leading to poorer experiences, outcomes, and health status. SBG (India) cited a publication by the IMIA THWG published in 2016 that listed telehealth as a </w:t>
      </w:r>
      <w:r>
        <w:rPr>
          <w:rStyle w:val="None"/>
          <w:rtl w:val="1"/>
          <w:lang w:val="ar-SA" w:bidi="ar-SA"/>
        </w:rPr>
        <w:t>“</w:t>
      </w:r>
      <w:r>
        <w:rPr>
          <w:rStyle w:val="None"/>
          <w:rtl w:val="0"/>
          <w:lang w:val="en-US"/>
        </w:rPr>
        <w:t>cause of health inequity</w:t>
      </w:r>
      <w:r>
        <w:rPr>
          <w:rStyle w:val="None"/>
          <w:rtl w:val="0"/>
        </w:rPr>
        <w:t xml:space="preserve">” </w:t>
      </w:r>
      <w:r>
        <w:rPr>
          <w:rStyle w:val="None"/>
          <w:rtl w:val="0"/>
          <w:lang w:val="en-US"/>
        </w:rPr>
        <w:t xml:space="preserve">as one of the main points. To establish the argument about how telecare can be an impeding factor, SBG referred to an example of telecare from the city of Chennai in India which experienced floods in 2015. Following the flood, those citizens who had better access to smart mobile phones managed to get help earlier than those without. They cited the discrepancy in penetration of the Internet through cell-phones and broadband access. People who live remotely are more likely to be poor and most affected by the digital divide. It was </w:t>
      </w:r>
      <w:r>
        <w:rPr>
          <w:rStyle w:val="None"/>
          <w:rtl w:val="1"/>
          <w:lang w:val="ar-SA" w:bidi="ar-SA"/>
        </w:rPr>
        <w:t>“</w:t>
      </w:r>
      <w:r>
        <w:rPr>
          <w:rStyle w:val="None"/>
          <w:rtl w:val="0"/>
          <w:lang w:val="it-IT"/>
        </w:rPr>
        <w:t>ironic</w:t>
      </w:r>
      <w:r>
        <w:rPr>
          <w:rStyle w:val="None"/>
          <w:rtl w:val="0"/>
        </w:rPr>
        <w:t xml:space="preserve">” </w:t>
      </w:r>
      <w:r>
        <w:rPr>
          <w:rStyle w:val="None"/>
          <w:rtl w:val="0"/>
          <w:lang w:val="en-US"/>
        </w:rPr>
        <w:t>that the areas that needed help most were ignored in the initial phase.</w:t>
      </w:r>
    </w:p>
    <w:p>
      <w:pPr>
        <w:pStyle w:val="Body"/>
      </w:pPr>
    </w:p>
    <w:p>
      <w:pPr>
        <w:pStyle w:val="Body"/>
      </w:pPr>
      <w:r>
        <w:rPr>
          <w:rStyle w:val="None"/>
          <w:rtl w:val="0"/>
          <w:lang w:val="en-US"/>
        </w:rPr>
        <w:t xml:space="preserve">JGU (India) noted that people with inadequate access to Information Communication Technology (ICT) tools, and unfamiliarity or discomfort in using them may be disadvantaged in benefitting from telehealth services. What measures the planners and providers of telehealth services need to consider to ensure certain population groups such as migrants, refugees, senior citizens and rural people who may not be sufficiently equipped with devices or skills and those with disabilities are not </w:t>
      </w:r>
      <w:r>
        <w:rPr>
          <w:rStyle w:val="None"/>
          <w:rtl w:val="1"/>
          <w:lang w:val="ar-SA" w:bidi="ar-SA"/>
        </w:rPr>
        <w:t>“</w:t>
      </w:r>
      <w:r>
        <w:rPr>
          <w:rStyle w:val="None"/>
          <w:rtl w:val="0"/>
          <w:lang w:val="en-US"/>
        </w:rPr>
        <w:t>left behind'' in accessing the telehealth services.</w:t>
      </w:r>
    </w:p>
    <w:p>
      <w:pPr>
        <w:pStyle w:val="Body"/>
        <w:spacing w:before="240" w:after="240"/>
      </w:pPr>
      <w:r>
        <w:rPr>
          <w:rStyle w:val="None"/>
          <w:rtl w:val="0"/>
          <w:lang w:val="en-US"/>
        </w:rPr>
        <w:t>AT (Australia) noted that available community infrastructure can pose challenges to equity of access in telehealth. In rural and remote locations, digital bandwidth and connectivity infrastructure in general are less robust compared to urban locations. Investments of governments and local communities for types of business also exert influence here. IH (NZ) noted that in general underserved, also known as under-resourced, communities experience greater health inequities and greater barriers to access healthcare than the general population and provided insights in the context of New Zealand where such communities include rural communities and M</w:t>
      </w:r>
      <w:r>
        <w:rPr>
          <w:rStyle w:val="None"/>
          <w:rtl w:val="0"/>
        </w:rPr>
        <w:t>ā</w:t>
      </w:r>
      <w:r>
        <w:rPr>
          <w:rStyle w:val="None"/>
          <w:rtl w:val="0"/>
          <w:lang w:val="fr-FR"/>
        </w:rPr>
        <w:t xml:space="preserve">ori (NZ indigenous population). </w:t>
      </w:r>
    </w:p>
    <w:p>
      <w:pPr>
        <w:pStyle w:val="Body"/>
        <w:rPr>
          <w:rStyle w:val="None"/>
          <w:b w:val="1"/>
          <w:bCs w:val="1"/>
          <w:shd w:val="clear" w:color="auto" w:fill="00ffff"/>
        </w:rPr>
      </w:pPr>
    </w:p>
    <w:p>
      <w:pPr>
        <w:pStyle w:val="Body"/>
        <w:numPr>
          <w:ilvl w:val="0"/>
          <w:numId w:val="4"/>
        </w:numPr>
        <w:bidi w:val="0"/>
        <w:ind w:right="0"/>
        <w:jc w:val="left"/>
        <w:rPr>
          <w:b w:val="1"/>
          <w:bCs w:val="1"/>
          <w:rtl w:val="0"/>
        </w:rPr>
      </w:pPr>
      <w:bookmarkStart w:name="_t3h5sf" w:id="10"/>
      <w:bookmarkEnd w:id="10"/>
      <w:r>
        <w:rPr>
          <w:rStyle w:val="None"/>
          <w:b w:val="1"/>
          <w:bCs w:val="1"/>
          <w:rtl w:val="0"/>
          <w:lang w:val="de-DE"/>
        </w:rPr>
        <w:t>W</w:t>
      </w:r>
      <w:r>
        <w:rPr>
          <w:rStyle w:val="None"/>
          <w:b w:val="1"/>
          <w:bCs w:val="1"/>
          <w:rtl w:val="0"/>
          <w:lang w:val="en-US"/>
        </w:rPr>
        <w:t xml:space="preserve">hich factors in a health system influence access to telehealth services? </w:t>
      </w:r>
    </w:p>
    <w:p>
      <w:pPr>
        <w:pStyle w:val="Body"/>
      </w:pPr>
    </w:p>
    <w:p>
      <w:pPr>
        <w:pStyle w:val="Body"/>
        <w:rPr>
          <w:rStyle w:val="None"/>
          <w:shd w:val="clear" w:color="auto" w:fill="00ffff"/>
        </w:rPr>
      </w:pPr>
      <w:r>
        <w:rPr>
          <w:rStyle w:val="None"/>
          <w:rtl w:val="0"/>
          <w:lang w:val="en-US"/>
        </w:rPr>
        <w:t>AT (Australia) listed social determinants of health as a key health system influence on access to telehealth services stating that where a person is born, grows, lives and works can influence their access to healthcare services. AT also noted the role of community infrastructure and geographical variables (e.g., urban versus rural) as factors influencing equity. VR (UK) noted that adoption of telehealth reveals opportunities for identifying gaps to address health equity such as challenges to effective mobile working by community nurses in patient</w:t>
      </w:r>
      <w:r>
        <w:rPr>
          <w:rStyle w:val="None"/>
          <w:rtl w:val="1"/>
        </w:rPr>
        <w:t>’</w:t>
      </w:r>
      <w:r>
        <w:rPr>
          <w:rStyle w:val="None"/>
          <w:rtl w:val="0"/>
          <w:lang w:val="en-US"/>
        </w:rPr>
        <w:t xml:space="preserve">s homes due to poor internet connectivity. As a result, when the nurse would be working in a patient's home that has poor connectivity to the Internet, the health provider cannot access digital documents such as electronic records. Other limitations identified by VR were limited or no training to use devices, mobile device not being compatible with other software, and uploading onto systems that do not talk to each other leading to multiple data entry. </w:t>
      </w:r>
    </w:p>
    <w:p>
      <w:pPr>
        <w:pStyle w:val="Body"/>
        <w:spacing w:before="240" w:after="240"/>
      </w:pPr>
      <w:r>
        <w:rPr>
          <w:rStyle w:val="None"/>
          <w:rtl w:val="0"/>
          <w:lang w:val="en-US"/>
        </w:rPr>
        <w:t xml:space="preserve">IH (NZ) cited evidence from the seminal work by Piggot and Orkin (2018) that the root cause of health inequity is system failures in health care delivery </w:t>
      </w:r>
      <w:r>
        <w:rPr>
          <w:rStyle w:val="Hyperlink.2"/>
        </w:rPr>
        <w:fldChar w:fldCharType="begin" w:fldLock="0"/>
      </w:r>
      <w:r>
        <w:rPr>
          <w:rStyle w:val="Hyperlink.2"/>
        </w:rPr>
        <w:instrText xml:space="preserve"> HYPERLINK "https://paperpile.com/c/SBcV8m/XCH06"</w:instrText>
      </w:r>
      <w:r>
        <w:rPr>
          <w:rStyle w:val="Hyperlink.2"/>
        </w:rPr>
        <w:fldChar w:fldCharType="separate" w:fldLock="0"/>
      </w:r>
      <w:r>
        <w:rPr>
          <w:rStyle w:val="Hyperlink.2"/>
          <w:rtl w:val="0"/>
          <w:lang w:val="pt-PT"/>
        </w:rPr>
        <w:t>[29]</w:t>
      </w:r>
      <w:r>
        <w:rPr/>
        <w:fldChar w:fldCharType="end" w:fldLock="0"/>
      </w:r>
      <w:r>
        <w:rPr>
          <w:rStyle w:val="None"/>
          <w:rtl w:val="0"/>
          <w:lang w:val="en-US"/>
        </w:rPr>
        <w:t xml:space="preserve">. IH noted that telehealth offers a way to remove some of these barriers to access by using digital technologies delivering </w:t>
      </w:r>
      <w:r>
        <w:rPr>
          <w:rStyle w:val="None"/>
          <w:rtl w:val="1"/>
        </w:rPr>
        <w:t>‘</w:t>
      </w:r>
      <w:r>
        <w:rPr>
          <w:rStyle w:val="None"/>
          <w:rtl w:val="0"/>
          <w:lang w:val="en-US"/>
        </w:rPr>
        <w:t>healthcare at a distance</w:t>
      </w:r>
      <w:r>
        <w:rPr>
          <w:rStyle w:val="None"/>
          <w:rtl w:val="1"/>
        </w:rPr>
        <w:t xml:space="preserve">’ </w:t>
      </w:r>
      <w:r>
        <w:rPr>
          <w:rStyle w:val="None"/>
          <w:rtl w:val="0"/>
          <w:lang w:val="en-US"/>
        </w:rPr>
        <w:t xml:space="preserve">. IH noted several ways in which telehealth can be deemed to improve access to healthcare including reduction of waiting times, improve access to early treatment, reduction in travel time, travel expenses, less time off work, and development of culturally appropriate services. IH cited the NZ Ministry of Health (MoH) telehealth website stating that telehealth provides benefits for patients, district health boards, aged care workers/nurses, general practice and allied health providers and that telehealth provides overall a </w:t>
      </w:r>
      <w:r>
        <w:rPr>
          <w:rStyle w:val="None"/>
          <w:rtl w:val="1"/>
          <w:lang w:val="ar-SA" w:bidi="ar-SA"/>
        </w:rPr>
        <w:t>“</w:t>
      </w:r>
      <w:r>
        <w:rPr>
          <w:rStyle w:val="None"/>
          <w:rtl w:val="0"/>
          <w:lang w:val="en-US"/>
        </w:rPr>
        <w:t>fairer health system</w:t>
      </w:r>
      <w:r>
        <w:rPr>
          <w:rStyle w:val="None"/>
          <w:rtl w:val="0"/>
        </w:rPr>
        <w:t>”</w:t>
      </w:r>
      <w:r>
        <w:rPr>
          <w:rStyle w:val="None"/>
          <w:rtl w:val="0"/>
        </w:rPr>
        <w:t xml:space="preserve">. </w:t>
      </w:r>
    </w:p>
    <w:p>
      <w:pPr>
        <w:pStyle w:val="Body"/>
        <w:spacing w:before="240" w:after="240"/>
      </w:pPr>
      <w:r>
        <w:rPr>
          <w:rStyle w:val="None"/>
          <w:rtl w:val="0"/>
          <w:lang w:val="en-US"/>
        </w:rPr>
        <w:t xml:space="preserve">OJ (India) shared experiences of telehealth supported continuum of care for persons with NCDs during the COVID-19 pandemic among a rural population in Andhra Pradesh, India. A key factor identified by the beneficiaries was health systems responsiveness using automated call back for follow up by specialists where care escalation was recommended during the first contact. OJ also gave examples of doorstep delivery of medicines and facilitation of diagnostics at home through frontline healthcare workers as examples of providing appropriate healthcare services to a rural population </w:t>
      </w:r>
      <w:r>
        <w:rPr>
          <w:rStyle w:val="Hyperlink.2"/>
        </w:rPr>
        <w:fldChar w:fldCharType="begin" w:fldLock="0"/>
      </w:r>
      <w:r>
        <w:rPr>
          <w:rStyle w:val="Hyperlink.2"/>
        </w:rPr>
        <w:instrText xml:space="preserve"> HYPERLINK "https://paperpile.com/c/SBcV8m/aDinY"</w:instrText>
      </w:r>
      <w:r>
        <w:rPr>
          <w:rStyle w:val="Hyperlink.2"/>
        </w:rPr>
        <w:fldChar w:fldCharType="separate" w:fldLock="0"/>
      </w:r>
      <w:r>
        <w:rPr>
          <w:rStyle w:val="Hyperlink.2"/>
          <w:rtl w:val="0"/>
          <w:lang w:val="pt-PT"/>
        </w:rPr>
        <w:t>[30]</w:t>
      </w:r>
      <w:r>
        <w:rPr/>
        <w:fldChar w:fldCharType="end" w:fldLock="0"/>
      </w:r>
      <w:r>
        <w:rPr>
          <w:rStyle w:val="None"/>
          <w:rtl w:val="0"/>
        </w:rPr>
        <w:t xml:space="preserve">. </w:t>
      </w:r>
    </w:p>
    <w:p>
      <w:pPr>
        <w:pStyle w:val="Body"/>
        <w:spacing w:before="240" w:after="240"/>
      </w:pPr>
      <w:r>
        <w:rPr>
          <w:rStyle w:val="None"/>
          <w:rtl w:val="0"/>
          <w:lang w:val="en-US"/>
        </w:rPr>
        <w:t>AT (Aust) observed that telehealth services are dependent on information and communications technology, mobile medical apps (</w:t>
      </w:r>
      <w:r>
        <w:rPr>
          <w:rStyle w:val="None"/>
          <w:rtl w:val="1"/>
        </w:rPr>
        <w:t>‘</w:t>
      </w:r>
      <w:r>
        <w:rPr>
          <w:rStyle w:val="None"/>
          <w:rtl w:val="0"/>
          <w:lang w:val="en-US"/>
        </w:rPr>
        <w:t>software as a medical device</w:t>
      </w:r>
      <w:r>
        <w:rPr>
          <w:rStyle w:val="None"/>
          <w:rtl w:val="1"/>
        </w:rPr>
        <w:t>’</w:t>
      </w:r>
      <w:r>
        <w:rPr>
          <w:rStyle w:val="None"/>
          <w:rtl w:val="0"/>
          <w:lang w:val="en-US"/>
        </w:rPr>
        <w:t xml:space="preserve">), and as such they must fully align or comply with medical device standards. AT noted that mobile medical apps provide less guarantees for patient safety compared with other medical device standards and such lack of alignment across ISO/IEC standards makes it confusing for app developers and users of mobile medical devices alike, which in turn impedes compliance-based confidence in telehealth. </w:t>
      </w:r>
    </w:p>
    <w:p>
      <w:pPr>
        <w:pStyle w:val="Body"/>
        <w:spacing w:before="240" w:after="240"/>
      </w:pPr>
      <w:r>
        <w:rPr>
          <w:rStyle w:val="None"/>
          <w:rtl w:val="0"/>
          <w:lang w:val="en-US"/>
        </w:rPr>
        <w:t>KA (Brazil) noted that people in the high vulnerability spectrum of society, like people who are homeless and people in overcrowded prisons are historically exposed to difficulties in accessing health services. During the pandemic, these populations, in addition to the usual challenges, had to deal with difficulties in maintaining social isolation and lacked equal offers of solutions for psychological and health support due to the lack of meaningful universal healthcare access in their locations.</w:t>
      </w:r>
    </w:p>
    <w:p>
      <w:pPr>
        <w:pStyle w:val="Body"/>
      </w:pPr>
      <w:bookmarkStart w:name="_d34og8" w:id="11"/>
      <w:bookmarkEnd w:id="11"/>
      <w:r>
        <w:rPr>
          <w:rtl w:val="0"/>
        </w:rPr>
        <w:t>S</w:t>
      </w:r>
      <w:r>
        <w:rPr>
          <w:rtl w:val="0"/>
          <w:lang w:val="en-US"/>
        </w:rPr>
        <w:t xml:space="preserve">BG India noted the need to consider the costs of setting up a telepresence and to compare such costs with actual care delivery, given that costs rise exponentially when the type of care provisions rises from preventive to tertiary levels. According to this participant, telehealth costs would rise so as to support more complex care delivery patterns and health systems must ensure they have the financial and other resources to sustain telehealth delivery beyond pilot stages of telehealth delivery offerings. </w:t>
      </w:r>
    </w:p>
    <w:p>
      <w:pPr>
        <w:pStyle w:val="Body"/>
        <w:numPr>
          <w:ilvl w:val="0"/>
          <w:numId w:val="4"/>
        </w:numPr>
        <w:bidi w:val="0"/>
        <w:spacing w:before="240" w:after="240"/>
        <w:ind w:right="0"/>
        <w:jc w:val="left"/>
        <w:rPr>
          <w:b w:val="1"/>
          <w:bCs w:val="1"/>
          <w:rtl w:val="0"/>
          <w:lang w:val="en-US"/>
        </w:rPr>
      </w:pPr>
      <w:r>
        <w:rPr>
          <w:rStyle w:val="None"/>
          <w:b w:val="1"/>
          <w:bCs w:val="1"/>
          <w:rtl w:val="0"/>
          <w:lang w:val="en-US"/>
        </w:rPr>
        <w:t>What is the potential of standards/guidelines for enabling equitable telehealth services?</w:t>
      </w:r>
    </w:p>
    <w:p>
      <w:pPr>
        <w:pStyle w:val="Body"/>
      </w:pPr>
      <w:r>
        <w:rPr>
          <w:rStyle w:val="None"/>
          <w:rtl w:val="0"/>
          <w:lang w:val="en-US"/>
        </w:rPr>
        <w:t xml:space="preserve">JGU (India) noted that the planners and providers of telehealth services need to consider measures that ensure certain population groups such as migrants, refugees, senior citizens and rural people who may not be sufficiently equipped with devices or skills and those with disabilities are not </w:t>
      </w:r>
      <w:r>
        <w:rPr>
          <w:rStyle w:val="None"/>
          <w:rtl w:val="1"/>
          <w:lang w:val="ar-SA" w:bidi="ar-SA"/>
        </w:rPr>
        <w:t>“</w:t>
      </w:r>
      <w:r>
        <w:rPr>
          <w:rStyle w:val="None"/>
          <w:rtl w:val="0"/>
          <w:lang w:val="en-US"/>
        </w:rPr>
        <w:t>left behind'' in accessing the telehealth services.</w:t>
      </w:r>
    </w:p>
    <w:p>
      <w:pPr>
        <w:pStyle w:val="Body"/>
      </w:pPr>
    </w:p>
    <w:p>
      <w:pPr>
        <w:pStyle w:val="Body"/>
      </w:pPr>
      <w:r>
        <w:rPr>
          <w:rStyle w:val="None"/>
          <w:rtl w:val="0"/>
          <w:lang w:val="en-US"/>
        </w:rPr>
        <w:t xml:space="preserve">VR (UK) noted that a strategic approach to digital healthcare delivery has the potential to enable health equity; citing the context of the UK National Health Services </w:t>
      </w:r>
      <w:r>
        <w:rPr>
          <w:rStyle w:val="None"/>
          <w:rtl w:val="1"/>
          <w:lang w:val="ar-SA" w:bidi="ar-SA"/>
        </w:rPr>
        <w:t>“</w:t>
      </w:r>
      <w:r>
        <w:rPr>
          <w:rStyle w:val="None"/>
          <w:rtl w:val="0"/>
          <w:lang w:val="en-US"/>
        </w:rPr>
        <w:t>The Technology Enabled Care Services (TECS)</w:t>
      </w:r>
      <w:r>
        <w:rPr>
          <w:rStyle w:val="None"/>
          <w:rtl w:val="0"/>
        </w:rPr>
        <w:t xml:space="preserve">” </w:t>
      </w:r>
      <w:r>
        <w:rPr>
          <w:rStyle w:val="None"/>
          <w:rtl w:val="0"/>
          <w:lang w:val="en-US"/>
        </w:rPr>
        <w:t xml:space="preserve">where they developed resources named </w:t>
      </w:r>
      <w:r>
        <w:rPr>
          <w:rStyle w:val="None"/>
          <w:rtl w:val="1"/>
          <w:lang w:val="ar-SA" w:bidi="ar-SA"/>
        </w:rPr>
        <w:t>“</w:t>
      </w:r>
      <w:r>
        <w:rPr>
          <w:rStyle w:val="None"/>
          <w:rtl w:val="0"/>
          <w:lang w:val="en-US"/>
        </w:rPr>
        <w:t>Resource for Commissioners</w:t>
      </w:r>
      <w:r>
        <w:rPr>
          <w:rStyle w:val="None"/>
          <w:rtl w:val="0"/>
        </w:rPr>
        <w:t xml:space="preserve">” </w:t>
      </w:r>
      <w:r>
        <w:rPr>
          <w:rStyle w:val="None"/>
          <w:rtl w:val="0"/>
          <w:lang w:val="en-US"/>
        </w:rPr>
        <w:t xml:space="preserve">with a focus on delivering set of practical tools and resources to address the demand from health and social care professionals for support and guidance on how to commission, procure, implement and evaluate so as to maximise the value of these types of solutions and services. The tools include a </w:t>
      </w:r>
      <w:r>
        <w:rPr>
          <w:rStyle w:val="None"/>
          <w:rtl w:val="1"/>
        </w:rPr>
        <w:t>‘</w:t>
      </w:r>
      <w:r>
        <w:rPr>
          <w:rStyle w:val="None"/>
          <w:rtl w:val="0"/>
          <w:lang w:val="en-US"/>
        </w:rPr>
        <w:t>TECS evidence database</w:t>
      </w:r>
      <w:r>
        <w:rPr>
          <w:rStyle w:val="None"/>
          <w:rtl w:val="1"/>
        </w:rPr>
        <w:t xml:space="preserve">’ </w:t>
      </w:r>
      <w:r>
        <w:rPr>
          <w:rStyle w:val="None"/>
          <w:rtl w:val="0"/>
          <w:lang w:val="en-US"/>
        </w:rPr>
        <w:t xml:space="preserve">showing the impact of telehealth on patient outcomes and cost effectiveness such as diabetes and chronic obstructive pulmonary disease (COPD). </w:t>
      </w:r>
    </w:p>
    <w:p>
      <w:pPr>
        <w:pStyle w:val="Body"/>
      </w:pPr>
    </w:p>
    <w:p>
      <w:pPr>
        <w:pStyle w:val="Body"/>
        <w:spacing w:after="240"/>
      </w:pPr>
      <w:r>
        <w:rPr>
          <w:rStyle w:val="None"/>
          <w:rtl w:val="0"/>
          <w:lang w:val="en-US"/>
        </w:rPr>
        <w:t>MN (Brazil) observed that</w:t>
      </w:r>
      <w:r>
        <w:rPr>
          <w:rStyle w:val="None"/>
          <w:i w:val="1"/>
          <w:iCs w:val="1"/>
          <w:rtl w:val="0"/>
        </w:rPr>
        <w:t xml:space="preserve"> </w:t>
      </w:r>
      <w:r>
        <w:rPr>
          <w:rStyle w:val="None"/>
          <w:rtl w:val="0"/>
          <w:lang w:val="en-US"/>
        </w:rPr>
        <w:t>telehomecare applications would be expected to expand in developing countries with limited accessibility and availability of traditional healthcare services and high hospital acquired infections. MN noted the importance and necessity of clear guidelines and protocols with training of care deliverers in ensuring quality of care, where telehomecare would be deemed as an alternative or supplement to care delivered face to face (</w:t>
      </w:r>
      <w:r>
        <w:rPr>
          <w:rStyle w:val="None"/>
          <w:rtl w:val="1"/>
          <w:lang w:val="ar-SA" w:bidi="ar-SA"/>
        </w:rPr>
        <w:t>“</w:t>
      </w:r>
      <w:r>
        <w:rPr>
          <w:rStyle w:val="None"/>
          <w:rtl w:val="0"/>
          <w:lang w:val="en-US"/>
        </w:rPr>
        <w:t>traditional care</w:t>
      </w:r>
      <w:r>
        <w:rPr>
          <w:rStyle w:val="None"/>
          <w:rtl w:val="0"/>
        </w:rPr>
        <w:t>”</w:t>
      </w:r>
      <w:r>
        <w:rPr>
          <w:rStyle w:val="None"/>
          <w:rtl w:val="0"/>
        </w:rPr>
        <w:t xml:space="preserve">). </w:t>
      </w:r>
    </w:p>
    <w:p>
      <w:pPr>
        <w:pStyle w:val="Body"/>
        <w:spacing w:before="240" w:after="240"/>
      </w:pPr>
      <w:r>
        <w:rPr>
          <w:rStyle w:val="None"/>
          <w:rtl w:val="0"/>
          <w:lang w:val="en-US"/>
        </w:rPr>
        <w:t xml:space="preserve">AT (Aust) observed, citing publications that a barrier to telehealth implementation is reluctance of physicians to adopt telehealth, due to concerns about quality of care and privacy issues and noted that this can be alleviated by demonstrating compliance with globally accepted international standards ISO/IEC-standards where these standards govern telehealth services and aspects of technology including information management. AT further observed that quality of telehealth services is covered by ISO 13131:2021 and that experts from the Telehealth Working Group have contributed to this recent version of the standard. The standard describes quality requirements for a wide variety of use cases, including scenarios of (home-based) telehealth services in remote areas and consumer engagement with telehealth. </w:t>
      </w:r>
    </w:p>
    <w:p>
      <w:pPr>
        <w:pStyle w:val="Body"/>
      </w:pPr>
      <w:r>
        <w:rPr>
          <w:rStyle w:val="None"/>
          <w:rtl w:val="0"/>
          <w:lang w:val="en-US"/>
        </w:rPr>
        <w:t>AT argued that two circumstances confound the widespread and flexible delivery of telehealth services: lack of standards supporting integration of data collection components in a broader system, and lack of a universal framework for development of the underlying analytic and logic software, in a critical system setting</w:t>
      </w:r>
    </w:p>
    <w:p>
      <w:pPr>
        <w:pStyle w:val="Body"/>
      </w:pPr>
    </w:p>
    <w:p>
      <w:pPr>
        <w:pStyle w:val="Body"/>
        <w:numPr>
          <w:ilvl w:val="0"/>
          <w:numId w:val="4"/>
        </w:numPr>
        <w:bidi w:val="0"/>
        <w:ind w:right="0"/>
        <w:jc w:val="left"/>
        <w:rPr>
          <w:b w:val="1"/>
          <w:bCs w:val="1"/>
          <w:rtl w:val="0"/>
        </w:rPr>
      </w:pPr>
      <w:bookmarkStart w:name="_s8eyo1" w:id="12"/>
      <w:bookmarkEnd w:id="12"/>
      <w:r>
        <w:rPr>
          <w:rStyle w:val="None"/>
          <w:b w:val="1"/>
          <w:bCs w:val="1"/>
          <w:rtl w:val="0"/>
          <w:lang w:val="de-DE"/>
        </w:rPr>
        <w:t>W</w:t>
      </w:r>
      <w:r>
        <w:rPr>
          <w:rStyle w:val="None"/>
          <w:b w:val="1"/>
          <w:bCs w:val="1"/>
          <w:rtl w:val="0"/>
          <w:lang w:val="en-US"/>
        </w:rPr>
        <w:t>hat are unintended negative consequences of telehealth delivery and how can we address them?</w:t>
      </w:r>
    </w:p>
    <w:p>
      <w:pPr>
        <w:pStyle w:val="Body"/>
      </w:pPr>
    </w:p>
    <w:p>
      <w:pPr>
        <w:pStyle w:val="Body"/>
      </w:pPr>
      <w:r>
        <w:rPr>
          <w:rStyle w:val="None"/>
          <w:rtl w:val="0"/>
          <w:lang w:val="en-US"/>
        </w:rPr>
        <w:t>CK (Can) noted that while telehealth has without doubt improved care delivery, it has introduced unintended consequences (UICs) in the form of the digital divide. One significant challenge in Canada was that once COVID-19 induced lockdowns began to be lifted, some practitioners continued providing virtual care delivery rather than providing any in-person care delivery (https://www.cbc.ca/news/canada/toronto/patients-frustrated-concerned-as-some-ontario-doctors-slow-to-return-to-in-person-appointments-1.6160171). This decision has created some issues where patients have been misdiagnosed or not received an appropriate level of care through virtual means. Telehealth delivery is not meant to be a direct replacement for in-person care delivery but rather a patient</w:t>
      </w:r>
      <w:r>
        <w:rPr>
          <w:rStyle w:val="None"/>
          <w:rtl w:val="1"/>
        </w:rPr>
        <w:t>’</w:t>
      </w:r>
      <w:r>
        <w:rPr>
          <w:rStyle w:val="None"/>
          <w:rtl w:val="0"/>
          <w:lang w:val="en-US"/>
        </w:rPr>
        <w:t xml:space="preserve">s specific context and needs must determine the modality of care delivery. </w:t>
      </w:r>
    </w:p>
    <w:p>
      <w:pPr>
        <w:pStyle w:val="Body"/>
      </w:pPr>
    </w:p>
    <w:p>
      <w:pPr>
        <w:pStyle w:val="Body"/>
      </w:pPr>
      <w:r>
        <w:rPr>
          <w:rStyle w:val="None"/>
          <w:rtl w:val="0"/>
          <w:lang w:val="en-US"/>
        </w:rPr>
        <w:t>In overcoming UICs such as the digital divide, AT (Aust) identified health and digital literacy as early challenges that telehealth must overcome. AT noted, as did JGU (India), that telehealth</w:t>
      </w:r>
      <w:r>
        <w:rPr>
          <w:rStyle w:val="None"/>
          <w:rtl w:val="1"/>
        </w:rPr>
        <w:t>’</w:t>
      </w:r>
      <w:r>
        <w:rPr>
          <w:rStyle w:val="None"/>
          <w:rtl w:val="0"/>
          <w:lang w:val="en-US"/>
        </w:rPr>
        <w:t xml:space="preserve">s potential for providing equitable access for everyone requires content to be adapted or tailored to the target audience. AT observed that artificial intelligence could play a role in overcoming UICs by allowing health professionals to understand the behavior and way of communication of diverse user groups in order to develop content and meet their needs in a specialized and personalized way. </w:t>
      </w:r>
    </w:p>
    <w:p>
      <w:pPr>
        <w:pStyle w:val="Body"/>
      </w:pPr>
    </w:p>
    <w:p>
      <w:pPr>
        <w:pStyle w:val="Body"/>
      </w:pPr>
      <w:r>
        <w:rPr>
          <w:rStyle w:val="None"/>
          <w:rtl w:val="0"/>
          <w:lang w:val="en-US"/>
        </w:rPr>
        <w:t xml:space="preserve">AT also observed that the fact that telehealth care access and utilization allows for acceptance to the digital divide in healthcare is an unintentional consequence of telehealth, revealing income-based and regional health disparities. Those living in more affluent and urban areas where ICT infrastructure is common were more likely to have accessed telehealth during its pandemic-era boom than those in low-income, rural areas. AT also noted that telehealth could ultimately worsen access to health services and thus increase health inequity. </w:t>
      </w:r>
    </w:p>
    <w:p>
      <w:pPr>
        <w:pStyle w:val="Body"/>
      </w:pPr>
    </w:p>
    <w:p>
      <w:pPr>
        <w:pStyle w:val="Body"/>
      </w:pPr>
      <w:r>
        <w:rPr>
          <w:rStyle w:val="None"/>
          <w:rtl w:val="0"/>
          <w:lang w:val="en-US"/>
        </w:rPr>
        <w:t xml:space="preserve">JGU (India) noted that a virtual, indirect, and screen-mediated consultation, unlike a face-to-face meeting between a doctor and patient, makes relationship building a challenge. JGU noted that for new cases where the patients/caregivers are in contact with a stranger on a small screen, they may not like disclosing everything about their life, which could impact relationship building and the care provided to the patient. </w:t>
      </w:r>
    </w:p>
    <w:p>
      <w:pPr>
        <w:pStyle w:val="Body"/>
      </w:pPr>
    </w:p>
    <w:p>
      <w:pPr>
        <w:pStyle w:val="Heading 2"/>
      </w:pPr>
      <w:bookmarkStart w:name="_dp8vu" w:id="13"/>
      <w:bookmarkEnd w:id="13"/>
      <w:r>
        <w:rPr>
          <w:rStyle w:val="None"/>
          <w:rFonts w:cs="Arial Unicode MS" w:eastAsia="Arial Unicode MS"/>
          <w:rtl w:val="0"/>
        </w:rPr>
        <w:t>D</w:t>
      </w:r>
      <w:r>
        <w:rPr>
          <w:rStyle w:val="None"/>
          <w:rFonts w:cs="Arial Unicode MS" w:eastAsia="Arial Unicode MS"/>
          <w:rtl w:val="0"/>
          <w:lang w:val="en-US"/>
        </w:rPr>
        <w:t>iscussion</w:t>
      </w:r>
    </w:p>
    <w:p>
      <w:pPr>
        <w:pStyle w:val="Body"/>
        <w:jc w:val="both"/>
      </w:pPr>
      <w:r>
        <w:rPr>
          <w:rStyle w:val="None"/>
          <w:rtl w:val="0"/>
          <w:lang w:val="en-US"/>
        </w:rPr>
        <w:t xml:space="preserve">Here we build on earlier work by our working group (WG) by conducting a consensus review and then using a modified Delphi approach to study the question </w:t>
      </w:r>
      <w:r>
        <w:rPr>
          <w:rStyle w:val="None"/>
          <w:rtl w:val="1"/>
          <w:lang w:val="ar-SA" w:bidi="ar-SA"/>
        </w:rPr>
        <w:t>“</w:t>
      </w:r>
      <w:r>
        <w:rPr>
          <w:rStyle w:val="None"/>
          <w:rtl w:val="0"/>
          <w:lang w:val="en-US"/>
        </w:rPr>
        <w:t>How can telehealth help design resilient and equitable global health systems?</w:t>
      </w:r>
      <w:r>
        <w:rPr>
          <w:rStyle w:val="None"/>
          <w:rtl w:val="0"/>
        </w:rPr>
        <w:t xml:space="preserve">” </w:t>
      </w:r>
      <w:r>
        <w:rPr>
          <w:rStyle w:val="None"/>
          <w:rtl w:val="0"/>
          <w:lang w:val="en-US"/>
        </w:rPr>
        <w:t xml:space="preserve">Inclusive digital health and a resilient health system for all is a broad outcome and getting there requires a systems-based approach that develops telehealth capacity over time. Our earlier work identified three usage archetypes for telehealth [26]. Here we have expanded them to identify the patterns from the perspective of equity and development of a resilient health system. The result is a global perspective on telehealth design to support resilience and inclusive telehealth service delivery. </w:t>
      </w:r>
    </w:p>
    <w:p>
      <w:pPr>
        <w:pStyle w:val="Body"/>
        <w:spacing w:before="240" w:after="240"/>
        <w:jc w:val="both"/>
      </w:pPr>
      <w:r>
        <w:rPr>
          <w:rStyle w:val="None"/>
          <w:rtl w:val="0"/>
          <w:lang w:val="en-US"/>
        </w:rPr>
        <w:t>While our WG reached broad agreement that telehealth services pre and during the COVID-19 pandemic has enhanced the delivery of and access to healthcare services, they also emphasized that global telehealth delivery has not been equitable. Health system concepts such as technology, financing, access to medical supplies and equipment, and governance capacity can all impact the delivery of telehealth services. While technology is a key part of telehealth delivery, technology alone is unlikely to create a resilient telehealth system, nor will it enable equitable access to the system. The challenges to developing resilient and equitable health systems are multifactorial. In this study, we have identified several areas we need to focus on including health and digital literacy, an understanding of how to digitally build meaningful patient-provider relationships, and ensuring that someone</w:t>
      </w:r>
      <w:r>
        <w:rPr>
          <w:rStyle w:val="None"/>
          <w:rtl w:val="1"/>
        </w:rPr>
        <w:t>’</w:t>
      </w:r>
      <w:r>
        <w:rPr>
          <w:rStyle w:val="None"/>
          <w:rtl w:val="0"/>
          <w:lang w:val="en-US"/>
        </w:rPr>
        <w:t xml:space="preserve">s socioeconomic status or geographic location (e.g. rural settings) does not impact their ability to efficiently access any needed healthcare services. </w:t>
      </w:r>
    </w:p>
    <w:p>
      <w:pPr>
        <w:pStyle w:val="Body"/>
        <w:spacing w:before="240" w:after="240"/>
        <w:jc w:val="both"/>
      </w:pPr>
      <w:r>
        <w:rPr>
          <w:rStyle w:val="None"/>
          <w:rtl w:val="0"/>
          <w:lang w:val="en-US"/>
        </w:rPr>
        <w:t xml:space="preserve">While it is critical to identify barriers and UICs to developing resilient and equitable health systems it is equally important that we be proactive in generating evidence on enablers and solutions to reduce system wide barriers for access to telehealth so that specific populations and other underserved populations can take advantage of telehealth to improve access to healthcare services. The IMIA-THWG has already initiated efforts to address several of the shortcomings identified in this paper. For example, we have taken the initiative to start developing telehealth guidelines, including implementation of telehealth standards, with a focus on ISO 13131:2021. Our global WG also continues to leverage the breadth of our international experience to understand telehealth delivery in different health systems. To develop resilient and equitable health systems, we must develop strategies for the design and evaluation of telehealth services that draw upon systems thinking [5]. </w:t>
      </w:r>
    </w:p>
    <w:p>
      <w:pPr>
        <w:pStyle w:val="Body"/>
      </w:pPr>
      <w:bookmarkStart w:name="_rdcrjn" w:id="14"/>
      <w:bookmarkEnd w:id="14"/>
      <w:r>
        <w:rPr>
          <w:rStyle w:val="None"/>
          <w:rtl w:val="0"/>
        </w:rPr>
        <w:t>A</w:t>
      </w:r>
      <w:r>
        <w:rPr>
          <w:rStyle w:val="None"/>
          <w:rtl w:val="0"/>
          <w:lang w:val="en-US"/>
        </w:rPr>
        <w:t>s we continue to grow and expand telehealth delivery, a distinction needs to be made between a pattern of telehealth usage where a patient is just pulling information from sources (e.g. one way access) and a pattern of two-way communication between a patient and providers that occurs over time. The former telehealth pattern is easier to implement and deliver but it provides a less substantial care delivery service than a pattern that involves ongoing two-way communication between a patient and a care delivery team. A person</w:t>
      </w:r>
      <w:r>
        <w:rPr>
          <w:rStyle w:val="None"/>
          <w:rtl w:val="1"/>
        </w:rPr>
        <w:t>’</w:t>
      </w:r>
      <w:r>
        <w:rPr>
          <w:rStyle w:val="None"/>
          <w:rtl w:val="0"/>
          <w:lang w:val="en-US"/>
        </w:rPr>
        <w:t xml:space="preserve">s ability to access the level of telehealth services needed for their specific situation should not depend on socioeconomic factors such as income, education, or place of residence. Our quest for global digital health systems cannot lead to inequity where some populations have access to more robust or substantial telehealth delivery compared to other populations. </w:t>
      </w:r>
    </w:p>
    <w:p>
      <w:pPr>
        <w:pStyle w:val="Body"/>
      </w:pPr>
      <w:bookmarkStart w:name="_vuh1x48asyht" w:id="15"/>
      <w:bookmarkEnd w:id="15"/>
    </w:p>
    <w:p>
      <w:pPr>
        <w:pStyle w:val="Heading 2"/>
      </w:pPr>
      <w:bookmarkStart w:name="_cfmy6ym03hz5" w:id="16"/>
      <w:bookmarkEnd w:id="16"/>
      <w:r>
        <w:rPr>
          <w:rStyle w:val="None"/>
          <w:rFonts w:cs="Arial Unicode MS" w:eastAsia="Arial Unicode MS"/>
          <w:rtl w:val="0"/>
        </w:rPr>
        <w:t>C</w:t>
      </w:r>
      <w:r>
        <w:rPr>
          <w:rStyle w:val="None"/>
          <w:rFonts w:cs="Arial Unicode MS" w:eastAsia="Arial Unicode MS"/>
          <w:rtl w:val="0"/>
          <w:lang w:val="it-IT"/>
        </w:rPr>
        <w:t>onclusion</w:t>
      </w:r>
    </w:p>
    <w:p>
      <w:pPr>
        <w:pStyle w:val="Body"/>
        <w:spacing w:before="240" w:after="240"/>
        <w:jc w:val="both"/>
      </w:pPr>
      <w:r>
        <w:rPr>
          <w:rStyle w:val="None"/>
          <w:rtl w:val="0"/>
          <w:lang w:val="en-US"/>
        </w:rPr>
        <w:t xml:space="preserve">Globally, telehealth continues to be a key driver of healthcare services. The drivers for telehealth are both technological. From a technology perspective, increased availability and capability of digital technologies have expanded our ability to provide care across time and space. Non-technological drivers include a lack of access to suitable timely health care services and health system pressures of increasing chronic disease and an ageing population. The COVID-19 pandemic has further made the case that we need a resilient and sustainable digital health system that can deliver efficient, effective, and equitable care during events like a global pandemic. Telehealth allows a health system to be disrupted and rebuilt around the care needs of an individual, empowering them to drive the delivery of their own health care independent of their socioeconomic status. </w:t>
      </w:r>
    </w:p>
    <w:p>
      <w:pPr>
        <w:pStyle w:val="Heading 2"/>
        <w:rPr>
          <w:rStyle w:val="None"/>
          <w:outline w:val="0"/>
          <w:color w:val="222222"/>
          <w:sz w:val="20"/>
          <w:szCs w:val="20"/>
          <w:u w:color="222222"/>
          <w:shd w:val="clear" w:color="auto" w:fill="ffffff"/>
          <w14:textFill>
            <w14:solidFill>
              <w14:srgbClr w14:val="222222"/>
            </w14:solidFill>
          </w14:textFill>
        </w:rPr>
      </w:pPr>
      <w:bookmarkStart w:name="_in1rg" w:id="17"/>
      <w:bookmarkEnd w:id="17"/>
      <w:r>
        <w:rPr>
          <w:rStyle w:val="None"/>
          <w:rFonts w:cs="Arial Unicode MS" w:eastAsia="Arial Unicode MS"/>
          <w:rtl w:val="0"/>
        </w:rPr>
        <w:t>R</w:t>
      </w:r>
      <w:r>
        <w:rPr>
          <w:rStyle w:val="None"/>
          <w:rFonts w:cs="Arial Unicode MS" w:eastAsia="Arial Unicode MS"/>
          <w:rtl w:val="0"/>
          <w:lang w:val="fr-FR"/>
        </w:rPr>
        <w:t>eferences</w:t>
      </w:r>
    </w:p>
    <w:p>
      <w:pPr>
        <w:pStyle w:val="Body"/>
      </w:pPr>
    </w:p>
    <w:p>
      <w:pPr>
        <w:pStyle w:val="Body"/>
        <w:widowControl w:val="0"/>
        <w:spacing w:before="220" w:after="220" w:line="240" w:lineRule="auto"/>
        <w:ind w:left="440" w:hanging="440"/>
        <w:rPr>
          <w:rStyle w:val="Hyperlink.2"/>
        </w:rPr>
      </w:pPr>
      <w:r>
        <w:rPr>
          <w:rStyle w:val="Hyperlink.2"/>
          <w:rtl w:val="0"/>
        </w:rPr>
        <w:t>1</w:t>
        <w:tab/>
      </w:r>
      <w:r>
        <w:rPr>
          <w:rStyle w:val="Hyperlink.4"/>
        </w:rPr>
        <w:fldChar w:fldCharType="begin" w:fldLock="0"/>
      </w:r>
      <w:r>
        <w:rPr>
          <w:rStyle w:val="Hyperlink.4"/>
        </w:rPr>
        <w:instrText xml:space="preserve"> HYPERLINK "http://paperpile.com/b/SBcV8m/Oflaa"</w:instrText>
      </w:r>
      <w:r>
        <w:rPr>
          <w:rStyle w:val="Hyperlink.4"/>
        </w:rPr>
        <w:fldChar w:fldCharType="separate" w:fldLock="0"/>
      </w:r>
      <w:r>
        <w:rPr>
          <w:rStyle w:val="Hyperlink.4"/>
          <w:rtl w:val="0"/>
          <w:lang w:val="da-DK"/>
        </w:rPr>
        <w:t xml:space="preserve">Miller EA. </w:t>
      </w:r>
      <w:r>
        <w:rPr/>
        <w:fldChar w:fldCharType="end" w:fldLock="0"/>
      </w:r>
      <w:r>
        <w:rPr>
          <w:rStyle w:val="Hyperlink.2"/>
        </w:rPr>
        <w:fldChar w:fldCharType="begin" w:fldLock="0"/>
      </w:r>
      <w:r>
        <w:rPr>
          <w:rStyle w:val="Hyperlink.2"/>
        </w:rPr>
        <w:instrText xml:space="preserve"> HYPERLINK "http://paperpile.com/b/SBcV8m/Oflaa"</w:instrText>
      </w:r>
      <w:r>
        <w:rPr>
          <w:rStyle w:val="Hyperlink.2"/>
        </w:rPr>
        <w:fldChar w:fldCharType="separate" w:fldLock="0"/>
      </w:r>
      <w:r>
        <w:rPr>
          <w:rStyle w:val="Hyperlink.2"/>
          <w:rtl w:val="0"/>
          <w:lang w:val="en-US"/>
        </w:rPr>
        <w:t>Solving the disjuncture between research and practice: telehealth trends in the 21st century. Health Policy 2007; 82: 133</w:t>
      </w:r>
      <w:r>
        <w:rPr>
          <w:rStyle w:val="Hyperlink.2"/>
          <w:rtl w:val="0"/>
        </w:rPr>
        <w:t>–</w:t>
      </w:r>
      <w:r>
        <w:rPr>
          <w:rStyle w:val="Hyperlink.2"/>
          <w:rtl w:val="0"/>
          <w:lang w:val="en-US"/>
        </w:rPr>
        <w:t xml:space="preserve">141 Available from: </w:t>
      </w:r>
      <w:r>
        <w:rPr/>
        <w:fldChar w:fldCharType="end" w:fldLock="0"/>
      </w:r>
      <w:r>
        <w:rPr>
          <w:rStyle w:val="Hyperlink.2"/>
        </w:rPr>
        <w:fldChar w:fldCharType="begin" w:fldLock="0"/>
      </w:r>
      <w:r>
        <w:rPr>
          <w:rStyle w:val="Hyperlink.2"/>
        </w:rPr>
        <w:instrText xml:space="preserve"> HYPERLINK "http://dx.doi.org/10.1016/j.healthpol.2006.09.011"</w:instrText>
      </w:r>
      <w:r>
        <w:rPr>
          <w:rStyle w:val="Hyperlink.2"/>
        </w:rPr>
        <w:fldChar w:fldCharType="separate" w:fldLock="0"/>
      </w:r>
      <w:r>
        <w:rPr>
          <w:rStyle w:val="Hyperlink.2"/>
          <w:rtl w:val="0"/>
          <w:lang w:val="en-US"/>
        </w:rPr>
        <w:t>http://dx.doi.org/10.1016/j.healthpol.2006.09.011</w:t>
      </w:r>
      <w:r>
        <w:rPr/>
        <w:fldChar w:fldCharType="end" w:fldLock="0"/>
      </w:r>
    </w:p>
    <w:p>
      <w:pPr>
        <w:pStyle w:val="Body"/>
        <w:widowControl w:val="0"/>
        <w:spacing w:after="220" w:line="240" w:lineRule="auto"/>
        <w:ind w:left="440" w:hanging="440"/>
        <w:rPr>
          <w:rStyle w:val="Hyperlink.2"/>
        </w:rPr>
      </w:pPr>
      <w:r>
        <w:rPr>
          <w:rStyle w:val="Hyperlink.2"/>
          <w:rtl w:val="0"/>
        </w:rPr>
        <w:t>2</w:t>
        <w:tab/>
      </w:r>
      <w:r>
        <w:rPr>
          <w:rStyle w:val="Hyperlink.4"/>
        </w:rPr>
        <w:fldChar w:fldCharType="begin" w:fldLock="0"/>
      </w:r>
      <w:r>
        <w:rPr>
          <w:rStyle w:val="Hyperlink.4"/>
        </w:rPr>
        <w:instrText xml:space="preserve"> HYPERLINK "http://paperpile.com/b/SBcV8m/RTgvE"</w:instrText>
      </w:r>
      <w:r>
        <w:rPr>
          <w:rStyle w:val="Hyperlink.4"/>
        </w:rPr>
        <w:fldChar w:fldCharType="separate" w:fldLock="0"/>
      </w:r>
      <w:r>
        <w:rPr>
          <w:rStyle w:val="Hyperlink.4"/>
          <w:rtl w:val="0"/>
          <w:lang w:val="en-US"/>
        </w:rPr>
        <w:t xml:space="preserve">Cusack CM, Pan E, Hook JM, Vincent A, Kaelber DC, Middleton B. </w:t>
      </w:r>
      <w:r>
        <w:rPr/>
        <w:fldChar w:fldCharType="end" w:fldLock="0"/>
      </w:r>
      <w:r>
        <w:rPr>
          <w:rStyle w:val="Hyperlink.2"/>
        </w:rPr>
        <w:fldChar w:fldCharType="begin" w:fldLock="0"/>
      </w:r>
      <w:r>
        <w:rPr>
          <w:rStyle w:val="Hyperlink.2"/>
        </w:rPr>
        <w:instrText xml:space="preserve"> HYPERLINK "http://paperpile.com/b/SBcV8m/RTgvE"</w:instrText>
      </w:r>
      <w:r>
        <w:rPr>
          <w:rStyle w:val="Hyperlink.2"/>
        </w:rPr>
        <w:fldChar w:fldCharType="separate" w:fldLock="0"/>
      </w:r>
      <w:r>
        <w:rPr>
          <w:rStyle w:val="Hyperlink.2"/>
          <w:rtl w:val="0"/>
          <w:lang w:val="en-US"/>
        </w:rPr>
        <w:t>The value proposition in the widespread use of telehealth. J Telemed Telecare 2008; 14: 167</w:t>
      </w:r>
      <w:r>
        <w:rPr>
          <w:rStyle w:val="Hyperlink.2"/>
          <w:rtl w:val="0"/>
        </w:rPr>
        <w:t>–</w:t>
      </w:r>
      <w:r>
        <w:rPr>
          <w:rStyle w:val="Hyperlink.2"/>
          <w:rtl w:val="0"/>
          <w:lang w:val="en-US"/>
        </w:rPr>
        <w:t xml:space="preserve">168 Available from: </w:t>
      </w:r>
      <w:r>
        <w:rPr/>
        <w:fldChar w:fldCharType="end" w:fldLock="0"/>
      </w:r>
      <w:r>
        <w:rPr>
          <w:rStyle w:val="Hyperlink.2"/>
        </w:rPr>
        <w:fldChar w:fldCharType="begin" w:fldLock="0"/>
      </w:r>
      <w:r>
        <w:rPr>
          <w:rStyle w:val="Hyperlink.2"/>
        </w:rPr>
        <w:instrText xml:space="preserve"> HYPERLINK "https://doi.org/10.1258/jtt.2007.007043"</w:instrText>
      </w:r>
      <w:r>
        <w:rPr>
          <w:rStyle w:val="Hyperlink.2"/>
        </w:rPr>
        <w:fldChar w:fldCharType="separate" w:fldLock="0"/>
      </w:r>
      <w:r>
        <w:rPr>
          <w:rStyle w:val="Hyperlink.2"/>
          <w:rtl w:val="0"/>
          <w:lang w:val="en-US"/>
        </w:rPr>
        <w:t>https://doi.org/10.1258/jtt.2007.007043</w:t>
      </w:r>
      <w:r>
        <w:rPr/>
        <w:fldChar w:fldCharType="end" w:fldLock="0"/>
      </w:r>
    </w:p>
    <w:p>
      <w:pPr>
        <w:pStyle w:val="Body"/>
        <w:widowControl w:val="0"/>
        <w:spacing w:after="220" w:line="240" w:lineRule="auto"/>
        <w:ind w:left="440" w:hanging="440"/>
        <w:rPr>
          <w:rStyle w:val="Hyperlink.2"/>
        </w:rPr>
      </w:pPr>
      <w:r>
        <w:rPr>
          <w:rStyle w:val="Hyperlink.2"/>
          <w:rtl w:val="0"/>
        </w:rPr>
        <w:t>3</w:t>
        <w:tab/>
      </w:r>
      <w:r>
        <w:rPr>
          <w:rStyle w:val="Hyperlink.4"/>
        </w:rPr>
        <w:fldChar w:fldCharType="begin" w:fldLock="0"/>
      </w:r>
      <w:r>
        <w:rPr>
          <w:rStyle w:val="Hyperlink.4"/>
        </w:rPr>
        <w:instrText xml:space="preserve"> HYPERLINK "http://paperpile.com/b/SBcV8m/WdI60"</w:instrText>
      </w:r>
      <w:r>
        <w:rPr>
          <w:rStyle w:val="Hyperlink.4"/>
        </w:rPr>
        <w:fldChar w:fldCharType="separate" w:fldLock="0"/>
      </w:r>
      <w:r>
        <w:rPr>
          <w:rStyle w:val="Hyperlink.4"/>
          <w:rtl w:val="0"/>
        </w:rPr>
        <w:t xml:space="preserve">Bokolo Anthony Jnr. </w:t>
      </w:r>
      <w:r>
        <w:rPr/>
        <w:fldChar w:fldCharType="end" w:fldLock="0"/>
      </w:r>
      <w:r>
        <w:rPr>
          <w:rStyle w:val="Hyperlink.2"/>
        </w:rPr>
        <w:fldChar w:fldCharType="begin" w:fldLock="0"/>
      </w:r>
      <w:r>
        <w:rPr>
          <w:rStyle w:val="Hyperlink.2"/>
        </w:rPr>
        <w:instrText xml:space="preserve"> HYPERLINK "http://paperpile.com/b/SBcV8m/WdI60"</w:instrText>
      </w:r>
      <w:r>
        <w:rPr>
          <w:rStyle w:val="Hyperlink.2"/>
        </w:rPr>
        <w:fldChar w:fldCharType="separate" w:fldLock="0"/>
      </w:r>
      <w:r>
        <w:rPr>
          <w:rStyle w:val="Hyperlink.2"/>
          <w:rtl w:val="0"/>
          <w:lang w:val="en-US"/>
        </w:rPr>
        <w:t xml:space="preserve">Use of Telemedicine and Virtual Care for Remote Treatment in Response to COVID-19 Pandemic. J Med Syst 2020; 44: 132 Available from: </w:t>
      </w:r>
      <w:r>
        <w:rPr/>
        <w:fldChar w:fldCharType="end" w:fldLock="0"/>
      </w:r>
      <w:r>
        <w:rPr>
          <w:rStyle w:val="Hyperlink.2"/>
        </w:rPr>
        <w:fldChar w:fldCharType="begin" w:fldLock="0"/>
      </w:r>
      <w:r>
        <w:rPr>
          <w:rStyle w:val="Hyperlink.2"/>
        </w:rPr>
        <w:instrText xml:space="preserve"> HYPERLINK "http://dx.doi.org/10.1007/s10916-020-01596-5"</w:instrText>
      </w:r>
      <w:r>
        <w:rPr>
          <w:rStyle w:val="Hyperlink.2"/>
        </w:rPr>
        <w:fldChar w:fldCharType="separate" w:fldLock="0"/>
      </w:r>
      <w:r>
        <w:rPr>
          <w:rStyle w:val="Hyperlink.2"/>
          <w:rtl w:val="0"/>
          <w:lang w:val="en-US"/>
        </w:rPr>
        <w:t>http://dx.doi.org/10.1007/s10916-020-01596-5</w:t>
      </w:r>
      <w:r>
        <w:rPr/>
        <w:fldChar w:fldCharType="end" w:fldLock="0"/>
      </w:r>
    </w:p>
    <w:p>
      <w:pPr>
        <w:pStyle w:val="Body"/>
        <w:widowControl w:val="0"/>
        <w:spacing w:after="220" w:line="240" w:lineRule="auto"/>
        <w:ind w:left="440" w:hanging="440"/>
        <w:rPr>
          <w:rStyle w:val="Hyperlink.2"/>
        </w:rPr>
      </w:pPr>
      <w:r>
        <w:rPr>
          <w:rStyle w:val="Hyperlink.2"/>
          <w:rtl w:val="0"/>
        </w:rPr>
        <w:t>4</w:t>
        <w:tab/>
      </w:r>
      <w:r>
        <w:rPr>
          <w:rStyle w:val="Hyperlink.4"/>
        </w:rPr>
        <w:fldChar w:fldCharType="begin" w:fldLock="0"/>
      </w:r>
      <w:r>
        <w:rPr>
          <w:rStyle w:val="Hyperlink.4"/>
        </w:rPr>
        <w:instrText xml:space="preserve"> HYPERLINK "http://paperpile.com/b/SBcV8m/coASM"</w:instrText>
      </w:r>
      <w:r>
        <w:rPr>
          <w:rStyle w:val="Hyperlink.4"/>
        </w:rPr>
        <w:fldChar w:fldCharType="separate" w:fldLock="0"/>
      </w:r>
      <w:r>
        <w:rPr>
          <w:rStyle w:val="Hyperlink.4"/>
          <w:rtl w:val="0"/>
          <w:lang w:val="it-IT"/>
        </w:rPr>
        <w:t xml:space="preserve">Fagherazzi G, Goetzinger C, Rashid MA, Aguayo GA, Huiart L. </w:t>
      </w:r>
      <w:r>
        <w:rPr/>
        <w:fldChar w:fldCharType="end" w:fldLock="0"/>
      </w:r>
      <w:r>
        <w:rPr>
          <w:rStyle w:val="Hyperlink.2"/>
        </w:rPr>
        <w:fldChar w:fldCharType="begin" w:fldLock="0"/>
      </w:r>
      <w:r>
        <w:rPr>
          <w:rStyle w:val="Hyperlink.2"/>
        </w:rPr>
        <w:instrText xml:space="preserve"> HYPERLINK "http://paperpile.com/b/SBcV8m/coASM"</w:instrText>
      </w:r>
      <w:r>
        <w:rPr>
          <w:rStyle w:val="Hyperlink.2"/>
        </w:rPr>
        <w:fldChar w:fldCharType="separate" w:fldLock="0"/>
      </w:r>
      <w:r>
        <w:rPr>
          <w:rStyle w:val="Hyperlink.2"/>
          <w:rtl w:val="0"/>
          <w:lang w:val="en-US"/>
        </w:rPr>
        <w:t>Digital health strategies to fight COVID-19 worldwide: challenges, recommendations, and a call for papers. J Med Internet Res 2020; 22: e19284</w:t>
      </w:r>
      <w:r>
        <w:rPr/>
        <w:fldChar w:fldCharType="end" w:fldLock="0"/>
      </w:r>
    </w:p>
    <w:p>
      <w:pPr>
        <w:pStyle w:val="Body"/>
        <w:widowControl w:val="0"/>
        <w:spacing w:after="220" w:line="240" w:lineRule="auto"/>
        <w:ind w:left="440" w:hanging="440"/>
        <w:rPr>
          <w:rStyle w:val="Hyperlink.2"/>
        </w:rPr>
      </w:pPr>
      <w:r>
        <w:rPr>
          <w:rStyle w:val="Hyperlink.2"/>
          <w:rtl w:val="0"/>
        </w:rPr>
        <w:t>5</w:t>
        <w:tab/>
      </w:r>
      <w:r>
        <w:rPr>
          <w:rStyle w:val="Hyperlink.4"/>
        </w:rPr>
        <w:fldChar w:fldCharType="begin" w:fldLock="0"/>
      </w:r>
      <w:r>
        <w:rPr>
          <w:rStyle w:val="Hyperlink.4"/>
        </w:rPr>
        <w:instrText xml:space="preserve"> HYPERLINK "http://paperpile.com/b/SBcV8m/OPWQC"</w:instrText>
      </w:r>
      <w:r>
        <w:rPr>
          <w:rStyle w:val="Hyperlink.4"/>
        </w:rPr>
        <w:fldChar w:fldCharType="separate" w:fldLock="0"/>
      </w:r>
      <w:r>
        <w:rPr>
          <w:rStyle w:val="Hyperlink.4"/>
          <w:rtl w:val="0"/>
        </w:rPr>
        <w:t>Basu A, Kuziemsky C, de Ara</w:t>
      </w:r>
      <w:r>
        <w:rPr>
          <w:rStyle w:val="Hyperlink.4"/>
          <w:rtl w:val="0"/>
        </w:rPr>
        <w:t>ú</w:t>
      </w:r>
      <w:r>
        <w:rPr>
          <w:rStyle w:val="Hyperlink.4"/>
          <w:rtl w:val="0"/>
          <w:lang w:val="en-US"/>
        </w:rPr>
        <w:t>jo Novaes M, Kleber A, Sales F, Al-Shorbaji N, Fl</w:t>
      </w:r>
      <w:r>
        <w:rPr>
          <w:rStyle w:val="Hyperlink.4"/>
          <w:rtl w:val="0"/>
          <w:lang w:val="es-ES_tradnl"/>
        </w:rPr>
        <w:t>ó</w:t>
      </w:r>
      <w:r>
        <w:rPr>
          <w:rStyle w:val="Hyperlink.4"/>
          <w:rtl w:val="0"/>
        </w:rPr>
        <w:t xml:space="preserve">rez-Arango JF, Gogia SB, Ho K, Hunter I, Iyengar S, John O, John S, Kulatunga G, Rajput VK, Ranatunga P, Udayasankaran JG. </w:t>
      </w:r>
      <w:r>
        <w:rPr/>
        <w:fldChar w:fldCharType="end" w:fldLock="0"/>
      </w:r>
      <w:r>
        <w:rPr>
          <w:rStyle w:val="Hyperlink.2"/>
        </w:rPr>
        <w:fldChar w:fldCharType="begin" w:fldLock="0"/>
      </w:r>
      <w:r>
        <w:rPr>
          <w:rStyle w:val="Hyperlink.2"/>
        </w:rPr>
        <w:instrText xml:space="preserve"> HYPERLINK "http://paperpile.com/b/SBcV8m/OPWQC"</w:instrText>
      </w:r>
      <w:r>
        <w:rPr>
          <w:rStyle w:val="Hyperlink.2"/>
        </w:rPr>
        <w:fldChar w:fldCharType="separate" w:fldLock="0"/>
      </w:r>
      <w:r>
        <w:rPr>
          <w:rStyle w:val="Hyperlink.2"/>
          <w:rtl w:val="0"/>
          <w:lang w:val="en-US"/>
        </w:rPr>
        <w:t>Telehealth and the COVID-19 Pandemic: International Perspectives and a Health Systems Framework for Telehealth Implementation to Support Critical Response. Yearb Med Inform 2021; 30: 126</w:t>
      </w:r>
      <w:r>
        <w:rPr>
          <w:rStyle w:val="Hyperlink.2"/>
          <w:rtl w:val="0"/>
        </w:rPr>
        <w:t>–</w:t>
      </w:r>
      <w:r>
        <w:rPr>
          <w:rStyle w:val="Hyperlink.2"/>
          <w:rtl w:val="0"/>
          <w:lang w:val="en-US"/>
        </w:rPr>
        <w:t xml:space="preserve">133 Available from: </w:t>
      </w:r>
      <w:r>
        <w:rPr/>
        <w:fldChar w:fldCharType="end" w:fldLock="0"/>
      </w:r>
      <w:r>
        <w:rPr>
          <w:rStyle w:val="Hyperlink.2"/>
        </w:rPr>
        <w:fldChar w:fldCharType="begin" w:fldLock="0"/>
      </w:r>
      <w:r>
        <w:rPr>
          <w:rStyle w:val="Hyperlink.2"/>
        </w:rPr>
        <w:instrText xml:space="preserve"> HYPERLINK "http://dx.doi.org/10.1055/s-0041-1726484"</w:instrText>
      </w:r>
      <w:r>
        <w:rPr>
          <w:rStyle w:val="Hyperlink.2"/>
        </w:rPr>
        <w:fldChar w:fldCharType="separate" w:fldLock="0"/>
      </w:r>
      <w:r>
        <w:rPr>
          <w:rStyle w:val="Hyperlink.2"/>
          <w:rtl w:val="0"/>
          <w:lang w:val="en-US"/>
        </w:rPr>
        <w:t>http://dx.doi.org/10.1055/s-0041-1726484</w:t>
      </w:r>
      <w:r>
        <w:rPr/>
        <w:fldChar w:fldCharType="end" w:fldLock="0"/>
      </w:r>
    </w:p>
    <w:p>
      <w:pPr>
        <w:pStyle w:val="Body"/>
        <w:widowControl w:val="0"/>
        <w:spacing w:after="220" w:line="240" w:lineRule="auto"/>
        <w:ind w:left="440" w:hanging="440"/>
        <w:rPr>
          <w:rStyle w:val="Hyperlink.2"/>
        </w:rPr>
      </w:pPr>
      <w:r>
        <w:rPr>
          <w:rStyle w:val="Hyperlink.2"/>
          <w:rtl w:val="0"/>
        </w:rPr>
        <w:t>6</w:t>
        <w:tab/>
      </w:r>
      <w:r>
        <w:rPr>
          <w:rStyle w:val="Hyperlink.4"/>
        </w:rPr>
        <w:fldChar w:fldCharType="begin" w:fldLock="0"/>
      </w:r>
      <w:r>
        <w:rPr>
          <w:rStyle w:val="Hyperlink.4"/>
        </w:rPr>
        <w:instrText xml:space="preserve"> HYPERLINK "http://paperpile.com/b/SBcV8m/QoQWr"</w:instrText>
      </w:r>
      <w:r>
        <w:rPr>
          <w:rStyle w:val="Hyperlink.4"/>
        </w:rPr>
        <w:fldChar w:fldCharType="separate" w:fldLock="0"/>
      </w:r>
      <w:r>
        <w:rPr>
          <w:rStyle w:val="Hyperlink.4"/>
          <w:rtl w:val="0"/>
          <w:lang w:val="it-IT"/>
        </w:rPr>
        <w:t xml:space="preserve">Kannampallil T, Ma J. </w:t>
      </w:r>
      <w:r>
        <w:rPr/>
        <w:fldChar w:fldCharType="end" w:fldLock="0"/>
      </w:r>
      <w:r>
        <w:rPr>
          <w:rStyle w:val="Hyperlink.2"/>
        </w:rPr>
        <w:fldChar w:fldCharType="begin" w:fldLock="0"/>
      </w:r>
      <w:r>
        <w:rPr>
          <w:rStyle w:val="Hyperlink.2"/>
        </w:rPr>
        <w:instrText xml:space="preserve"> HYPERLINK "http://paperpile.com/b/SBcV8m/QoQWr"</w:instrText>
      </w:r>
      <w:r>
        <w:rPr>
          <w:rStyle w:val="Hyperlink.2"/>
        </w:rPr>
        <w:fldChar w:fldCharType="separate" w:fldLock="0"/>
      </w:r>
      <w:r>
        <w:rPr>
          <w:rStyle w:val="Hyperlink.2"/>
          <w:rtl w:val="0"/>
          <w:lang w:val="en-US"/>
        </w:rPr>
        <w:t>Digital Translucence: Adapting Telemedicine Delivery Post-COVID-19. Telemed J E Health 2020; 26: 1120</w:t>
      </w:r>
      <w:r>
        <w:rPr>
          <w:rStyle w:val="Hyperlink.2"/>
          <w:rtl w:val="0"/>
        </w:rPr>
        <w:t>–</w:t>
      </w:r>
      <w:r>
        <w:rPr>
          <w:rStyle w:val="Hyperlink.2"/>
          <w:rtl w:val="0"/>
          <w:lang w:val="en-US"/>
        </w:rPr>
        <w:t xml:space="preserve">1122 Available from: </w:t>
      </w:r>
      <w:r>
        <w:rPr/>
        <w:fldChar w:fldCharType="end" w:fldLock="0"/>
      </w:r>
      <w:r>
        <w:rPr>
          <w:rStyle w:val="Hyperlink.2"/>
        </w:rPr>
        <w:fldChar w:fldCharType="begin" w:fldLock="0"/>
      </w:r>
      <w:r>
        <w:rPr>
          <w:rStyle w:val="Hyperlink.2"/>
        </w:rPr>
        <w:instrText xml:space="preserve"> HYPERLINK "http://dx.doi.org/10.1089/tmj.2020.0158"</w:instrText>
      </w:r>
      <w:r>
        <w:rPr>
          <w:rStyle w:val="Hyperlink.2"/>
        </w:rPr>
        <w:fldChar w:fldCharType="separate" w:fldLock="0"/>
      </w:r>
      <w:r>
        <w:rPr>
          <w:rStyle w:val="Hyperlink.2"/>
          <w:rtl w:val="0"/>
          <w:lang w:val="en-US"/>
        </w:rPr>
        <w:t>http://dx.doi.org/10.1089/tmj.2020.0158</w:t>
      </w:r>
      <w:r>
        <w:rPr/>
        <w:fldChar w:fldCharType="end" w:fldLock="0"/>
      </w:r>
    </w:p>
    <w:p>
      <w:pPr>
        <w:pStyle w:val="Body"/>
        <w:widowControl w:val="0"/>
        <w:spacing w:after="220" w:line="240" w:lineRule="auto"/>
        <w:ind w:left="440" w:hanging="440"/>
        <w:rPr>
          <w:rStyle w:val="Hyperlink.2"/>
        </w:rPr>
      </w:pPr>
      <w:r>
        <w:rPr>
          <w:rStyle w:val="Hyperlink.2"/>
          <w:rtl w:val="0"/>
        </w:rPr>
        <w:t>7</w:t>
        <w:tab/>
      </w:r>
      <w:r>
        <w:rPr>
          <w:rStyle w:val="Hyperlink.4"/>
        </w:rPr>
        <w:fldChar w:fldCharType="begin" w:fldLock="0"/>
      </w:r>
      <w:r>
        <w:rPr>
          <w:rStyle w:val="Hyperlink.4"/>
        </w:rPr>
        <w:instrText xml:space="preserve"> HYPERLINK "http://paperpile.com/b/SBcV8m/nSvtm"</w:instrText>
      </w:r>
      <w:r>
        <w:rPr>
          <w:rStyle w:val="Hyperlink.4"/>
        </w:rPr>
        <w:fldChar w:fldCharType="separate" w:fldLock="0"/>
      </w:r>
      <w:r>
        <w:rPr>
          <w:rStyle w:val="Hyperlink.4"/>
          <w:rtl w:val="0"/>
          <w:lang w:val="it-IT"/>
        </w:rPr>
        <w:t xml:space="preserve">Wosik J, Fudim M, Cameron B, Gellad ZF, Cho A, Phinney D, Curtis S, Roman M, Poon EG, Ferranti J. </w:t>
      </w:r>
      <w:r>
        <w:rPr/>
        <w:fldChar w:fldCharType="end" w:fldLock="0"/>
      </w:r>
      <w:r>
        <w:rPr>
          <w:rStyle w:val="Hyperlink.2"/>
        </w:rPr>
        <w:fldChar w:fldCharType="begin" w:fldLock="0"/>
      </w:r>
      <w:r>
        <w:rPr>
          <w:rStyle w:val="Hyperlink.2"/>
        </w:rPr>
        <w:instrText xml:space="preserve"> HYPERLINK "http://paperpile.com/b/SBcV8m/nSvtm"</w:instrText>
      </w:r>
      <w:r>
        <w:rPr>
          <w:rStyle w:val="Hyperlink.2"/>
        </w:rPr>
        <w:fldChar w:fldCharType="separate" w:fldLock="0"/>
      </w:r>
      <w:r>
        <w:rPr>
          <w:rStyle w:val="Hyperlink.2"/>
          <w:rtl w:val="0"/>
          <w:lang w:val="en-US"/>
        </w:rPr>
        <w:t>Telehealth transformation: COVID-19 and the rise of virtual care. J Am Med Inform Assoc 2020; 27: 957</w:t>
      </w:r>
      <w:r>
        <w:rPr>
          <w:rStyle w:val="Hyperlink.2"/>
          <w:rtl w:val="0"/>
        </w:rPr>
        <w:t>–</w:t>
      </w:r>
      <w:r>
        <w:rPr>
          <w:rStyle w:val="Hyperlink.2"/>
          <w:rtl w:val="0"/>
        </w:rPr>
        <w:t>962</w:t>
      </w:r>
      <w:r>
        <w:rPr/>
        <w:fldChar w:fldCharType="end" w:fldLock="0"/>
      </w:r>
    </w:p>
    <w:p>
      <w:pPr>
        <w:pStyle w:val="Body"/>
        <w:widowControl w:val="0"/>
        <w:spacing w:after="220" w:line="240" w:lineRule="auto"/>
        <w:ind w:left="440" w:hanging="440"/>
        <w:rPr>
          <w:rStyle w:val="Hyperlink.2"/>
        </w:rPr>
      </w:pPr>
      <w:r>
        <w:rPr>
          <w:rStyle w:val="Hyperlink.2"/>
          <w:rtl w:val="0"/>
        </w:rPr>
        <w:t>8</w:t>
        <w:tab/>
      </w:r>
      <w:r>
        <w:rPr>
          <w:rStyle w:val="Hyperlink.4"/>
        </w:rPr>
        <w:fldChar w:fldCharType="begin" w:fldLock="0"/>
      </w:r>
      <w:r>
        <w:rPr>
          <w:rStyle w:val="Hyperlink.4"/>
        </w:rPr>
        <w:instrText xml:space="preserve"> HYPERLINK "http://paperpile.com/b/SBcV8m/N1z39"</w:instrText>
      </w:r>
      <w:r>
        <w:rPr>
          <w:rStyle w:val="Hyperlink.4"/>
        </w:rPr>
        <w:fldChar w:fldCharType="separate" w:fldLock="0"/>
      </w:r>
      <w:r>
        <w:rPr>
          <w:rStyle w:val="Hyperlink.4"/>
          <w:rtl w:val="0"/>
        </w:rPr>
        <w:t xml:space="preserve">Alhajri N, Simsekler MCE, Alfalasi B, Alhashmi M, AlGhatrif M, Balalaa N, Al Ali M, Almaashari R, Al Memari S, Al Hosani F, Al Zaabi Y, Almazroui S, Alhashemi H, Baltatu OC. </w:t>
      </w:r>
      <w:r>
        <w:rPr/>
        <w:fldChar w:fldCharType="end" w:fldLock="0"/>
      </w:r>
      <w:r>
        <w:rPr>
          <w:rStyle w:val="Hyperlink.2"/>
        </w:rPr>
        <w:fldChar w:fldCharType="begin" w:fldLock="0"/>
      </w:r>
      <w:r>
        <w:rPr>
          <w:rStyle w:val="Hyperlink.2"/>
        </w:rPr>
        <w:instrText xml:space="preserve"> HYPERLINK "http://paperpile.com/b/SBcV8m/N1z39"</w:instrText>
      </w:r>
      <w:r>
        <w:rPr>
          <w:rStyle w:val="Hyperlink.2"/>
        </w:rPr>
        <w:fldChar w:fldCharType="separate" w:fldLock="0"/>
      </w:r>
      <w:r>
        <w:rPr>
          <w:rStyle w:val="Hyperlink.2"/>
          <w:rtl w:val="0"/>
          <w:lang w:val="en-US"/>
        </w:rPr>
        <w:t>Physicians</w:t>
      </w:r>
      <w:r>
        <w:rPr>
          <w:rStyle w:val="Hyperlink.2"/>
          <w:rtl w:val="1"/>
        </w:rPr>
        <w:t xml:space="preserve">’ </w:t>
      </w:r>
      <w:r>
        <w:rPr>
          <w:rStyle w:val="Hyperlink.2"/>
          <w:rtl w:val="0"/>
          <w:lang w:val="en-US"/>
        </w:rPr>
        <w:t xml:space="preserve">attitudes toward telemedicine consultations during the COVID-19 pandemic: Cross-sectional study. JMIR Med Inform 2021; 9: e29251 Available from: </w:t>
      </w:r>
      <w:r>
        <w:rPr/>
        <w:fldChar w:fldCharType="end" w:fldLock="0"/>
      </w:r>
      <w:r>
        <w:rPr>
          <w:rStyle w:val="Hyperlink.2"/>
        </w:rPr>
        <w:fldChar w:fldCharType="begin" w:fldLock="0"/>
      </w:r>
      <w:r>
        <w:rPr>
          <w:rStyle w:val="Hyperlink.2"/>
        </w:rPr>
        <w:instrText xml:space="preserve"> HYPERLINK "https://medinform.jmir.org/2021/6/e29251"</w:instrText>
      </w:r>
      <w:r>
        <w:rPr>
          <w:rStyle w:val="Hyperlink.2"/>
        </w:rPr>
        <w:fldChar w:fldCharType="separate" w:fldLock="0"/>
      </w:r>
      <w:r>
        <w:rPr>
          <w:rStyle w:val="Hyperlink.2"/>
          <w:rtl w:val="0"/>
        </w:rPr>
        <w:t>https://medinform.jmir.org/2021/6/e29251</w:t>
      </w:r>
      <w:r>
        <w:rPr/>
        <w:fldChar w:fldCharType="end" w:fldLock="0"/>
      </w:r>
    </w:p>
    <w:p>
      <w:pPr>
        <w:pStyle w:val="Body"/>
        <w:widowControl w:val="0"/>
        <w:spacing w:after="220" w:line="240" w:lineRule="auto"/>
        <w:ind w:left="440" w:hanging="440"/>
        <w:rPr>
          <w:rStyle w:val="Hyperlink.2"/>
        </w:rPr>
      </w:pPr>
      <w:r>
        <w:rPr>
          <w:rStyle w:val="Hyperlink.2"/>
          <w:rtl w:val="0"/>
        </w:rPr>
        <w:t>9</w:t>
        <w:tab/>
      </w:r>
      <w:r>
        <w:rPr>
          <w:rStyle w:val="Hyperlink.4"/>
        </w:rPr>
        <w:fldChar w:fldCharType="begin" w:fldLock="0"/>
      </w:r>
      <w:r>
        <w:rPr>
          <w:rStyle w:val="Hyperlink.4"/>
        </w:rPr>
        <w:instrText xml:space="preserve"> HYPERLINK "http://paperpile.com/b/SBcV8m/uIkPJ"</w:instrText>
      </w:r>
      <w:r>
        <w:rPr>
          <w:rStyle w:val="Hyperlink.4"/>
        </w:rPr>
        <w:fldChar w:fldCharType="separate" w:fldLock="0"/>
      </w:r>
      <w:r>
        <w:rPr>
          <w:rStyle w:val="Hyperlink.4"/>
          <w:rtl w:val="0"/>
          <w:lang w:val="de-DE"/>
        </w:rPr>
        <w:t xml:space="preserve">Johnsen TM, Norberg BL, Kristiansen E, Zanaboni P, Austad B, Krogh FH, Getz L. </w:t>
      </w:r>
      <w:r>
        <w:rPr/>
        <w:fldChar w:fldCharType="end" w:fldLock="0"/>
      </w:r>
      <w:r>
        <w:rPr>
          <w:rStyle w:val="Hyperlink.2"/>
        </w:rPr>
        <w:fldChar w:fldCharType="begin" w:fldLock="0"/>
      </w:r>
      <w:r>
        <w:rPr>
          <w:rStyle w:val="Hyperlink.2"/>
        </w:rPr>
        <w:instrText xml:space="preserve"> HYPERLINK "http://paperpile.com/b/SBcV8m/uIkPJ"</w:instrText>
      </w:r>
      <w:r>
        <w:rPr>
          <w:rStyle w:val="Hyperlink.2"/>
        </w:rPr>
        <w:fldChar w:fldCharType="separate" w:fldLock="0"/>
      </w:r>
      <w:r>
        <w:rPr>
          <w:rStyle w:val="Hyperlink.2"/>
          <w:rtl w:val="0"/>
          <w:lang w:val="en-US"/>
        </w:rPr>
        <w:t xml:space="preserve">Suitability of Video Consultations During the COVID-19 Pandemic Lockdown: Cross-sectional Survey Among Norwegian General Practitioners. J Med Internet Res 2021; 23: e26433 Available from: </w:t>
      </w:r>
      <w:r>
        <w:rPr/>
        <w:fldChar w:fldCharType="end" w:fldLock="0"/>
      </w:r>
      <w:r>
        <w:rPr>
          <w:rStyle w:val="Hyperlink.2"/>
        </w:rPr>
        <w:fldChar w:fldCharType="begin" w:fldLock="0"/>
      </w:r>
      <w:r>
        <w:rPr>
          <w:rStyle w:val="Hyperlink.2"/>
        </w:rPr>
        <w:instrText xml:space="preserve"> HYPERLINK "http://dx.doi.org/10.2196/26433"</w:instrText>
      </w:r>
      <w:r>
        <w:rPr>
          <w:rStyle w:val="Hyperlink.2"/>
        </w:rPr>
        <w:fldChar w:fldCharType="separate" w:fldLock="0"/>
      </w:r>
      <w:r>
        <w:rPr>
          <w:rStyle w:val="Hyperlink.2"/>
          <w:rtl w:val="0"/>
          <w:lang w:val="en-US"/>
        </w:rPr>
        <w:t>http://dx.doi.org/10.2196/26433</w:t>
      </w:r>
      <w:r>
        <w:rPr/>
        <w:fldChar w:fldCharType="end" w:fldLock="0"/>
      </w:r>
    </w:p>
    <w:p>
      <w:pPr>
        <w:pStyle w:val="Body"/>
        <w:widowControl w:val="0"/>
        <w:spacing w:after="220" w:line="240" w:lineRule="auto"/>
        <w:ind w:left="440" w:hanging="440"/>
        <w:rPr>
          <w:rStyle w:val="Hyperlink.2"/>
        </w:rPr>
      </w:pPr>
      <w:r>
        <w:rPr>
          <w:rStyle w:val="Hyperlink.2"/>
          <w:rtl w:val="0"/>
        </w:rPr>
        <w:t>10</w:t>
        <w:tab/>
      </w:r>
      <w:r>
        <w:rPr>
          <w:rStyle w:val="Hyperlink.4"/>
        </w:rPr>
        <w:fldChar w:fldCharType="begin" w:fldLock="0"/>
      </w:r>
      <w:r>
        <w:rPr>
          <w:rStyle w:val="Hyperlink.4"/>
        </w:rPr>
        <w:instrText xml:space="preserve"> HYPERLINK "http://paperpile.com/b/SBcV8m/geAuD"</w:instrText>
      </w:r>
      <w:r>
        <w:rPr>
          <w:rStyle w:val="Hyperlink.4"/>
        </w:rPr>
        <w:fldChar w:fldCharType="separate" w:fldLock="0"/>
      </w:r>
      <w:r>
        <w:rPr>
          <w:rStyle w:val="Hyperlink.4"/>
          <w:rtl w:val="0"/>
        </w:rPr>
        <w:t xml:space="preserve">Dorn SD. </w:t>
      </w:r>
      <w:r>
        <w:rPr/>
        <w:fldChar w:fldCharType="end" w:fldLock="0"/>
      </w:r>
      <w:r>
        <w:rPr>
          <w:rStyle w:val="Hyperlink.2"/>
        </w:rPr>
        <w:fldChar w:fldCharType="begin" w:fldLock="0"/>
      </w:r>
      <w:r>
        <w:rPr>
          <w:rStyle w:val="Hyperlink.2"/>
        </w:rPr>
        <w:instrText xml:space="preserve"> HYPERLINK "http://paperpile.com/b/SBcV8m/geAuD"</w:instrText>
      </w:r>
      <w:r>
        <w:rPr>
          <w:rStyle w:val="Hyperlink.2"/>
        </w:rPr>
        <w:fldChar w:fldCharType="separate" w:fldLock="0"/>
      </w:r>
      <w:r>
        <w:rPr>
          <w:rStyle w:val="Hyperlink.2"/>
          <w:rtl w:val="0"/>
          <w:lang w:val="en-US"/>
        </w:rPr>
        <w:t xml:space="preserve">Backslide or forward progress? Virtual care at U.S. healthcare systems beyond the COVID-19 pandemic. NPJ Digit Med 2021; 4: 6 Available from: </w:t>
      </w:r>
      <w:r>
        <w:rPr/>
        <w:fldChar w:fldCharType="end" w:fldLock="0"/>
      </w:r>
      <w:r>
        <w:rPr>
          <w:rStyle w:val="Hyperlink.2"/>
        </w:rPr>
        <w:fldChar w:fldCharType="begin" w:fldLock="0"/>
      </w:r>
      <w:r>
        <w:rPr>
          <w:rStyle w:val="Hyperlink.2"/>
        </w:rPr>
        <w:instrText xml:space="preserve"> HYPERLINK "http://dx.doi.org/10.1038/s41746-020-00379-z"</w:instrText>
      </w:r>
      <w:r>
        <w:rPr>
          <w:rStyle w:val="Hyperlink.2"/>
        </w:rPr>
        <w:fldChar w:fldCharType="separate" w:fldLock="0"/>
      </w:r>
      <w:r>
        <w:rPr>
          <w:rStyle w:val="Hyperlink.2"/>
          <w:rtl w:val="0"/>
          <w:lang w:val="en-US"/>
        </w:rPr>
        <w:t>http://dx.doi.org/10.1038/s41746-020-00379-z</w:t>
      </w:r>
      <w:r>
        <w:rPr/>
        <w:fldChar w:fldCharType="end" w:fldLock="0"/>
      </w:r>
    </w:p>
    <w:p>
      <w:pPr>
        <w:pStyle w:val="Body"/>
        <w:widowControl w:val="0"/>
        <w:spacing w:after="220" w:line="240" w:lineRule="auto"/>
        <w:ind w:left="440" w:hanging="440"/>
        <w:rPr>
          <w:rStyle w:val="Hyperlink.2"/>
        </w:rPr>
      </w:pPr>
      <w:r>
        <w:rPr>
          <w:rStyle w:val="Hyperlink.2"/>
          <w:rtl w:val="0"/>
        </w:rPr>
        <w:t>11</w:t>
        <w:tab/>
      </w:r>
      <w:r>
        <w:rPr>
          <w:rStyle w:val="Hyperlink.4"/>
        </w:rPr>
        <w:fldChar w:fldCharType="begin" w:fldLock="0"/>
      </w:r>
      <w:r>
        <w:rPr>
          <w:rStyle w:val="Hyperlink.4"/>
        </w:rPr>
        <w:instrText xml:space="preserve"> HYPERLINK "http://paperpile.com/b/SBcV8m/5Q3Kb"</w:instrText>
      </w:r>
      <w:r>
        <w:rPr>
          <w:rStyle w:val="Hyperlink.4"/>
        </w:rPr>
        <w:fldChar w:fldCharType="separate" w:fldLock="0"/>
      </w:r>
      <w:r>
        <w:rPr>
          <w:rStyle w:val="Hyperlink.4"/>
          <w:rtl w:val="0"/>
          <w:lang w:val="de-DE"/>
        </w:rPr>
        <w:t xml:space="preserve">McKiever ME, Cleary EM, Schmauder T, Talley A, Hinely KA, Costantine MM, Rood KM. </w:t>
      </w:r>
      <w:r>
        <w:rPr/>
        <w:fldChar w:fldCharType="end" w:fldLock="0"/>
      </w:r>
      <w:r>
        <w:rPr>
          <w:rStyle w:val="Hyperlink.2"/>
        </w:rPr>
        <w:fldChar w:fldCharType="begin" w:fldLock="0"/>
      </w:r>
      <w:r>
        <w:rPr>
          <w:rStyle w:val="Hyperlink.2"/>
        </w:rPr>
        <w:instrText xml:space="preserve"> HYPERLINK "http://paperpile.com/b/SBcV8m/5Q3Kb"</w:instrText>
      </w:r>
      <w:r>
        <w:rPr>
          <w:rStyle w:val="Hyperlink.2"/>
        </w:rPr>
        <w:fldChar w:fldCharType="separate" w:fldLock="0"/>
      </w:r>
      <w:r>
        <w:rPr>
          <w:rStyle w:val="Hyperlink.2"/>
          <w:rtl w:val="0"/>
          <w:lang w:val="en-US"/>
        </w:rPr>
        <w:t>Unintended consequences of the transition to telehealth for pregnancies complicated by opioid use disorder during the coronavirus disease 2019 pandemic. Am J Obstet Gynecol 2020; 223: 770</w:t>
      </w:r>
      <w:r>
        <w:rPr>
          <w:rStyle w:val="Hyperlink.2"/>
          <w:rtl w:val="0"/>
        </w:rPr>
        <w:t>–</w:t>
      </w:r>
      <w:r>
        <w:rPr>
          <w:rStyle w:val="Hyperlink.2"/>
          <w:rtl w:val="0"/>
          <w:lang w:val="en-US"/>
        </w:rPr>
        <w:t xml:space="preserve">772 Available from: </w:t>
      </w:r>
      <w:r>
        <w:rPr/>
        <w:fldChar w:fldCharType="end" w:fldLock="0"/>
      </w:r>
      <w:r>
        <w:rPr>
          <w:rStyle w:val="Hyperlink.2"/>
        </w:rPr>
        <w:fldChar w:fldCharType="begin" w:fldLock="0"/>
      </w:r>
      <w:r>
        <w:rPr>
          <w:rStyle w:val="Hyperlink.2"/>
        </w:rPr>
        <w:instrText xml:space="preserve"> HYPERLINK "https://linkinghub.elsevier.com/retrieve/pii/S0002937820308310"</w:instrText>
      </w:r>
      <w:r>
        <w:rPr>
          <w:rStyle w:val="Hyperlink.2"/>
        </w:rPr>
        <w:fldChar w:fldCharType="separate" w:fldLock="0"/>
      </w:r>
      <w:r>
        <w:rPr>
          <w:rStyle w:val="Hyperlink.2"/>
          <w:rtl w:val="0"/>
          <w:lang w:val="en-US"/>
        </w:rPr>
        <w:t>https://linkinghub.elsevier.com/retrieve/pii/S0002937820308310</w:t>
      </w:r>
      <w:r>
        <w:rPr/>
        <w:fldChar w:fldCharType="end" w:fldLock="0"/>
      </w:r>
    </w:p>
    <w:p>
      <w:pPr>
        <w:pStyle w:val="Body"/>
        <w:widowControl w:val="0"/>
        <w:spacing w:after="220" w:line="240" w:lineRule="auto"/>
        <w:ind w:left="440" w:hanging="440"/>
        <w:rPr>
          <w:rStyle w:val="Hyperlink.2"/>
        </w:rPr>
      </w:pPr>
      <w:r>
        <w:rPr>
          <w:rStyle w:val="Hyperlink.2"/>
          <w:rtl w:val="0"/>
        </w:rPr>
        <w:t>12</w:t>
        <w:tab/>
      </w:r>
      <w:r>
        <w:rPr>
          <w:rStyle w:val="Hyperlink.4"/>
        </w:rPr>
        <w:fldChar w:fldCharType="begin" w:fldLock="0"/>
      </w:r>
      <w:r>
        <w:rPr>
          <w:rStyle w:val="Hyperlink.4"/>
        </w:rPr>
        <w:instrText xml:space="preserve"> HYPERLINK "http://paperpile.com/b/SBcV8m/p3553"</w:instrText>
      </w:r>
      <w:r>
        <w:rPr>
          <w:rStyle w:val="Hyperlink.4"/>
        </w:rPr>
        <w:fldChar w:fldCharType="separate" w:fldLock="0"/>
      </w:r>
      <w:r>
        <w:rPr>
          <w:rStyle w:val="Hyperlink.4"/>
          <w:rtl w:val="0"/>
          <w:lang w:val="en-US"/>
        </w:rPr>
        <w:t xml:space="preserve">Reeves JJ, Ayers JW, Longhurst CA. </w:t>
      </w:r>
      <w:r>
        <w:rPr/>
        <w:fldChar w:fldCharType="end" w:fldLock="0"/>
      </w:r>
      <w:r>
        <w:rPr>
          <w:rStyle w:val="Hyperlink.2"/>
        </w:rPr>
        <w:fldChar w:fldCharType="begin" w:fldLock="0"/>
      </w:r>
      <w:r>
        <w:rPr>
          <w:rStyle w:val="Hyperlink.2"/>
        </w:rPr>
        <w:instrText xml:space="preserve"> HYPERLINK "http://paperpile.com/b/SBcV8m/p3553"</w:instrText>
      </w:r>
      <w:r>
        <w:rPr>
          <w:rStyle w:val="Hyperlink.2"/>
        </w:rPr>
        <w:fldChar w:fldCharType="separate" w:fldLock="0"/>
      </w:r>
      <w:r>
        <w:rPr>
          <w:rStyle w:val="Hyperlink.2"/>
          <w:rtl w:val="0"/>
          <w:lang w:val="en-US"/>
        </w:rPr>
        <w:t>Telehealth in the COVID-19 era: A balancing act to avoid harm. J Med Internet Res 2021; 23: e24785</w:t>
      </w:r>
      <w:r>
        <w:rPr/>
        <w:fldChar w:fldCharType="end" w:fldLock="0"/>
      </w:r>
    </w:p>
    <w:p>
      <w:pPr>
        <w:pStyle w:val="Body"/>
        <w:widowControl w:val="0"/>
        <w:spacing w:after="220" w:line="240" w:lineRule="auto"/>
        <w:ind w:left="440" w:hanging="440"/>
        <w:rPr>
          <w:rStyle w:val="Hyperlink.2"/>
        </w:rPr>
      </w:pPr>
      <w:r>
        <w:rPr>
          <w:rStyle w:val="Hyperlink.2"/>
          <w:rtl w:val="0"/>
        </w:rPr>
        <w:t>13</w:t>
        <w:tab/>
      </w:r>
      <w:r>
        <w:rPr>
          <w:rStyle w:val="Hyperlink.4"/>
        </w:rPr>
        <w:fldChar w:fldCharType="begin" w:fldLock="0"/>
      </w:r>
      <w:r>
        <w:rPr>
          <w:rStyle w:val="Hyperlink.4"/>
        </w:rPr>
        <w:instrText xml:space="preserve"> HYPERLINK "http://paperpile.com/b/SBcV8m/yNwzV"</w:instrText>
      </w:r>
      <w:r>
        <w:rPr>
          <w:rStyle w:val="Hyperlink.4"/>
        </w:rPr>
        <w:fldChar w:fldCharType="separate" w:fldLock="0"/>
      </w:r>
      <w:r>
        <w:rPr>
          <w:rStyle w:val="Hyperlink.4"/>
          <w:rtl w:val="0"/>
          <w:lang w:val="nl-NL"/>
        </w:rPr>
        <w:t xml:space="preserve">Shaw J, Brewer LC, Veinot T. </w:t>
      </w:r>
      <w:r>
        <w:rPr/>
        <w:fldChar w:fldCharType="end" w:fldLock="0"/>
      </w:r>
      <w:r>
        <w:rPr>
          <w:rStyle w:val="Hyperlink.2"/>
        </w:rPr>
        <w:fldChar w:fldCharType="begin" w:fldLock="0"/>
      </w:r>
      <w:r>
        <w:rPr>
          <w:rStyle w:val="Hyperlink.2"/>
        </w:rPr>
        <w:instrText xml:space="preserve"> HYPERLINK "http://paperpile.com/b/SBcV8m/yNwzV"</w:instrText>
      </w:r>
      <w:r>
        <w:rPr>
          <w:rStyle w:val="Hyperlink.2"/>
        </w:rPr>
        <w:fldChar w:fldCharType="separate" w:fldLock="0"/>
      </w:r>
      <w:r>
        <w:rPr>
          <w:rStyle w:val="Hyperlink.2"/>
          <w:rtl w:val="0"/>
          <w:lang w:val="en-US"/>
        </w:rPr>
        <w:t xml:space="preserve">Recommendations for Health Equity and Virtual Care Arising From the COVID-19 Pandemic: Narrative Review. JMIR Form Res 2021; 5: e23233 Available from: </w:t>
      </w:r>
      <w:r>
        <w:rPr/>
        <w:fldChar w:fldCharType="end" w:fldLock="0"/>
      </w:r>
      <w:r>
        <w:rPr>
          <w:rStyle w:val="Hyperlink.2"/>
        </w:rPr>
        <w:fldChar w:fldCharType="begin" w:fldLock="0"/>
      </w:r>
      <w:r>
        <w:rPr>
          <w:rStyle w:val="Hyperlink.2"/>
        </w:rPr>
        <w:instrText xml:space="preserve"> HYPERLINK "http://dx.doi.org/10.2196/23233"</w:instrText>
      </w:r>
      <w:r>
        <w:rPr>
          <w:rStyle w:val="Hyperlink.2"/>
        </w:rPr>
        <w:fldChar w:fldCharType="separate" w:fldLock="0"/>
      </w:r>
      <w:r>
        <w:rPr>
          <w:rStyle w:val="Hyperlink.2"/>
          <w:rtl w:val="0"/>
          <w:lang w:val="en-US"/>
        </w:rPr>
        <w:t>http://dx.doi.org/10.2196/23233</w:t>
      </w:r>
      <w:r>
        <w:rPr/>
        <w:fldChar w:fldCharType="end" w:fldLock="0"/>
      </w:r>
    </w:p>
    <w:p>
      <w:pPr>
        <w:pStyle w:val="Body"/>
        <w:widowControl w:val="0"/>
        <w:spacing w:after="220" w:line="240" w:lineRule="auto"/>
        <w:ind w:left="440" w:hanging="440"/>
        <w:rPr>
          <w:rStyle w:val="Hyperlink.2"/>
        </w:rPr>
      </w:pPr>
      <w:r>
        <w:rPr>
          <w:rStyle w:val="Hyperlink.2"/>
          <w:rtl w:val="0"/>
        </w:rPr>
        <w:t>14</w:t>
        <w:tab/>
      </w:r>
      <w:r>
        <w:rPr>
          <w:rStyle w:val="Hyperlink.4"/>
        </w:rPr>
        <w:fldChar w:fldCharType="begin" w:fldLock="0"/>
      </w:r>
      <w:r>
        <w:rPr>
          <w:rStyle w:val="Hyperlink.4"/>
        </w:rPr>
        <w:instrText xml:space="preserve"> HYPERLINK "http://paperpile.com/b/SBcV8m/Fv4ZS"</w:instrText>
      </w:r>
      <w:r>
        <w:rPr>
          <w:rStyle w:val="Hyperlink.4"/>
        </w:rPr>
        <w:fldChar w:fldCharType="separate" w:fldLock="0"/>
      </w:r>
      <w:r>
        <w:rPr>
          <w:rStyle w:val="Hyperlink.4"/>
          <w:rtl w:val="0"/>
          <w:lang w:val="en-US"/>
        </w:rPr>
        <w:t xml:space="preserve">Darrat I, Tam S, Boulis M, Williams AM. </w:t>
      </w:r>
      <w:r>
        <w:rPr/>
        <w:fldChar w:fldCharType="end" w:fldLock="0"/>
      </w:r>
      <w:r>
        <w:rPr>
          <w:rStyle w:val="Hyperlink.2"/>
        </w:rPr>
        <w:fldChar w:fldCharType="begin" w:fldLock="0"/>
      </w:r>
      <w:r>
        <w:rPr>
          <w:rStyle w:val="Hyperlink.2"/>
        </w:rPr>
        <w:instrText xml:space="preserve"> HYPERLINK "http://paperpile.com/b/SBcV8m/Fv4ZS"</w:instrText>
      </w:r>
      <w:r>
        <w:rPr>
          <w:rStyle w:val="Hyperlink.2"/>
        </w:rPr>
        <w:fldChar w:fldCharType="separate" w:fldLock="0"/>
      </w:r>
      <w:r>
        <w:rPr>
          <w:rStyle w:val="Hyperlink.2"/>
          <w:rtl w:val="0"/>
          <w:lang w:val="en-US"/>
        </w:rPr>
        <w:t>Socioeconomic Disparities in Patient Use of Telehealth During the Coronavirus Disease 2019 Surge. JAMA Otolaryngol Head Neck Surg 2021; 147: 287</w:t>
      </w:r>
      <w:r>
        <w:rPr>
          <w:rStyle w:val="Hyperlink.2"/>
          <w:rtl w:val="0"/>
        </w:rPr>
        <w:t>–</w:t>
      </w:r>
      <w:r>
        <w:rPr>
          <w:rStyle w:val="Hyperlink.2"/>
          <w:rtl w:val="0"/>
          <w:lang w:val="en-US"/>
        </w:rPr>
        <w:t xml:space="preserve">295 Available from: </w:t>
      </w:r>
      <w:r>
        <w:rPr/>
        <w:fldChar w:fldCharType="end" w:fldLock="0"/>
      </w:r>
      <w:r>
        <w:rPr>
          <w:rStyle w:val="Hyperlink.2"/>
        </w:rPr>
        <w:fldChar w:fldCharType="begin" w:fldLock="0"/>
      </w:r>
      <w:r>
        <w:rPr>
          <w:rStyle w:val="Hyperlink.2"/>
        </w:rPr>
        <w:instrText xml:space="preserve"> HYPERLINK "http://dx.doi.org/10.1001/jamaoto.2020.5161"</w:instrText>
      </w:r>
      <w:r>
        <w:rPr>
          <w:rStyle w:val="Hyperlink.2"/>
        </w:rPr>
        <w:fldChar w:fldCharType="separate" w:fldLock="0"/>
      </w:r>
      <w:r>
        <w:rPr>
          <w:rStyle w:val="Hyperlink.2"/>
          <w:rtl w:val="0"/>
          <w:lang w:val="en-US"/>
        </w:rPr>
        <w:t>http://dx.doi.org/10.1001/jamaoto.2020.5161</w:t>
      </w:r>
      <w:r>
        <w:rPr/>
        <w:fldChar w:fldCharType="end" w:fldLock="0"/>
      </w:r>
    </w:p>
    <w:p>
      <w:pPr>
        <w:pStyle w:val="Body"/>
        <w:widowControl w:val="0"/>
        <w:spacing w:after="220" w:line="240" w:lineRule="auto"/>
        <w:ind w:left="440" w:hanging="440"/>
        <w:rPr>
          <w:rStyle w:val="Hyperlink.2"/>
        </w:rPr>
      </w:pPr>
      <w:r>
        <w:rPr>
          <w:rStyle w:val="Hyperlink.2"/>
          <w:rtl w:val="0"/>
        </w:rPr>
        <w:t>15</w:t>
        <w:tab/>
      </w:r>
      <w:r>
        <w:rPr>
          <w:rStyle w:val="Hyperlink.4"/>
        </w:rPr>
        <w:fldChar w:fldCharType="begin" w:fldLock="0"/>
      </w:r>
      <w:r>
        <w:rPr>
          <w:rStyle w:val="Hyperlink.4"/>
        </w:rPr>
        <w:instrText xml:space="preserve"> HYPERLINK "http://paperpile.com/b/SBcV8m/uBx6Z"</w:instrText>
      </w:r>
      <w:r>
        <w:rPr>
          <w:rStyle w:val="Hyperlink.4"/>
        </w:rPr>
        <w:fldChar w:fldCharType="separate" w:fldLock="0"/>
      </w:r>
      <w:r>
        <w:rPr>
          <w:rStyle w:val="Hyperlink.4"/>
          <w:rtl w:val="0"/>
          <w:lang w:val="en-US"/>
        </w:rPr>
        <w:t xml:space="preserve">Gunasekeran DV, Tseng RMWW, Tham Y-C, Wong TY. </w:t>
      </w:r>
      <w:r>
        <w:rPr/>
        <w:fldChar w:fldCharType="end" w:fldLock="0"/>
      </w:r>
      <w:r>
        <w:rPr>
          <w:rStyle w:val="Hyperlink.2"/>
        </w:rPr>
        <w:fldChar w:fldCharType="begin" w:fldLock="0"/>
      </w:r>
      <w:r>
        <w:rPr>
          <w:rStyle w:val="Hyperlink.2"/>
        </w:rPr>
        <w:instrText xml:space="preserve"> HYPERLINK "http://paperpile.com/b/SBcV8m/uBx6Z"</w:instrText>
      </w:r>
      <w:r>
        <w:rPr>
          <w:rStyle w:val="Hyperlink.2"/>
        </w:rPr>
        <w:fldChar w:fldCharType="separate" w:fldLock="0"/>
      </w:r>
      <w:r>
        <w:rPr>
          <w:rStyle w:val="Hyperlink.2"/>
          <w:rtl w:val="0"/>
          <w:lang w:val="en-US"/>
        </w:rPr>
        <w:t>Applications of digital health for public health responses to COVID-19: A systematic scoping review of artificial intelligence, telehealth and related technologies. NPJ digital medicine 2021; 4: 1</w:t>
      </w:r>
      <w:r>
        <w:rPr>
          <w:rStyle w:val="Hyperlink.2"/>
          <w:rtl w:val="0"/>
        </w:rPr>
        <w:t>–</w:t>
      </w:r>
      <w:r>
        <w:rPr>
          <w:rStyle w:val="Hyperlink.2"/>
          <w:rtl w:val="0"/>
          <w:lang w:val="en-US"/>
        </w:rPr>
        <w:t xml:space="preserve">6 Available from: </w:t>
      </w:r>
      <w:r>
        <w:rPr/>
        <w:fldChar w:fldCharType="end" w:fldLock="0"/>
      </w:r>
      <w:r>
        <w:rPr>
          <w:rStyle w:val="Hyperlink.2"/>
        </w:rPr>
        <w:fldChar w:fldCharType="begin" w:fldLock="0"/>
      </w:r>
      <w:r>
        <w:rPr>
          <w:rStyle w:val="Hyperlink.2"/>
        </w:rPr>
        <w:instrText xml:space="preserve"> HYPERLINK "https://www.nature.com/articles/s41746-021-00412-9"</w:instrText>
      </w:r>
      <w:r>
        <w:rPr>
          <w:rStyle w:val="Hyperlink.2"/>
        </w:rPr>
        <w:fldChar w:fldCharType="separate" w:fldLock="0"/>
      </w:r>
      <w:r>
        <w:rPr>
          <w:rStyle w:val="Hyperlink.2"/>
          <w:rtl w:val="0"/>
          <w:lang w:val="en-US"/>
        </w:rPr>
        <w:t>https://www.nature.com/articles/s41746-021-00412-9</w:t>
      </w:r>
      <w:r>
        <w:rPr/>
        <w:fldChar w:fldCharType="end" w:fldLock="0"/>
      </w:r>
    </w:p>
    <w:p>
      <w:pPr>
        <w:pStyle w:val="Body"/>
        <w:widowControl w:val="0"/>
        <w:spacing w:after="220" w:line="240" w:lineRule="auto"/>
        <w:ind w:left="440" w:hanging="440"/>
        <w:rPr>
          <w:rStyle w:val="Hyperlink.2"/>
        </w:rPr>
      </w:pPr>
      <w:r>
        <w:rPr>
          <w:rStyle w:val="Hyperlink.2"/>
          <w:rtl w:val="0"/>
        </w:rPr>
        <w:t>16</w:t>
        <w:tab/>
      </w:r>
      <w:r>
        <w:rPr>
          <w:rStyle w:val="Hyperlink.4"/>
        </w:rPr>
        <w:fldChar w:fldCharType="begin" w:fldLock="0"/>
      </w:r>
      <w:r>
        <w:rPr>
          <w:rStyle w:val="Hyperlink.4"/>
        </w:rPr>
        <w:instrText xml:space="preserve"> HYPERLINK "http://paperpile.com/b/SBcV8m/EH8xb"</w:instrText>
      </w:r>
      <w:r>
        <w:rPr>
          <w:rStyle w:val="Hyperlink.4"/>
        </w:rPr>
        <w:fldChar w:fldCharType="separate" w:fldLock="0"/>
      </w:r>
      <w:r>
        <w:rPr>
          <w:rStyle w:val="Hyperlink.4"/>
          <w:rtl w:val="0"/>
          <w:lang w:val="it-IT"/>
        </w:rPr>
        <w:t xml:space="preserve">Clare CA. </w:t>
      </w:r>
      <w:r>
        <w:rPr/>
        <w:fldChar w:fldCharType="end" w:fldLock="0"/>
      </w:r>
      <w:r>
        <w:rPr>
          <w:rStyle w:val="Hyperlink.2"/>
        </w:rPr>
        <w:fldChar w:fldCharType="begin" w:fldLock="0"/>
      </w:r>
      <w:r>
        <w:rPr>
          <w:rStyle w:val="Hyperlink.2"/>
        </w:rPr>
        <w:instrText xml:space="preserve"> HYPERLINK "http://paperpile.com/b/SBcV8m/EH8xb"</w:instrText>
      </w:r>
      <w:r>
        <w:rPr>
          <w:rStyle w:val="Hyperlink.2"/>
        </w:rPr>
        <w:fldChar w:fldCharType="separate" w:fldLock="0"/>
      </w:r>
      <w:r>
        <w:rPr>
          <w:rStyle w:val="Hyperlink.2"/>
          <w:rtl w:val="0"/>
          <w:lang w:val="en-US"/>
        </w:rPr>
        <w:t xml:space="preserve">Telehealth and the digital divide as a social determinant of health during the COVID-19 pandemic. Netw Model Anal Health Inform Bioinform 2021; 10: 26 Available from: </w:t>
      </w:r>
      <w:r>
        <w:rPr/>
        <w:fldChar w:fldCharType="end" w:fldLock="0"/>
      </w:r>
      <w:r>
        <w:rPr>
          <w:rStyle w:val="Hyperlink.2"/>
        </w:rPr>
        <w:fldChar w:fldCharType="begin" w:fldLock="0"/>
      </w:r>
      <w:r>
        <w:rPr>
          <w:rStyle w:val="Hyperlink.2"/>
        </w:rPr>
        <w:instrText xml:space="preserve"> HYPERLINK "http://dx.doi.org/10.1007/s13721-021-00300-y"</w:instrText>
      </w:r>
      <w:r>
        <w:rPr>
          <w:rStyle w:val="Hyperlink.2"/>
        </w:rPr>
        <w:fldChar w:fldCharType="separate" w:fldLock="0"/>
      </w:r>
      <w:r>
        <w:rPr>
          <w:rStyle w:val="Hyperlink.2"/>
          <w:rtl w:val="0"/>
          <w:lang w:val="en-US"/>
        </w:rPr>
        <w:t>http://dx.doi.org/10.1007/s13721-021-00300-y</w:t>
      </w:r>
      <w:r>
        <w:rPr/>
        <w:fldChar w:fldCharType="end" w:fldLock="0"/>
      </w:r>
    </w:p>
    <w:p>
      <w:pPr>
        <w:pStyle w:val="Body"/>
        <w:widowControl w:val="0"/>
        <w:spacing w:after="220" w:line="240" w:lineRule="auto"/>
        <w:ind w:left="440" w:hanging="440"/>
        <w:rPr>
          <w:rStyle w:val="Hyperlink.2"/>
        </w:rPr>
      </w:pPr>
      <w:r>
        <w:rPr>
          <w:rStyle w:val="Hyperlink.2"/>
          <w:rtl w:val="0"/>
        </w:rPr>
        <w:t>17</w:t>
        <w:tab/>
      </w:r>
      <w:r>
        <w:rPr>
          <w:rStyle w:val="Hyperlink.4"/>
        </w:rPr>
        <w:fldChar w:fldCharType="begin" w:fldLock="0"/>
      </w:r>
      <w:r>
        <w:rPr>
          <w:rStyle w:val="Hyperlink.4"/>
        </w:rPr>
        <w:instrText xml:space="preserve"> HYPERLINK "http://paperpile.com/b/SBcV8m/Z3Tor"</w:instrText>
      </w:r>
      <w:r>
        <w:rPr>
          <w:rStyle w:val="Hyperlink.4"/>
        </w:rPr>
        <w:fldChar w:fldCharType="separate" w:fldLock="0"/>
      </w:r>
      <w:r>
        <w:rPr>
          <w:rStyle w:val="Hyperlink.4"/>
          <w:rtl w:val="0"/>
          <w:lang w:val="de-DE"/>
        </w:rPr>
        <w:t>Alkureishi MA, Choo Z-Y, Rahman A, Ho K, Benning-Shorb J, Lenti G, Vel</w:t>
      </w:r>
      <w:r>
        <w:rPr>
          <w:rStyle w:val="Hyperlink.4"/>
          <w:rtl w:val="0"/>
        </w:rPr>
        <w:t>á</w:t>
      </w:r>
      <w:r>
        <w:rPr>
          <w:rStyle w:val="Hyperlink.4"/>
          <w:rtl w:val="0"/>
          <w:lang w:val="es-ES_tradnl"/>
        </w:rPr>
        <w:t>zquez S</w:t>
      </w:r>
      <w:r>
        <w:rPr>
          <w:rStyle w:val="Hyperlink.4"/>
          <w:rtl w:val="0"/>
        </w:rPr>
        <w:t>á</w:t>
      </w:r>
      <w:r>
        <w:rPr>
          <w:rStyle w:val="Hyperlink.4"/>
          <w:rtl w:val="0"/>
          <w:lang w:val="es-ES_tradnl"/>
        </w:rPr>
        <w:t xml:space="preserve">nchez I, Zhu M, Shah SD, Lee WW. </w:t>
      </w:r>
      <w:r>
        <w:rPr/>
        <w:fldChar w:fldCharType="end" w:fldLock="0"/>
      </w:r>
      <w:r>
        <w:rPr>
          <w:rStyle w:val="Hyperlink.2"/>
        </w:rPr>
        <w:fldChar w:fldCharType="begin" w:fldLock="0"/>
      </w:r>
      <w:r>
        <w:rPr>
          <w:rStyle w:val="Hyperlink.2"/>
        </w:rPr>
        <w:instrText xml:space="preserve"> HYPERLINK "http://paperpile.com/b/SBcV8m/Z3Tor"</w:instrText>
      </w:r>
      <w:r>
        <w:rPr>
          <w:rStyle w:val="Hyperlink.2"/>
        </w:rPr>
        <w:fldChar w:fldCharType="separate" w:fldLock="0"/>
      </w:r>
      <w:r>
        <w:rPr>
          <w:rStyle w:val="Hyperlink.2"/>
          <w:rtl w:val="0"/>
          <w:lang w:val="en-US"/>
        </w:rPr>
        <w:t xml:space="preserve">Digitally disconnected: A qualitative study of patient perspectives on the digital divide and potential solutions. JMIR Hum Factors 2021; Available from: </w:t>
      </w:r>
      <w:r>
        <w:rPr/>
        <w:fldChar w:fldCharType="end" w:fldLock="0"/>
      </w:r>
      <w:r>
        <w:rPr>
          <w:rStyle w:val="Hyperlink.2"/>
        </w:rPr>
        <w:fldChar w:fldCharType="begin" w:fldLock="0"/>
      </w:r>
      <w:r>
        <w:rPr>
          <w:rStyle w:val="Hyperlink.2"/>
        </w:rPr>
        <w:instrText xml:space="preserve"> HYPERLINK "http://dx.doi.org/10.2196/33364"</w:instrText>
      </w:r>
      <w:r>
        <w:rPr>
          <w:rStyle w:val="Hyperlink.2"/>
        </w:rPr>
        <w:fldChar w:fldCharType="separate" w:fldLock="0"/>
      </w:r>
      <w:r>
        <w:rPr>
          <w:rStyle w:val="Hyperlink.2"/>
          <w:rtl w:val="0"/>
          <w:lang w:val="en-US"/>
        </w:rPr>
        <w:t>http://dx.doi.org/10.2196/33364</w:t>
      </w:r>
      <w:r>
        <w:rPr/>
        <w:fldChar w:fldCharType="end" w:fldLock="0"/>
      </w:r>
    </w:p>
    <w:p>
      <w:pPr>
        <w:pStyle w:val="Body"/>
        <w:widowControl w:val="0"/>
        <w:spacing w:after="220" w:line="240" w:lineRule="auto"/>
        <w:ind w:left="440" w:hanging="440"/>
        <w:rPr>
          <w:rStyle w:val="Hyperlink.2"/>
        </w:rPr>
      </w:pPr>
      <w:r>
        <w:rPr>
          <w:rStyle w:val="Hyperlink.2"/>
          <w:rtl w:val="0"/>
        </w:rPr>
        <w:t>18</w:t>
        <w:tab/>
      </w:r>
      <w:r>
        <w:rPr>
          <w:rStyle w:val="Hyperlink.4"/>
        </w:rPr>
        <w:fldChar w:fldCharType="begin" w:fldLock="0"/>
      </w:r>
      <w:r>
        <w:rPr>
          <w:rStyle w:val="Hyperlink.4"/>
        </w:rPr>
        <w:instrText xml:space="preserve"> HYPERLINK "http://paperpile.com/b/SBcV8m/C1IaQ"</w:instrText>
      </w:r>
      <w:r>
        <w:rPr>
          <w:rStyle w:val="Hyperlink.4"/>
        </w:rPr>
        <w:fldChar w:fldCharType="separate" w:fldLock="0"/>
      </w:r>
      <w:r>
        <w:rPr>
          <w:rStyle w:val="Hyperlink.4"/>
          <w:rtl w:val="0"/>
          <w:lang w:val="it-IT"/>
        </w:rPr>
        <w:t xml:space="preserve">Coiera E, Ash J, Berg M. </w:t>
      </w:r>
      <w:r>
        <w:rPr/>
        <w:fldChar w:fldCharType="end" w:fldLock="0"/>
      </w:r>
      <w:r>
        <w:rPr>
          <w:rStyle w:val="Hyperlink.2"/>
        </w:rPr>
        <w:fldChar w:fldCharType="begin" w:fldLock="0"/>
      </w:r>
      <w:r>
        <w:rPr>
          <w:rStyle w:val="Hyperlink.2"/>
        </w:rPr>
        <w:instrText xml:space="preserve"> HYPERLINK "http://paperpile.com/b/SBcV8m/C1IaQ"</w:instrText>
      </w:r>
      <w:r>
        <w:rPr>
          <w:rStyle w:val="Hyperlink.2"/>
        </w:rPr>
        <w:fldChar w:fldCharType="separate" w:fldLock="0"/>
      </w:r>
      <w:r>
        <w:rPr>
          <w:rStyle w:val="Hyperlink.2"/>
          <w:rtl w:val="0"/>
          <w:lang w:val="en-US"/>
        </w:rPr>
        <w:t>The unintended consequences of health information technology revisited. Yearb Med Inform 2016; 163</w:t>
      </w:r>
      <w:r>
        <w:rPr>
          <w:rStyle w:val="Hyperlink.2"/>
          <w:rtl w:val="0"/>
        </w:rPr>
        <w:t>–</w:t>
      </w:r>
      <w:r>
        <w:rPr>
          <w:rStyle w:val="Hyperlink.2"/>
          <w:rtl w:val="0"/>
          <w:lang w:val="en-US"/>
        </w:rPr>
        <w:t xml:space="preserve">169 Available from: </w:t>
      </w:r>
      <w:r>
        <w:rPr/>
        <w:fldChar w:fldCharType="end" w:fldLock="0"/>
      </w:r>
      <w:r>
        <w:rPr>
          <w:rStyle w:val="Hyperlink.2"/>
        </w:rPr>
        <w:fldChar w:fldCharType="begin" w:fldLock="0"/>
      </w:r>
      <w:r>
        <w:rPr>
          <w:rStyle w:val="Hyperlink.2"/>
        </w:rPr>
        <w:instrText xml:space="preserve"> HYPERLINK "http://dx.doi.org/10.15265/IY-2016-014"</w:instrText>
      </w:r>
      <w:r>
        <w:rPr>
          <w:rStyle w:val="Hyperlink.2"/>
        </w:rPr>
        <w:fldChar w:fldCharType="separate" w:fldLock="0"/>
      </w:r>
      <w:r>
        <w:rPr>
          <w:rStyle w:val="Hyperlink.2"/>
          <w:rtl w:val="0"/>
          <w:lang w:val="en-US"/>
        </w:rPr>
        <w:t>http://dx.doi.org/10.15265/IY-2016-014</w:t>
      </w:r>
      <w:r>
        <w:rPr/>
        <w:fldChar w:fldCharType="end" w:fldLock="0"/>
      </w:r>
    </w:p>
    <w:p>
      <w:pPr>
        <w:pStyle w:val="Body"/>
        <w:widowControl w:val="0"/>
        <w:spacing w:after="220" w:line="240" w:lineRule="auto"/>
        <w:ind w:left="440" w:hanging="440"/>
        <w:rPr>
          <w:rStyle w:val="Hyperlink.2"/>
        </w:rPr>
      </w:pPr>
      <w:r>
        <w:rPr>
          <w:rStyle w:val="Hyperlink.2"/>
          <w:rtl w:val="0"/>
        </w:rPr>
        <w:t>19</w:t>
        <w:tab/>
      </w:r>
      <w:r>
        <w:rPr>
          <w:rStyle w:val="Hyperlink.4"/>
        </w:rPr>
        <w:fldChar w:fldCharType="begin" w:fldLock="0"/>
      </w:r>
      <w:r>
        <w:rPr>
          <w:rStyle w:val="Hyperlink.4"/>
        </w:rPr>
        <w:instrText xml:space="preserve"> HYPERLINK "http://paperpile.com/b/SBcV8m/Suelw"</w:instrText>
      </w:r>
      <w:r>
        <w:rPr>
          <w:rStyle w:val="Hyperlink.4"/>
        </w:rPr>
        <w:fldChar w:fldCharType="separate" w:fldLock="0"/>
      </w:r>
      <w:r>
        <w:rPr>
          <w:rStyle w:val="Hyperlink.4"/>
          <w:rtl w:val="0"/>
        </w:rPr>
        <w:t xml:space="preserve">Kuziemsky CE, Randell R, Borycki EM. </w:t>
      </w:r>
      <w:r>
        <w:rPr/>
        <w:fldChar w:fldCharType="end" w:fldLock="0"/>
      </w:r>
      <w:r>
        <w:rPr>
          <w:rStyle w:val="Hyperlink.2"/>
        </w:rPr>
        <w:fldChar w:fldCharType="begin" w:fldLock="0"/>
      </w:r>
      <w:r>
        <w:rPr>
          <w:rStyle w:val="Hyperlink.2"/>
        </w:rPr>
        <w:instrText xml:space="preserve"> HYPERLINK "http://paperpile.com/b/SBcV8m/Suelw"</w:instrText>
      </w:r>
      <w:r>
        <w:rPr>
          <w:rStyle w:val="Hyperlink.2"/>
        </w:rPr>
        <w:fldChar w:fldCharType="separate" w:fldLock="0"/>
      </w:r>
      <w:r>
        <w:rPr>
          <w:rStyle w:val="Hyperlink.2"/>
          <w:rtl w:val="0"/>
          <w:lang w:val="en-US"/>
        </w:rPr>
        <w:t>Understanding Unintended Consequences and Health Information Technology:. Contribution from the IMIA Organizational and Social Issues Working Group. Yearb Med Inform 2016; 53</w:t>
      </w:r>
      <w:r>
        <w:rPr>
          <w:rStyle w:val="Hyperlink.2"/>
          <w:rtl w:val="0"/>
        </w:rPr>
        <w:t>–</w:t>
      </w:r>
      <w:r>
        <w:rPr>
          <w:rStyle w:val="Hyperlink.2"/>
          <w:rtl w:val="0"/>
          <w:lang w:val="en-US"/>
        </w:rPr>
        <w:t xml:space="preserve">60 Available from: </w:t>
      </w:r>
      <w:r>
        <w:rPr/>
        <w:fldChar w:fldCharType="end" w:fldLock="0"/>
      </w:r>
      <w:r>
        <w:rPr>
          <w:rStyle w:val="Hyperlink.2"/>
        </w:rPr>
        <w:fldChar w:fldCharType="begin" w:fldLock="0"/>
      </w:r>
      <w:r>
        <w:rPr>
          <w:rStyle w:val="Hyperlink.2"/>
        </w:rPr>
        <w:instrText xml:space="preserve"> HYPERLINK "http://dx.doi.org/10.15265/IY-2016-027"</w:instrText>
      </w:r>
      <w:r>
        <w:rPr>
          <w:rStyle w:val="Hyperlink.2"/>
        </w:rPr>
        <w:fldChar w:fldCharType="separate" w:fldLock="0"/>
      </w:r>
      <w:r>
        <w:rPr>
          <w:rStyle w:val="Hyperlink.2"/>
          <w:rtl w:val="0"/>
          <w:lang w:val="en-US"/>
        </w:rPr>
        <w:t>http://dx.doi.org/10.15265/IY-2016-027</w:t>
      </w:r>
      <w:r>
        <w:rPr/>
        <w:fldChar w:fldCharType="end" w:fldLock="0"/>
      </w:r>
    </w:p>
    <w:p>
      <w:pPr>
        <w:pStyle w:val="Body"/>
        <w:widowControl w:val="0"/>
        <w:spacing w:after="220" w:line="240" w:lineRule="auto"/>
        <w:ind w:left="440" w:hanging="440"/>
        <w:rPr>
          <w:rStyle w:val="Hyperlink.2"/>
        </w:rPr>
      </w:pPr>
      <w:r>
        <w:rPr>
          <w:rStyle w:val="Hyperlink.2"/>
          <w:rtl w:val="0"/>
        </w:rPr>
        <w:t>20</w:t>
        <w:tab/>
      </w:r>
      <w:r>
        <w:rPr>
          <w:rStyle w:val="Hyperlink.4"/>
        </w:rPr>
        <w:fldChar w:fldCharType="begin" w:fldLock="0"/>
      </w:r>
      <w:r>
        <w:rPr>
          <w:rStyle w:val="Hyperlink.4"/>
        </w:rPr>
        <w:instrText xml:space="preserve"> HYPERLINK "http://paperpile.com/b/SBcV8m/fn4lH"</w:instrText>
      </w:r>
      <w:r>
        <w:rPr>
          <w:rStyle w:val="Hyperlink.4"/>
        </w:rPr>
        <w:fldChar w:fldCharType="separate" w:fldLock="0"/>
      </w:r>
      <w:r>
        <w:rPr>
          <w:rStyle w:val="Hyperlink.4"/>
          <w:rtl w:val="0"/>
          <w:lang w:val="nl-NL"/>
        </w:rPr>
        <w:t xml:space="preserve">Maeder A, Mars M, Hartvigsen G, Basu A, Abbott P, Gogia SB. </w:t>
      </w:r>
      <w:r>
        <w:rPr/>
        <w:fldChar w:fldCharType="end" w:fldLock="0"/>
      </w:r>
      <w:r>
        <w:rPr>
          <w:rStyle w:val="Hyperlink.2"/>
        </w:rPr>
        <w:fldChar w:fldCharType="begin" w:fldLock="0"/>
      </w:r>
      <w:r>
        <w:rPr>
          <w:rStyle w:val="Hyperlink.2"/>
        </w:rPr>
        <w:instrText xml:space="preserve"> HYPERLINK "http://paperpile.com/b/SBcV8m/fn4lH"</w:instrText>
      </w:r>
      <w:r>
        <w:rPr>
          <w:rStyle w:val="Hyperlink.2"/>
        </w:rPr>
        <w:fldChar w:fldCharType="separate" w:fldLock="0"/>
      </w:r>
      <w:r>
        <w:rPr>
          <w:rStyle w:val="Hyperlink.2"/>
          <w:rtl w:val="0"/>
          <w:lang w:val="en-US"/>
        </w:rPr>
        <w:t>Unintended consequences of Tele health and their possible solutions. Yearb Med Inform 2016; 25: 41</w:t>
      </w:r>
      <w:r>
        <w:rPr>
          <w:rStyle w:val="Hyperlink.2"/>
          <w:rtl w:val="0"/>
        </w:rPr>
        <w:t>–</w:t>
      </w:r>
      <w:r>
        <w:rPr>
          <w:rStyle w:val="Hyperlink.2"/>
          <w:rtl w:val="0"/>
          <w:lang w:val="en-US"/>
        </w:rPr>
        <w:t xml:space="preserve">46 Available from: </w:t>
      </w:r>
      <w:r>
        <w:rPr/>
        <w:fldChar w:fldCharType="end" w:fldLock="0"/>
      </w:r>
      <w:r>
        <w:rPr>
          <w:rStyle w:val="Hyperlink.2"/>
        </w:rPr>
        <w:fldChar w:fldCharType="begin" w:fldLock="0"/>
      </w:r>
      <w:r>
        <w:rPr>
          <w:rStyle w:val="Hyperlink.2"/>
        </w:rPr>
        <w:instrText xml:space="preserve"> HYPERLINK "http://www.thieme-connect.de/DOI/DOI?10.15265/IY-2016-012"</w:instrText>
      </w:r>
      <w:r>
        <w:rPr>
          <w:rStyle w:val="Hyperlink.2"/>
        </w:rPr>
        <w:fldChar w:fldCharType="separate" w:fldLock="0"/>
      </w:r>
      <w:r>
        <w:rPr>
          <w:rStyle w:val="Hyperlink.2"/>
          <w:rtl w:val="0"/>
          <w:lang w:val="en-US"/>
        </w:rPr>
        <w:t>http://www.thieme-connect.de/DOI/DOI?10.15265/IY-2016-012</w:t>
      </w:r>
      <w:r>
        <w:rPr/>
        <w:fldChar w:fldCharType="end" w:fldLock="0"/>
      </w:r>
    </w:p>
    <w:p>
      <w:pPr>
        <w:pStyle w:val="Body"/>
        <w:widowControl w:val="0"/>
        <w:spacing w:after="220" w:line="240" w:lineRule="auto"/>
        <w:ind w:left="440" w:hanging="440"/>
        <w:rPr>
          <w:rStyle w:val="Hyperlink.2"/>
        </w:rPr>
      </w:pPr>
      <w:r>
        <w:rPr>
          <w:rStyle w:val="Hyperlink.2"/>
          <w:rtl w:val="0"/>
        </w:rPr>
        <w:t>21</w:t>
        <w:tab/>
      </w:r>
      <w:r>
        <w:rPr>
          <w:rStyle w:val="Hyperlink.4"/>
        </w:rPr>
        <w:fldChar w:fldCharType="begin" w:fldLock="0"/>
      </w:r>
      <w:r>
        <w:rPr>
          <w:rStyle w:val="Hyperlink.4"/>
        </w:rPr>
        <w:instrText xml:space="preserve"> HYPERLINK "http://paperpile.com/b/SBcV8m/FXNfY"</w:instrText>
      </w:r>
      <w:r>
        <w:rPr>
          <w:rStyle w:val="Hyperlink.4"/>
        </w:rPr>
        <w:fldChar w:fldCharType="separate" w:fldLock="0"/>
      </w:r>
      <w:r>
        <w:rPr>
          <w:rStyle w:val="Hyperlink.4"/>
          <w:rtl w:val="0"/>
        </w:rPr>
        <w:t xml:space="preserve">Harris A, Kuziemsky C. </w:t>
      </w:r>
      <w:r>
        <w:rPr/>
        <w:fldChar w:fldCharType="end" w:fldLock="0"/>
      </w:r>
      <w:r>
        <w:rPr>
          <w:rStyle w:val="Hyperlink.2"/>
        </w:rPr>
        <w:fldChar w:fldCharType="begin" w:fldLock="0"/>
      </w:r>
      <w:r>
        <w:rPr>
          <w:rStyle w:val="Hyperlink.2"/>
        </w:rPr>
        <w:instrText xml:space="preserve"> HYPERLINK "http://paperpile.com/b/SBcV8m/FXNfY"</w:instrText>
      </w:r>
      <w:r>
        <w:rPr>
          <w:rStyle w:val="Hyperlink.2"/>
        </w:rPr>
        <w:fldChar w:fldCharType="separate" w:fldLock="0"/>
      </w:r>
      <w:r>
        <w:rPr>
          <w:rStyle w:val="Hyperlink.2"/>
          <w:rtl w:val="0"/>
          <w:lang w:val="en-US"/>
        </w:rPr>
        <w:t>Connectivity Patterns for Supporting BPM in Healthcare. In: Advances in Information and Communication Networks. Springer International Publishing, 2019: 697</w:t>
      </w:r>
      <w:r>
        <w:rPr>
          <w:rStyle w:val="Hyperlink.2"/>
          <w:rtl w:val="0"/>
        </w:rPr>
        <w:t>–</w:t>
      </w:r>
      <w:r>
        <w:rPr>
          <w:rStyle w:val="Hyperlink.2"/>
          <w:rtl w:val="0"/>
          <w:lang w:val="en-US"/>
        </w:rPr>
        <w:t xml:space="preserve">703 Available from: </w:t>
      </w:r>
      <w:r>
        <w:rPr/>
        <w:fldChar w:fldCharType="end" w:fldLock="0"/>
      </w:r>
      <w:r>
        <w:rPr>
          <w:rStyle w:val="Hyperlink.2"/>
        </w:rPr>
        <w:fldChar w:fldCharType="begin" w:fldLock="0"/>
      </w:r>
      <w:r>
        <w:rPr>
          <w:rStyle w:val="Hyperlink.2"/>
        </w:rPr>
        <w:instrText xml:space="preserve"> HYPERLINK "http://dx.doi.org/10.1007/978-3-030-03405-4_49"</w:instrText>
      </w:r>
      <w:r>
        <w:rPr>
          <w:rStyle w:val="Hyperlink.2"/>
        </w:rPr>
        <w:fldChar w:fldCharType="separate" w:fldLock="0"/>
      </w:r>
      <w:r>
        <w:rPr>
          <w:rStyle w:val="Hyperlink.2"/>
          <w:rtl w:val="0"/>
          <w:lang w:val="en-US"/>
        </w:rPr>
        <w:t>http://dx.doi.org/10.1007/978-3-030-03405-4_49</w:t>
      </w:r>
      <w:r>
        <w:rPr/>
        <w:fldChar w:fldCharType="end" w:fldLock="0"/>
      </w:r>
    </w:p>
    <w:p>
      <w:pPr>
        <w:pStyle w:val="Body"/>
        <w:widowControl w:val="0"/>
        <w:spacing w:after="220" w:line="240" w:lineRule="auto"/>
        <w:ind w:left="440" w:hanging="440"/>
        <w:rPr>
          <w:rStyle w:val="Hyperlink.2"/>
        </w:rPr>
      </w:pPr>
      <w:r>
        <w:rPr>
          <w:rStyle w:val="Hyperlink.2"/>
          <w:rtl w:val="0"/>
        </w:rPr>
        <w:t>22</w:t>
        <w:tab/>
      </w:r>
      <w:r>
        <w:rPr>
          <w:rStyle w:val="Hyperlink.4"/>
        </w:rPr>
        <w:fldChar w:fldCharType="begin" w:fldLock="0"/>
      </w:r>
      <w:r>
        <w:rPr>
          <w:rStyle w:val="Hyperlink.4"/>
        </w:rPr>
        <w:instrText xml:space="preserve"> HYPERLINK "http://paperpile.com/b/SBcV8m/yTbPh"</w:instrText>
      </w:r>
      <w:r>
        <w:rPr>
          <w:rStyle w:val="Hyperlink.4"/>
        </w:rPr>
        <w:fldChar w:fldCharType="separate" w:fldLock="0"/>
      </w:r>
      <w:r>
        <w:rPr>
          <w:rStyle w:val="Hyperlink.4"/>
          <w:rtl w:val="0"/>
          <w:lang w:val="en-US"/>
        </w:rPr>
        <w:t xml:space="preserve">Greenhalgh T, Wherton J, Shaw S, Morrison C. </w:t>
      </w:r>
      <w:r>
        <w:rPr/>
        <w:fldChar w:fldCharType="end" w:fldLock="0"/>
      </w:r>
      <w:r>
        <w:rPr>
          <w:rStyle w:val="Hyperlink.2"/>
        </w:rPr>
        <w:fldChar w:fldCharType="begin" w:fldLock="0"/>
      </w:r>
      <w:r>
        <w:rPr>
          <w:rStyle w:val="Hyperlink.2"/>
        </w:rPr>
        <w:instrText xml:space="preserve"> HYPERLINK "http://paperpile.com/b/SBcV8m/yTbPh"</w:instrText>
      </w:r>
      <w:r>
        <w:rPr>
          <w:rStyle w:val="Hyperlink.2"/>
        </w:rPr>
        <w:fldChar w:fldCharType="separate" w:fldLock="0"/>
      </w:r>
      <w:r>
        <w:rPr>
          <w:rStyle w:val="Hyperlink.2"/>
          <w:rtl w:val="0"/>
          <w:lang w:val="en-US"/>
        </w:rPr>
        <w:t xml:space="preserve">Video consultations for covid-19. BMJ 2020; 368: m998 Available from: </w:t>
      </w:r>
      <w:r>
        <w:rPr/>
        <w:fldChar w:fldCharType="end" w:fldLock="0"/>
      </w:r>
      <w:r>
        <w:rPr>
          <w:rStyle w:val="Hyperlink.2"/>
        </w:rPr>
        <w:fldChar w:fldCharType="begin" w:fldLock="0"/>
      </w:r>
      <w:r>
        <w:rPr>
          <w:rStyle w:val="Hyperlink.2"/>
        </w:rPr>
        <w:instrText xml:space="preserve"> HYPERLINK "http://dx.doi.org/10.1136/bmj.m998"</w:instrText>
      </w:r>
      <w:r>
        <w:rPr>
          <w:rStyle w:val="Hyperlink.2"/>
        </w:rPr>
        <w:fldChar w:fldCharType="separate" w:fldLock="0"/>
      </w:r>
      <w:r>
        <w:rPr>
          <w:rStyle w:val="Hyperlink.2"/>
          <w:rtl w:val="0"/>
          <w:lang w:val="en-US"/>
        </w:rPr>
        <w:t>http://dx.doi.org/10.1136/bmj.m998</w:t>
      </w:r>
      <w:r>
        <w:rPr/>
        <w:fldChar w:fldCharType="end" w:fldLock="0"/>
      </w:r>
    </w:p>
    <w:p>
      <w:pPr>
        <w:pStyle w:val="Body"/>
        <w:widowControl w:val="0"/>
        <w:spacing w:after="220" w:line="240" w:lineRule="auto"/>
        <w:ind w:left="440" w:hanging="440"/>
        <w:rPr>
          <w:rStyle w:val="Hyperlink.2"/>
        </w:rPr>
      </w:pPr>
      <w:r>
        <w:rPr>
          <w:rStyle w:val="Hyperlink.2"/>
          <w:rtl w:val="0"/>
        </w:rPr>
        <w:t>23</w:t>
        <w:tab/>
      </w:r>
      <w:r>
        <w:rPr>
          <w:rStyle w:val="Hyperlink.4"/>
        </w:rPr>
        <w:fldChar w:fldCharType="begin" w:fldLock="0"/>
      </w:r>
      <w:r>
        <w:rPr>
          <w:rStyle w:val="Hyperlink.4"/>
        </w:rPr>
        <w:instrText xml:space="preserve"> HYPERLINK "http://paperpile.com/b/SBcV8m/wymMO"</w:instrText>
      </w:r>
      <w:r>
        <w:rPr>
          <w:rStyle w:val="Hyperlink.4"/>
        </w:rPr>
        <w:fldChar w:fldCharType="separate" w:fldLock="0"/>
      </w:r>
      <w:r>
        <w:rPr>
          <w:rStyle w:val="Hyperlink.4"/>
          <w:rtl w:val="0"/>
          <w:lang w:val="it-IT"/>
        </w:rPr>
        <w:t xml:space="preserve">Coiera E. </w:t>
      </w:r>
      <w:r>
        <w:rPr/>
        <w:fldChar w:fldCharType="end" w:fldLock="0"/>
      </w:r>
      <w:r>
        <w:rPr>
          <w:rStyle w:val="Hyperlink.2"/>
        </w:rPr>
        <w:fldChar w:fldCharType="begin" w:fldLock="0"/>
      </w:r>
      <w:r>
        <w:rPr>
          <w:rStyle w:val="Hyperlink.2"/>
        </w:rPr>
        <w:instrText xml:space="preserve"> HYPERLINK "http://paperpile.com/b/SBcV8m/wymMO"</w:instrText>
      </w:r>
      <w:r>
        <w:rPr>
          <w:rStyle w:val="Hyperlink.2"/>
        </w:rPr>
        <w:fldChar w:fldCharType="separate" w:fldLock="0"/>
      </w:r>
      <w:r>
        <w:rPr>
          <w:rStyle w:val="Hyperlink.2"/>
          <w:rtl w:val="0"/>
          <w:lang w:val="en-US"/>
        </w:rPr>
        <w:t>Four rules for the reinvention of health care. BMJ 2004; 328: 1197</w:t>
      </w:r>
      <w:r>
        <w:rPr>
          <w:rStyle w:val="Hyperlink.2"/>
          <w:rtl w:val="0"/>
        </w:rPr>
        <w:t>–</w:t>
      </w:r>
      <w:r>
        <w:rPr>
          <w:rStyle w:val="Hyperlink.2"/>
          <w:rtl w:val="0"/>
          <w:lang w:val="en-US"/>
        </w:rPr>
        <w:t xml:space="preserve">1199 Available from: </w:t>
      </w:r>
      <w:r>
        <w:rPr/>
        <w:fldChar w:fldCharType="end" w:fldLock="0"/>
      </w:r>
      <w:r>
        <w:rPr>
          <w:rStyle w:val="Hyperlink.2"/>
        </w:rPr>
        <w:fldChar w:fldCharType="begin" w:fldLock="0"/>
      </w:r>
      <w:r>
        <w:rPr>
          <w:rStyle w:val="Hyperlink.2"/>
        </w:rPr>
        <w:instrText xml:space="preserve"> HYPERLINK "https://www.bmj.com/content/328/7449/1197.short"</w:instrText>
      </w:r>
      <w:r>
        <w:rPr>
          <w:rStyle w:val="Hyperlink.2"/>
        </w:rPr>
        <w:fldChar w:fldCharType="separate" w:fldLock="0"/>
      </w:r>
      <w:r>
        <w:rPr>
          <w:rStyle w:val="Hyperlink.2"/>
          <w:rtl w:val="0"/>
          <w:lang w:val="en-US"/>
        </w:rPr>
        <w:t>https://www.bmj.com/content/328/7449/1197.short</w:t>
      </w:r>
      <w:r>
        <w:rPr/>
        <w:fldChar w:fldCharType="end" w:fldLock="0"/>
      </w:r>
    </w:p>
    <w:p>
      <w:pPr>
        <w:pStyle w:val="Body"/>
        <w:widowControl w:val="0"/>
        <w:spacing w:after="220" w:line="240" w:lineRule="auto"/>
        <w:ind w:left="440" w:hanging="440"/>
        <w:rPr>
          <w:rStyle w:val="Hyperlink.2"/>
        </w:rPr>
      </w:pPr>
      <w:r>
        <w:rPr>
          <w:rStyle w:val="Hyperlink.2"/>
          <w:rtl w:val="0"/>
        </w:rPr>
        <w:t>24</w:t>
        <w:tab/>
      </w:r>
      <w:r>
        <w:rPr>
          <w:rStyle w:val="Hyperlink.4"/>
        </w:rPr>
        <w:fldChar w:fldCharType="begin" w:fldLock="0"/>
      </w:r>
      <w:r>
        <w:rPr>
          <w:rStyle w:val="Hyperlink.4"/>
        </w:rPr>
        <w:instrText xml:space="preserve"> HYPERLINK "http://paperpile.com/b/SBcV8m/kEEc6"</w:instrText>
      </w:r>
      <w:r>
        <w:rPr>
          <w:rStyle w:val="Hyperlink.4"/>
        </w:rPr>
        <w:fldChar w:fldCharType="separate" w:fldLock="0"/>
      </w:r>
      <w:r>
        <w:rPr>
          <w:rStyle w:val="Hyperlink.4"/>
          <w:rtl w:val="0"/>
          <w:lang w:val="de-DE"/>
        </w:rPr>
        <w:t>Haldane V, De Foo C, Abdalla SM, Jung A-S, Tan M, Wu S, Chua A, Verma M, Shrestha P, Singh S, Perez T, Tan SM, Bartos M, Mabuchi S, Bonk M, McNab C, Werner GK, Panjabi R, Nordstr</w:t>
      </w:r>
      <w:r>
        <w:rPr>
          <w:rStyle w:val="Hyperlink.4"/>
          <w:rtl w:val="0"/>
          <w:lang w:val="sv-SE"/>
        </w:rPr>
        <w:t>ö</w:t>
      </w:r>
      <w:r>
        <w:rPr>
          <w:rStyle w:val="Hyperlink.4"/>
          <w:rtl w:val="0"/>
          <w:lang w:val="es-ES_tradnl"/>
        </w:rPr>
        <w:t xml:space="preserve">m A, Legido-Quigley H. </w:t>
      </w:r>
      <w:r>
        <w:rPr/>
        <w:fldChar w:fldCharType="end" w:fldLock="0"/>
      </w:r>
      <w:r>
        <w:rPr>
          <w:rStyle w:val="Hyperlink.2"/>
        </w:rPr>
        <w:fldChar w:fldCharType="begin" w:fldLock="0"/>
      </w:r>
      <w:r>
        <w:rPr>
          <w:rStyle w:val="Hyperlink.2"/>
        </w:rPr>
        <w:instrText xml:space="preserve"> HYPERLINK "http://paperpile.com/b/SBcV8m/kEEc6"</w:instrText>
      </w:r>
      <w:r>
        <w:rPr>
          <w:rStyle w:val="Hyperlink.2"/>
        </w:rPr>
        <w:fldChar w:fldCharType="separate" w:fldLock="0"/>
      </w:r>
      <w:r>
        <w:rPr>
          <w:rStyle w:val="Hyperlink.2"/>
          <w:rtl w:val="0"/>
          <w:lang w:val="en-US"/>
        </w:rPr>
        <w:t>Health systems resilience in managing the COVID-19 pandemic: lessons from 28 countries. Nat Med 2021; 27: 964</w:t>
      </w:r>
      <w:r>
        <w:rPr>
          <w:rStyle w:val="Hyperlink.2"/>
          <w:rtl w:val="0"/>
        </w:rPr>
        <w:t>–</w:t>
      </w:r>
      <w:r>
        <w:rPr>
          <w:rStyle w:val="Hyperlink.2"/>
          <w:rtl w:val="0"/>
          <w:lang w:val="en-US"/>
        </w:rPr>
        <w:t xml:space="preserve">980 Available from: </w:t>
      </w:r>
      <w:r>
        <w:rPr/>
        <w:fldChar w:fldCharType="end" w:fldLock="0"/>
      </w:r>
      <w:r>
        <w:rPr>
          <w:rStyle w:val="Hyperlink.2"/>
        </w:rPr>
        <w:fldChar w:fldCharType="begin" w:fldLock="0"/>
      </w:r>
      <w:r>
        <w:rPr>
          <w:rStyle w:val="Hyperlink.2"/>
        </w:rPr>
        <w:instrText xml:space="preserve"> HYPERLINK "http://dx.doi.org/10.1038/s41591-021-01381-y"</w:instrText>
      </w:r>
      <w:r>
        <w:rPr>
          <w:rStyle w:val="Hyperlink.2"/>
        </w:rPr>
        <w:fldChar w:fldCharType="separate" w:fldLock="0"/>
      </w:r>
      <w:r>
        <w:rPr>
          <w:rStyle w:val="Hyperlink.2"/>
          <w:rtl w:val="0"/>
          <w:lang w:val="en-US"/>
        </w:rPr>
        <w:t>http://dx.doi.org/10.1038/s41591-021-01381-y</w:t>
      </w:r>
      <w:r>
        <w:rPr/>
        <w:fldChar w:fldCharType="end" w:fldLock="0"/>
      </w:r>
    </w:p>
    <w:p>
      <w:pPr>
        <w:pStyle w:val="Body"/>
        <w:widowControl w:val="0"/>
        <w:spacing w:after="220" w:line="240" w:lineRule="auto"/>
        <w:ind w:left="440" w:hanging="440"/>
        <w:rPr>
          <w:rStyle w:val="Hyperlink.2"/>
        </w:rPr>
      </w:pPr>
      <w:r>
        <w:rPr>
          <w:rStyle w:val="Hyperlink.2"/>
          <w:rtl w:val="0"/>
        </w:rPr>
        <w:t>25</w:t>
        <w:tab/>
      </w:r>
      <w:r>
        <w:rPr>
          <w:rStyle w:val="Hyperlink.4"/>
        </w:rPr>
        <w:fldChar w:fldCharType="begin" w:fldLock="0"/>
      </w:r>
      <w:r>
        <w:rPr>
          <w:rStyle w:val="Hyperlink.4"/>
        </w:rPr>
        <w:instrText xml:space="preserve"> HYPERLINK "http://paperpile.com/b/SBcV8m/m77W3"</w:instrText>
      </w:r>
      <w:r>
        <w:rPr>
          <w:rStyle w:val="Hyperlink.4"/>
        </w:rPr>
        <w:fldChar w:fldCharType="separate" w:fldLock="0"/>
      </w:r>
      <w:r>
        <w:rPr>
          <w:rStyle w:val="Hyperlink.4"/>
          <w:rtl w:val="0"/>
          <w:lang w:val="pt-PT"/>
        </w:rPr>
        <w:t xml:space="preserve">Bradley DT, Mansouri MA, Kee F, Garcia LMT. </w:t>
      </w:r>
      <w:r>
        <w:rPr/>
        <w:fldChar w:fldCharType="end" w:fldLock="0"/>
      </w:r>
      <w:r>
        <w:rPr>
          <w:rStyle w:val="Hyperlink.2"/>
        </w:rPr>
        <w:fldChar w:fldCharType="begin" w:fldLock="0"/>
      </w:r>
      <w:r>
        <w:rPr>
          <w:rStyle w:val="Hyperlink.2"/>
        </w:rPr>
        <w:instrText xml:space="preserve"> HYPERLINK "http://paperpile.com/b/SBcV8m/m77W3"</w:instrText>
      </w:r>
      <w:r>
        <w:rPr>
          <w:rStyle w:val="Hyperlink.2"/>
        </w:rPr>
        <w:fldChar w:fldCharType="separate" w:fldLock="0"/>
      </w:r>
      <w:r>
        <w:rPr>
          <w:rStyle w:val="Hyperlink.2"/>
          <w:rtl w:val="0"/>
          <w:lang w:val="en-US"/>
        </w:rPr>
        <w:t>A systems approach to preventing and responding to COVID-19. EClinicalMedicine, 100325. 2020;</w:t>
      </w:r>
      <w:r>
        <w:rPr/>
        <w:fldChar w:fldCharType="end" w:fldLock="0"/>
      </w:r>
    </w:p>
    <w:p>
      <w:pPr>
        <w:pStyle w:val="Body"/>
        <w:widowControl w:val="0"/>
        <w:spacing w:after="220" w:line="240" w:lineRule="auto"/>
        <w:ind w:left="440" w:hanging="440"/>
        <w:rPr>
          <w:rStyle w:val="Hyperlink.2"/>
        </w:rPr>
      </w:pPr>
      <w:r>
        <w:rPr>
          <w:rStyle w:val="Hyperlink.2"/>
          <w:rtl w:val="0"/>
        </w:rPr>
        <w:t>26</w:t>
        <w:tab/>
      </w:r>
      <w:r>
        <w:rPr>
          <w:rStyle w:val="Hyperlink.4"/>
        </w:rPr>
        <w:fldChar w:fldCharType="begin" w:fldLock="0"/>
      </w:r>
      <w:r>
        <w:rPr>
          <w:rStyle w:val="Hyperlink.4"/>
        </w:rPr>
        <w:instrText xml:space="preserve"> HYPERLINK "http://paperpile.com/b/SBcV8m/LvfkT"</w:instrText>
      </w:r>
      <w:r>
        <w:rPr>
          <w:rStyle w:val="Hyperlink.4"/>
        </w:rPr>
        <w:fldChar w:fldCharType="separate" w:fldLock="0"/>
      </w:r>
      <w:r>
        <w:rPr>
          <w:rStyle w:val="Hyperlink.4"/>
          <w:rtl w:val="0"/>
        </w:rPr>
        <w:t xml:space="preserve">Kuziemsky CE, Gogia SB, Househ M, Petersen C, Basu A. </w:t>
      </w:r>
      <w:r>
        <w:rPr/>
        <w:fldChar w:fldCharType="end" w:fldLock="0"/>
      </w:r>
      <w:r>
        <w:rPr>
          <w:rStyle w:val="Hyperlink.2"/>
        </w:rPr>
        <w:fldChar w:fldCharType="begin" w:fldLock="0"/>
      </w:r>
      <w:r>
        <w:rPr>
          <w:rStyle w:val="Hyperlink.2"/>
        </w:rPr>
        <w:instrText xml:space="preserve"> HYPERLINK "http://paperpile.com/b/SBcV8m/LvfkT"</w:instrText>
      </w:r>
      <w:r>
        <w:rPr>
          <w:rStyle w:val="Hyperlink.2"/>
        </w:rPr>
        <w:fldChar w:fldCharType="separate" w:fldLock="0"/>
      </w:r>
      <w:r>
        <w:rPr>
          <w:rStyle w:val="Hyperlink.2"/>
          <w:rtl w:val="0"/>
          <w:lang w:val="en-US"/>
        </w:rPr>
        <w:t>Balancing Health Information Exchange and Privacy Governance from a Patient-Centred Connected Health and Telehealth Perspective. Yearb Med Inform 2018; 27: 48</w:t>
      </w:r>
      <w:r>
        <w:rPr>
          <w:rStyle w:val="Hyperlink.2"/>
          <w:rtl w:val="0"/>
        </w:rPr>
        <w:t>–</w:t>
      </w:r>
      <w:r>
        <w:rPr>
          <w:rStyle w:val="Hyperlink.2"/>
          <w:rtl w:val="0"/>
          <w:lang w:val="en-US"/>
        </w:rPr>
        <w:t xml:space="preserve">54 Available from: </w:t>
      </w:r>
      <w:r>
        <w:rPr/>
        <w:fldChar w:fldCharType="end" w:fldLock="0"/>
      </w:r>
      <w:r>
        <w:rPr>
          <w:rStyle w:val="Hyperlink.2"/>
        </w:rPr>
        <w:fldChar w:fldCharType="begin" w:fldLock="0"/>
      </w:r>
      <w:r>
        <w:rPr>
          <w:rStyle w:val="Hyperlink.2"/>
        </w:rPr>
        <w:instrText xml:space="preserve"> HYPERLINK "http://dx.doi.org/10.1055/s-0038-1641195"</w:instrText>
      </w:r>
      <w:r>
        <w:rPr>
          <w:rStyle w:val="Hyperlink.2"/>
        </w:rPr>
        <w:fldChar w:fldCharType="separate" w:fldLock="0"/>
      </w:r>
      <w:r>
        <w:rPr>
          <w:rStyle w:val="Hyperlink.2"/>
          <w:rtl w:val="0"/>
          <w:lang w:val="en-US"/>
        </w:rPr>
        <w:t>http://dx.doi.org/10.1055/s-0038-1641195</w:t>
      </w:r>
      <w:r>
        <w:rPr/>
        <w:fldChar w:fldCharType="end" w:fldLock="0"/>
      </w:r>
    </w:p>
    <w:p>
      <w:pPr>
        <w:pStyle w:val="Body"/>
        <w:widowControl w:val="0"/>
        <w:spacing w:after="220" w:line="240" w:lineRule="auto"/>
        <w:ind w:left="440" w:hanging="440"/>
        <w:rPr>
          <w:rStyle w:val="Hyperlink.2"/>
        </w:rPr>
      </w:pPr>
      <w:r>
        <w:rPr>
          <w:rStyle w:val="Hyperlink.2"/>
          <w:rtl w:val="0"/>
        </w:rPr>
        <w:t>27</w:t>
        <w:tab/>
      </w:r>
      <w:r>
        <w:rPr>
          <w:rStyle w:val="Hyperlink.4"/>
        </w:rPr>
        <w:fldChar w:fldCharType="begin" w:fldLock="0"/>
      </w:r>
      <w:r>
        <w:rPr>
          <w:rStyle w:val="Hyperlink.4"/>
        </w:rPr>
        <w:instrText xml:space="preserve"> HYPERLINK "http://paperpile.com/b/SBcV8m/B1jxi"</w:instrText>
      </w:r>
      <w:r>
        <w:rPr>
          <w:rStyle w:val="Hyperlink.4"/>
        </w:rPr>
        <w:fldChar w:fldCharType="separate" w:fldLock="0"/>
      </w:r>
      <w:r>
        <w:rPr>
          <w:rStyle w:val="Hyperlink.4"/>
          <w:rtl w:val="0"/>
          <w:lang w:val="it-IT"/>
        </w:rPr>
        <w:t xml:space="preserve">Alami H, Gagnon M-P, Fortin J-P. </w:t>
      </w:r>
      <w:r>
        <w:rPr/>
        <w:fldChar w:fldCharType="end" w:fldLock="0"/>
      </w:r>
      <w:r>
        <w:rPr>
          <w:rStyle w:val="Hyperlink.2"/>
        </w:rPr>
        <w:fldChar w:fldCharType="begin" w:fldLock="0"/>
      </w:r>
      <w:r>
        <w:rPr>
          <w:rStyle w:val="Hyperlink.2"/>
        </w:rPr>
        <w:instrText xml:space="preserve"> HYPERLINK "http://paperpile.com/b/SBcV8m/B1jxi"</w:instrText>
      </w:r>
      <w:r>
        <w:rPr>
          <w:rStyle w:val="Hyperlink.2"/>
        </w:rPr>
        <w:fldChar w:fldCharType="separate" w:fldLock="0"/>
      </w:r>
      <w:r>
        <w:rPr>
          <w:rStyle w:val="Hyperlink.2"/>
          <w:rtl w:val="0"/>
          <w:lang w:val="en-US"/>
        </w:rPr>
        <w:t>Some multidimensional unintended consequences of telehealth utilization: A multi-project evaluation synthesis. Int J Health Policy Manag 2019; 8: 337</w:t>
      </w:r>
      <w:r>
        <w:rPr>
          <w:rStyle w:val="Hyperlink.2"/>
          <w:rtl w:val="0"/>
        </w:rPr>
        <w:t>–</w:t>
      </w:r>
      <w:r>
        <w:rPr>
          <w:rStyle w:val="Hyperlink.2"/>
          <w:rtl w:val="0"/>
          <w:lang w:val="en-US"/>
        </w:rPr>
        <w:t xml:space="preserve">352 Available from: </w:t>
      </w:r>
      <w:r>
        <w:rPr/>
        <w:fldChar w:fldCharType="end" w:fldLock="0"/>
      </w:r>
      <w:r>
        <w:rPr>
          <w:rStyle w:val="Hyperlink.2"/>
        </w:rPr>
        <w:fldChar w:fldCharType="begin" w:fldLock="0"/>
      </w:r>
      <w:r>
        <w:rPr>
          <w:rStyle w:val="Hyperlink.2"/>
        </w:rPr>
        <w:instrText xml:space="preserve"> HYPERLINK "http://www.ijhpm.com/article_3603.html"</w:instrText>
      </w:r>
      <w:r>
        <w:rPr>
          <w:rStyle w:val="Hyperlink.2"/>
        </w:rPr>
        <w:fldChar w:fldCharType="separate" w:fldLock="0"/>
      </w:r>
      <w:r>
        <w:rPr>
          <w:rStyle w:val="Hyperlink.2"/>
          <w:rtl w:val="0"/>
          <w:lang w:val="en-US"/>
        </w:rPr>
        <w:t>http://www.ijhpm.com/article_3603.html</w:t>
      </w:r>
      <w:r>
        <w:rPr/>
        <w:fldChar w:fldCharType="end" w:fldLock="0"/>
      </w:r>
    </w:p>
    <w:p>
      <w:pPr>
        <w:pStyle w:val="Body"/>
        <w:widowControl w:val="0"/>
        <w:spacing w:after="220" w:line="240" w:lineRule="auto"/>
        <w:ind w:left="440" w:hanging="440"/>
        <w:rPr>
          <w:rStyle w:val="Hyperlink.2"/>
        </w:rPr>
      </w:pPr>
      <w:r>
        <w:rPr>
          <w:rStyle w:val="Hyperlink.2"/>
          <w:rtl w:val="0"/>
        </w:rPr>
        <w:t>28</w:t>
        <w:tab/>
      </w:r>
      <w:r>
        <w:rPr>
          <w:rStyle w:val="Hyperlink.4"/>
        </w:rPr>
        <w:fldChar w:fldCharType="begin" w:fldLock="0"/>
      </w:r>
      <w:r>
        <w:rPr>
          <w:rStyle w:val="Hyperlink.4"/>
        </w:rPr>
        <w:instrText xml:space="preserve"> HYPERLINK "http://paperpile.com/b/SBcV8m/wJ8Rm"</w:instrText>
      </w:r>
      <w:r>
        <w:rPr>
          <w:rStyle w:val="Hyperlink.4"/>
        </w:rPr>
        <w:fldChar w:fldCharType="separate" w:fldLock="0"/>
      </w:r>
      <w:r>
        <w:rPr>
          <w:rStyle w:val="Hyperlink.4"/>
          <w:rtl w:val="0"/>
          <w:lang w:val="it-IT"/>
        </w:rPr>
        <w:t xml:space="preserve">Bhatia RS, Chu C, Pang A, Tadrous M, Stamenova V, Cram P. </w:t>
      </w:r>
      <w:r>
        <w:rPr/>
        <w:fldChar w:fldCharType="end" w:fldLock="0"/>
      </w:r>
      <w:r>
        <w:rPr>
          <w:rStyle w:val="Hyperlink.2"/>
        </w:rPr>
        <w:fldChar w:fldCharType="begin" w:fldLock="0"/>
      </w:r>
      <w:r>
        <w:rPr>
          <w:rStyle w:val="Hyperlink.2"/>
        </w:rPr>
        <w:instrText xml:space="preserve"> HYPERLINK "http://paperpile.com/b/SBcV8m/wJ8Rm"</w:instrText>
      </w:r>
      <w:r>
        <w:rPr>
          <w:rStyle w:val="Hyperlink.2"/>
        </w:rPr>
        <w:fldChar w:fldCharType="separate" w:fldLock="0"/>
      </w:r>
      <w:r>
        <w:rPr>
          <w:rStyle w:val="Hyperlink.2"/>
          <w:rtl w:val="0"/>
          <w:lang w:val="en-US"/>
        </w:rPr>
        <w:t>Virtual care use before and during the COVID-19 pandemic: a repeated cross-sectional study. CMAJ Open 2021; 9: E107</w:t>
      </w:r>
      <w:r>
        <w:rPr>
          <w:rStyle w:val="Hyperlink.2"/>
          <w:rtl w:val="0"/>
        </w:rPr>
        <w:t>–</w:t>
      </w:r>
      <w:r>
        <w:rPr>
          <w:rStyle w:val="Hyperlink.2"/>
          <w:rtl w:val="0"/>
          <w:lang w:val="en-US"/>
        </w:rPr>
        <w:t xml:space="preserve">E114 Available from: </w:t>
      </w:r>
      <w:r>
        <w:rPr/>
        <w:fldChar w:fldCharType="end" w:fldLock="0"/>
      </w:r>
      <w:r>
        <w:rPr>
          <w:rStyle w:val="Hyperlink.2"/>
        </w:rPr>
        <w:fldChar w:fldCharType="begin" w:fldLock="0"/>
      </w:r>
      <w:r>
        <w:rPr>
          <w:rStyle w:val="Hyperlink.2"/>
        </w:rPr>
        <w:instrText xml:space="preserve"> HYPERLINK "http://cmajopen.ca/lookup/doi/10.9778/cmajo.20200311"</w:instrText>
      </w:r>
      <w:r>
        <w:rPr>
          <w:rStyle w:val="Hyperlink.2"/>
        </w:rPr>
        <w:fldChar w:fldCharType="separate" w:fldLock="0"/>
      </w:r>
      <w:r>
        <w:rPr>
          <w:rStyle w:val="Hyperlink.2"/>
          <w:rtl w:val="0"/>
          <w:lang w:val="en-US"/>
        </w:rPr>
        <w:t>http://cmajopen.ca/lookup/doi/10.9778/cmajo.20200311</w:t>
      </w:r>
      <w:r>
        <w:rPr/>
        <w:fldChar w:fldCharType="end" w:fldLock="0"/>
      </w:r>
    </w:p>
    <w:p>
      <w:pPr>
        <w:pStyle w:val="Body"/>
        <w:widowControl w:val="0"/>
        <w:spacing w:after="220" w:line="240" w:lineRule="auto"/>
        <w:ind w:left="440" w:hanging="440"/>
        <w:rPr>
          <w:rStyle w:val="Hyperlink.2"/>
        </w:rPr>
      </w:pPr>
      <w:r>
        <w:rPr>
          <w:rStyle w:val="Hyperlink.2"/>
          <w:rtl w:val="0"/>
        </w:rPr>
        <w:t>29</w:t>
        <w:tab/>
      </w:r>
      <w:r>
        <w:rPr>
          <w:rStyle w:val="Hyperlink.4"/>
        </w:rPr>
        <w:fldChar w:fldCharType="begin" w:fldLock="0"/>
      </w:r>
      <w:r>
        <w:rPr>
          <w:rStyle w:val="Hyperlink.4"/>
        </w:rPr>
        <w:instrText xml:space="preserve"> HYPERLINK "http://paperpile.com/b/SBcV8m/XCH06"</w:instrText>
      </w:r>
      <w:r>
        <w:rPr>
          <w:rStyle w:val="Hyperlink.4"/>
        </w:rPr>
        <w:fldChar w:fldCharType="separate" w:fldLock="0"/>
      </w:r>
      <w:r>
        <w:rPr>
          <w:rStyle w:val="Hyperlink.4"/>
          <w:rtl w:val="0"/>
        </w:rPr>
        <w:t xml:space="preserve">Piggott T, Orkin A. </w:t>
      </w:r>
      <w:r>
        <w:rPr/>
        <w:fldChar w:fldCharType="end" w:fldLock="0"/>
      </w:r>
      <w:r>
        <w:rPr>
          <w:rStyle w:val="Hyperlink.2"/>
        </w:rPr>
        <w:fldChar w:fldCharType="begin" w:fldLock="0"/>
      </w:r>
      <w:r>
        <w:rPr>
          <w:rStyle w:val="Hyperlink.2"/>
        </w:rPr>
        <w:instrText xml:space="preserve"> HYPERLINK "http://paperpile.com/b/SBcV8m/XCH06"</w:instrText>
      </w:r>
      <w:r>
        <w:rPr>
          <w:rStyle w:val="Hyperlink.2"/>
        </w:rPr>
        <w:fldChar w:fldCharType="separate" w:fldLock="0"/>
      </w:r>
      <w:r>
        <w:rPr>
          <w:rStyle w:val="Hyperlink.2"/>
          <w:rtl w:val="0"/>
          <w:lang w:val="en-US"/>
        </w:rPr>
        <w:t xml:space="preserve">Deconstructing the Concept of Special Populations for Health Care, Research, and Policy. Under-Served: Health Determinants of Indigenous, Inner-City, and Migrant Populations in Canada 2018; 12 Available from: </w:t>
      </w:r>
      <w:r>
        <w:rPr/>
        <w:fldChar w:fldCharType="end" w:fldLock="0"/>
      </w:r>
      <w:r>
        <w:rPr>
          <w:rStyle w:val="Hyperlink.2"/>
        </w:rPr>
        <w:fldChar w:fldCharType="begin" w:fldLock="0"/>
      </w:r>
      <w:r>
        <w:rPr>
          <w:rStyle w:val="Hyperlink.2"/>
        </w:rPr>
        <w:instrText xml:space="preserve"> HYPERLINK "https://books.google.com/books?hl=en&amp;lr=&amp;id=uLZwDwAAQBAJ&amp;oi=fnd&amp;pg=PA12&amp;dq=Piggott,+T.+&amp;+Orkin,+A.+(2018).+Deconstructing+the+Concept+of+Special+Populations+for+Health+Care,+Research,+and+Policy.&amp;ots=CsIdef79SN&amp;sig=pBF3SYzZx0iaaAz35mSnwJuzgAE"</w:instrText>
      </w:r>
      <w:r>
        <w:rPr>
          <w:rStyle w:val="Hyperlink.2"/>
        </w:rPr>
        <w:fldChar w:fldCharType="separate" w:fldLock="0"/>
      </w:r>
      <w:r>
        <w:rPr>
          <w:rStyle w:val="Hyperlink.2"/>
          <w:rtl w:val="0"/>
          <w:lang w:val="en-US"/>
        </w:rPr>
        <w:t>https://books.google.com/books?hl=en&amp;lr=&amp;id=uLZwDwAAQBAJ&amp;oi=fnd&amp;pg=PA12&amp;dq=Piggott,+T.+%26+Orkin,+A.+(2018).+Deconstructing+the+Concept+of+Special+Populations+for+Health+Care,+Research,+and+Policy.&amp;ots=CsIdef79SN&amp;sig=pBF3SYzZx0iaaAz35mSnwJuzgAE</w:t>
      </w:r>
      <w:r>
        <w:rPr/>
        <w:fldChar w:fldCharType="end" w:fldLock="0"/>
      </w:r>
    </w:p>
    <w:p>
      <w:pPr>
        <w:pStyle w:val="Body"/>
        <w:widowControl w:val="0"/>
        <w:spacing w:after="220" w:line="240" w:lineRule="auto"/>
        <w:ind w:left="440" w:hanging="440"/>
        <w:rPr>
          <w:rStyle w:val="Hyperlink.2"/>
        </w:rPr>
      </w:pPr>
      <w:r>
        <w:rPr>
          <w:rStyle w:val="Hyperlink.2"/>
          <w:rtl w:val="0"/>
        </w:rPr>
        <w:t>30</w:t>
        <w:tab/>
      </w:r>
      <w:r>
        <w:rPr>
          <w:rStyle w:val="Hyperlink.4"/>
        </w:rPr>
        <w:fldChar w:fldCharType="begin" w:fldLock="0"/>
      </w:r>
      <w:r>
        <w:rPr>
          <w:rStyle w:val="Hyperlink.4"/>
        </w:rPr>
        <w:instrText xml:space="preserve"> HYPERLINK "http://paperpile.com/b/SBcV8m/aDinY"</w:instrText>
      </w:r>
      <w:r>
        <w:rPr>
          <w:rStyle w:val="Hyperlink.4"/>
        </w:rPr>
        <w:fldChar w:fldCharType="separate" w:fldLock="0"/>
      </w:r>
      <w:r>
        <w:rPr>
          <w:rStyle w:val="Hyperlink.4"/>
          <w:rtl w:val="0"/>
          <w:lang w:val="it-IT"/>
        </w:rPr>
        <w:t xml:space="preserve">Gummidi B, John O, Jha V. </w:t>
      </w:r>
      <w:r>
        <w:rPr/>
        <w:fldChar w:fldCharType="end" w:fldLock="0"/>
      </w:r>
      <w:r>
        <w:rPr>
          <w:rStyle w:val="Hyperlink.2"/>
        </w:rPr>
        <w:fldChar w:fldCharType="begin" w:fldLock="0"/>
      </w:r>
      <w:r>
        <w:rPr>
          <w:rStyle w:val="Hyperlink.2"/>
        </w:rPr>
        <w:instrText xml:space="preserve"> HYPERLINK "http://paperpile.com/b/SBcV8m/aDinY"</w:instrText>
      </w:r>
      <w:r>
        <w:rPr>
          <w:rStyle w:val="Hyperlink.2"/>
        </w:rPr>
        <w:fldChar w:fldCharType="separate" w:fldLock="0"/>
      </w:r>
      <w:r>
        <w:rPr>
          <w:rStyle w:val="Hyperlink.2"/>
          <w:rtl w:val="0"/>
          <w:lang w:val="en-US"/>
        </w:rPr>
        <w:t>Continuum of care for non-communicable diseases during COVID-19 pandemic in rural India: A mixed methods study. J Family Med Prim Care 2020; 9: 6012</w:t>
      </w:r>
      <w:r>
        <w:rPr>
          <w:rStyle w:val="Hyperlink.2"/>
          <w:rtl w:val="0"/>
        </w:rPr>
        <w:t>–</w:t>
      </w:r>
      <w:r>
        <w:rPr>
          <w:rStyle w:val="Hyperlink.2"/>
          <w:rtl w:val="0"/>
          <w:lang w:val="en-US"/>
        </w:rPr>
        <w:t xml:space="preserve">6017 Available from: </w:t>
      </w:r>
      <w:r>
        <w:rPr/>
        <w:fldChar w:fldCharType="end" w:fldLock="0"/>
      </w:r>
      <w:r>
        <w:rPr>
          <w:rStyle w:val="Hyperlink.2"/>
        </w:rPr>
        <w:fldChar w:fldCharType="begin" w:fldLock="0"/>
      </w:r>
      <w:r>
        <w:rPr>
          <w:rStyle w:val="Hyperlink.2"/>
        </w:rPr>
        <w:instrText xml:space="preserve"> HYPERLINK "http://dx.doi.org/10.4103/jfmpc.jfmpc_1805_20"</w:instrText>
      </w:r>
      <w:r>
        <w:rPr>
          <w:rStyle w:val="Hyperlink.2"/>
        </w:rPr>
        <w:fldChar w:fldCharType="separate" w:fldLock="0"/>
      </w:r>
      <w:r>
        <w:rPr>
          <w:rStyle w:val="Hyperlink.2"/>
          <w:rtl w:val="0"/>
          <w:lang w:val="en-US"/>
        </w:rPr>
        <w:t>http://dx.doi.org/10.4103/jfmpc.jfmpc_1805_20</w:t>
      </w:r>
      <w:r>
        <w:rPr/>
        <w:fldChar w:fldCharType="end" w:fldLock="0"/>
      </w:r>
    </w:p>
    <w:p>
      <w:pPr>
        <w:pStyle w:val="Body"/>
        <w:widowControl w:val="0"/>
      </w:pPr>
    </w:p>
    <w:p>
      <w:pPr>
        <w:pStyle w:val="Body"/>
        <w:widowControl w:val="0"/>
      </w:pPr>
      <w:r>
        <w:rPr>
          <w:rStyle w:val="None"/>
          <w:rFonts w:ascii="Arial Unicode MS" w:cs="Arial Unicode MS" w:hAnsi="Arial Unicode MS" w:eastAsia="Arial Unicode MS"/>
          <w:b w:val="0"/>
          <w:bCs w:val="0"/>
          <w:i w:val="0"/>
          <w:iCs w:val="0"/>
        </w:rPr>
        <w:br w:type="page"/>
      </w:r>
    </w:p>
    <w:p>
      <w:pPr>
        <w:pStyle w:val="Heading 2"/>
        <w:widowControl w:val="0"/>
      </w:pPr>
      <w:bookmarkStart w:name="_fh2grt5wiy7" w:id="18"/>
      <w:bookmarkEnd w:id="18"/>
      <w:r>
        <w:rPr>
          <w:rStyle w:val="None"/>
          <w:rtl w:val="0"/>
        </w:rPr>
        <w:t>F</w:t>
      </w:r>
      <w:r>
        <w:rPr>
          <w:rStyle w:val="None"/>
          <w:rtl w:val="0"/>
        </w:rPr>
        <w:t>igure</w:t>
      </w:r>
    </w:p>
    <w:p>
      <w:pPr>
        <w:pStyle w:val="Body"/>
      </w:pPr>
    </w:p>
    <w:p>
      <w:pPr>
        <w:pStyle w:val="Body"/>
      </w:pPr>
      <w:r>
        <w:rPr>
          <w:rStyle w:val="None"/>
        </w:rPr>
        <w:drawing xmlns:a="http://schemas.openxmlformats.org/drawingml/2006/main">
          <wp:inline distT="0" distB="0" distL="0" distR="0">
            <wp:extent cx="5486400" cy="477202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5486400" cy="4772025"/>
                    </a:xfrm>
                    <a:prstGeom prst="rect">
                      <a:avLst/>
                    </a:prstGeom>
                    <a:ln w="12700" cap="flat">
                      <a:noFill/>
                      <a:miter lim="400000"/>
                    </a:ln>
                    <a:effectLst/>
                  </pic:spPr>
                </pic:pic>
              </a:graphicData>
            </a:graphic>
          </wp:inline>
        </w:drawing>
      </w:r>
    </w:p>
    <w:p>
      <w:pPr>
        <w:pStyle w:val="Body"/>
      </w:pPr>
      <w:r>
        <w:rPr>
          <w:rStyle w:val="None"/>
          <w:rtl w:val="0"/>
          <w:lang w:val="en-US"/>
        </w:rPr>
        <w:t>Figure 1. Integrated framework for system resilience and equity in telehealth services</w:t>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None">
    <w:name w:val="None"/>
  </w:style>
  <w:style w:type="character" w:styleId="Hyperlink.1">
    <w:name w:val="Hyperlink.1"/>
    <w:basedOn w:val="None"/>
    <w:next w:val="Hyperlink.1"/>
    <w:rPr>
      <w:outline w:val="0"/>
      <w:color w:val="1155cc"/>
      <w:u w:val="single"/>
      <w14:textFill>
        <w14:solidFill>
          <w14:srgbClr w14:val="1155CC"/>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character" w:styleId="Hyperlink.2">
    <w:name w:val="Hyperlink.2"/>
    <w:basedOn w:val="None"/>
    <w:next w:val="Hyperlink.2"/>
    <w:rPr>
      <w:outline w:val="0"/>
      <w:color w:val="000000"/>
      <w:u w:color="000000"/>
      <w14:textFill>
        <w14:solidFill>
          <w14:srgbClr w14:val="000000"/>
        </w14:solidFill>
      </w14:textFill>
    </w:rPr>
  </w:style>
  <w:style w:type="character" w:styleId="Hyperlink.3">
    <w:name w:val="Hyperlink.3"/>
    <w:basedOn w:val="None"/>
    <w:next w:val="Hyperlink.3"/>
    <w:rPr>
      <w:outline w:val="0"/>
      <w:color w:val="000000"/>
      <w:u w:color="000000"/>
      <w:shd w:val="clear" w:color="auto" w:fill="ffffff"/>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4">
    <w:name w:val="Hyperlink.4"/>
    <w:basedOn w:val="None"/>
    <w:next w:val="Hyperlink.4"/>
    <w:rPr>
      <w:rFonts w:ascii="Arial" w:cs="Arial" w:hAnsi="Arial" w:eastAsia="Arial"/>
      <w:i w:val="1"/>
      <w:iCs w:val="1"/>
      <w:outline w:val="0"/>
      <w:color w:val="000000"/>
      <w:u w:color="000000"/>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